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both"/>
      </w:pPr>
    </w:p>
    <w:p>
      <w:pPr>
        <w:spacing w:before="0" w:after="120"/>
        <w:jc w:val="center"/>
      </w:pPr>
      <w:r>
        <w:rPr>
          <w:rFonts w:ascii="Times New Roman" w:hAnsi="Times New Roman" w:cs="Times New Roman"/>
          <w:rFonts w:ascii="Times New Roman" w:hAnsi="Times New Roman"/>
          <w:b/>
          <w:i w:val="0"/>
          <w:color w:val="1F497D"/>
          <w:sz w:val="40"/>
        </w:rPr>
        <w:t>Quantifying Climate Risk &amp; Pricing Adequacy in SEA</w:t>
      </w:r>
    </w:p>
    <w:p>
      <w:pPr>
        <w:spacing w:before="0" w:after="720"/>
        <w:jc w:val="center"/>
      </w:pPr>
      <w:r>
        <w:rPr>
          <w:rFonts w:ascii="Times New Roman" w:hAnsi="Times New Roman" w:cs="Times New Roman"/>
          <w:rFonts w:ascii="Times New Roman" w:hAnsi="Times New Roman"/>
          <w:b/>
          <w:i w:val="0"/>
          <w:sz w:val="28"/>
        </w:rPr>
        <w:t>Documentation</w:t>
      </w:r>
    </w:p>
    <w:p>
      <w:pPr>
        <w:spacing w:before="0" w:after="80"/>
        <w:jc w:val="center"/>
      </w:pPr>
      <w:r>
        <w:rPr>
          <w:rFonts w:ascii="Times New Roman" w:hAnsi="Times New Roman" w:cs="Times New Roman"/>
          <w:rFonts w:ascii="Times New Roman" w:hAnsi="Times New Roman"/>
          <w:b/>
          <w:i w:val="0"/>
          <w:sz w:val="28"/>
        </w:rPr>
        <w:t>Team:</w:t>
      </w:r>
    </w:p>
    <w:p>
      <w:pPr>
        <w:spacing w:before="0" w:after="480"/>
        <w:jc w:val="center"/>
      </w:pPr>
      <w:r>
        <w:rPr>
          <w:rFonts w:ascii="Times New Roman" w:hAnsi="Times New Roman" w:cs="Times New Roman"/>
          <w:rFonts w:ascii="Times New Roman" w:hAnsi="Times New Roman"/>
          <w:b/>
          <w:i w:val="0"/>
          <w:sz w:val="28"/>
        </w:rPr>
        <w:t>Numbers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pPr>
              <w:jc w:val="center"/>
            </w:pPr>
            <w:r>
              <w:rPr>
                <w:rFonts w:ascii="Times New Roman" w:hAnsi="Times New Roman"/>
                <w:b/>
                <w:color w:val="FFFFFF"/>
                <w:sz w:val="24"/>
              </w:rPr>
              <w:t>Name</w:t>
            </w:r>
          </w:p>
        </w:tc>
        <w:tc>
          <w:tcPr>
            <w:tcW w:type="dxa" w:w="4680"/>
            <w:shd w:val="clear" w:color="auto" w:fill="1F497D"/>
          </w:tcPr>
          <w:p>
            <w:pPr>
              <w:jc w:val="center"/>
            </w:pPr>
            <w:r>
              <w:rPr>
                <w:rFonts w:ascii="Times New Roman" w:hAnsi="Times New Roman"/>
                <w:b/>
                <w:color w:val="FFFFFF"/>
                <w:sz w:val="24"/>
              </w:rPr>
              <w:t>Email</w:t>
            </w:r>
          </w:p>
        </w:tc>
      </w:tr>
      <w:tr>
        <w:tc>
          <w:tcPr>
            <w:tcW w:type="dxa" w:w="4680"/>
          </w:tcPr>
          <w:p>
            <w:pPr>
              <w:jc w:val="center"/>
            </w:pPr>
            <w:r>
              <w:rPr>
                <w:rFonts w:ascii="Times New Roman" w:hAnsi="Times New Roman"/>
                <w:sz w:val="24"/>
              </w:rPr>
              <w:t>Khe Jia Kang</w:t>
            </w:r>
          </w:p>
        </w:tc>
        <w:tc>
          <w:tcPr>
            <w:tcW w:type="dxa" w:w="4680"/>
          </w:tcPr>
          <w:p>
            <w:pPr>
              <w:jc w:val="center"/>
            </w:pPr>
            <w:r>
              <w:rPr>
                <w:rFonts w:ascii="Times New Roman" w:hAnsi="Times New Roman"/>
                <w:sz w:val="24"/>
              </w:rPr>
              <w:t>jiakangkhe@gmail.com</w:t>
            </w:r>
          </w:p>
        </w:tc>
      </w:tr>
      <w:tr>
        <w:tc>
          <w:tcPr>
            <w:tcW w:type="dxa" w:w="4680"/>
          </w:tcPr>
          <w:p>
            <w:pPr>
              <w:jc w:val="center"/>
            </w:pPr>
            <w:r>
              <w:rPr>
                <w:rFonts w:ascii="Times New Roman" w:hAnsi="Times New Roman"/>
                <w:sz w:val="24"/>
              </w:rPr>
              <w:t>Lean Wen Jie</w:t>
            </w:r>
          </w:p>
        </w:tc>
        <w:tc>
          <w:tcPr>
            <w:tcW w:type="dxa" w:w="4680"/>
          </w:tcPr>
          <w:p>
            <w:pPr>
              <w:jc w:val="center"/>
            </w:pPr>
            <w:r>
              <w:rPr>
                <w:rFonts w:ascii="Times New Roman" w:hAnsi="Times New Roman"/>
                <w:sz w:val="24"/>
              </w:rPr>
              <w:t>jetlean0707@gmail.com</w:t>
            </w:r>
          </w:p>
        </w:tc>
      </w:tr>
      <w:tr>
        <w:tc>
          <w:tcPr>
            <w:tcW w:type="dxa" w:w="4680"/>
          </w:tcPr>
          <w:p>
            <w:pPr>
              <w:jc w:val="center"/>
            </w:pPr>
            <w:r>
              <w:rPr>
                <w:rFonts w:ascii="Times New Roman" w:hAnsi="Times New Roman"/>
                <w:sz w:val="24"/>
              </w:rPr>
              <w:t>Lee Jing Xuan</w:t>
            </w:r>
          </w:p>
        </w:tc>
        <w:tc>
          <w:tcPr>
            <w:tcW w:type="dxa" w:w="4680"/>
          </w:tcPr>
          <w:p>
            <w:pPr>
              <w:jc w:val="center"/>
            </w:pPr>
            <w:r>
              <w:rPr>
                <w:rFonts w:ascii="Times New Roman" w:hAnsi="Times New Roman"/>
                <w:sz w:val="24"/>
              </w:rPr>
              <w:t>jingx349@gmail.com</w:t>
            </w:r>
          </w:p>
        </w:tc>
      </w:tr>
      <w:tr>
        <w:tc>
          <w:tcPr>
            <w:tcW w:type="dxa" w:w="4680"/>
          </w:tcPr>
          <w:p>
            <w:pPr>
              <w:jc w:val="center"/>
            </w:pPr>
            <w:r>
              <w:rPr>
                <w:rFonts w:ascii="Times New Roman" w:hAnsi="Times New Roman"/>
                <w:sz w:val="24"/>
              </w:rPr>
              <w:t>Lau Hiap Meng</w:t>
            </w:r>
          </w:p>
        </w:tc>
        <w:tc>
          <w:tcPr>
            <w:tcW w:type="dxa" w:w="4680"/>
          </w:tcPr>
          <w:p>
            <w:pPr>
              <w:jc w:val="center"/>
            </w:pPr>
            <w:r>
              <w:rPr>
                <w:rFonts w:ascii="Times New Roman" w:hAnsi="Times New Roman"/>
                <w:sz w:val="24"/>
              </w:rPr>
              <w:t>hiapmenglau@gmail.com</w:t>
            </w:r>
          </w:p>
        </w:tc>
      </w:tr>
      <w:tr>
        <w:tc>
          <w:tcPr>
            <w:tcW w:type="dxa" w:w="4680"/>
          </w:tcPr>
          <w:p>
            <w:pPr>
              <w:jc w:val="center"/>
            </w:pPr>
            <w:r>
              <w:rPr>
                <w:rFonts w:ascii="Times New Roman" w:hAnsi="Times New Roman"/>
                <w:sz w:val="24"/>
              </w:rPr>
              <w:t>Felicia Sia Xin Rou</w:t>
            </w:r>
          </w:p>
        </w:tc>
        <w:tc>
          <w:tcPr>
            <w:tcW w:type="dxa" w:w="4680"/>
          </w:tcPr>
          <w:p>
            <w:pPr>
              <w:jc w:val="center"/>
            </w:pPr>
            <w:r>
              <w:rPr>
                <w:rFonts w:ascii="Times New Roman" w:hAnsi="Times New Roman"/>
                <w:sz w:val="24"/>
              </w:rPr>
              <w:t>flc.066734@gmail.com</w:t>
            </w:r>
          </w:p>
        </w:tc>
      </w:tr>
    </w:tbl>
    <w:p>
      <w:pPr>
        <w:spacing w:before="0" w:after="120"/>
        <w:jc w:val="both"/>
      </w:pPr>
    </w:p>
    <w:p>
      <w:pPr>
        <w:spacing w:before="0" w:after="0"/>
        <w:jc w:val="center"/>
      </w:pPr>
      <w:r>
        <w:rPr>
          <w:rFonts w:ascii="Times New Roman" w:hAnsi="Times New Roman" w:cs="Times New Roman"/>
          <w:rFonts w:ascii="Times New Roman" w:hAnsi="Times New Roman"/>
          <w:b w:val="0"/>
          <w:i/>
          <w:sz w:val="22"/>
        </w:rPr>
        <w:t>MASA Hackathon 2026 | Hannover Re | Universiti Malaya</w:t>
      </w:r>
    </w:p>
    <w:p>
      <w:r>
        <w:br w:type="page"/>
      </w:r>
    </w:p>
    <w:p>
      <w:pPr>
        <w:spacing w:before="240" w:after="120"/>
        <w:jc w:val="left"/>
      </w:pPr>
      <w:r>
        <w:rPr>
          <w:rFonts w:ascii="Times New Roman" w:hAnsi="Times New Roman" w:cs="Times New Roman"/>
          <w:rFonts w:ascii="Times New Roman" w:hAnsi="Times New Roman"/>
          <w:b/>
          <w:i w:val="0"/>
          <w:color w:val="1F497D"/>
          <w:sz w:val="28"/>
        </w:rPr>
        <w:t>Declaration of Originality &amp; Compliance</w:t>
      </w:r>
    </w:p>
    <w:p>
      <w:pPr>
        <w:spacing w:before="0" w:after="120"/>
        <w:jc w:val="both"/>
      </w:pPr>
      <w:r>
        <w:rPr>
          <w:rFonts w:ascii="Times New Roman" w:hAnsi="Times New Roman" w:cs="Times New Roman"/>
          <w:rFonts w:ascii="Times New Roman" w:hAnsi="Times New Roman"/>
          <w:b w:val="0"/>
          <w:i w:val="0"/>
          <w:sz w:val="24"/>
        </w:rPr>
        <w:t>To: The Organizing Committee, MASA Hackathon 2026</w:t>
      </w:r>
    </w:p>
    <w:p>
      <w:pPr>
        <w:spacing w:before="240" w:after="120"/>
        <w:jc w:val="left"/>
      </w:pPr>
      <w:r>
        <w:rPr>
          <w:rFonts w:ascii="Times New Roman" w:hAnsi="Times New Roman" w:cs="Times New Roman"/>
          <w:rFonts w:ascii="Times New Roman" w:hAnsi="Times New Roman"/>
          <w:b/>
          <w:i w:val="0"/>
          <w:color w:val="1F497D"/>
          <w:sz w:val="24"/>
        </w:rPr>
        <w:t>1. Statement of Originality</w:t>
      </w:r>
    </w:p>
    <w:p>
      <w:pPr>
        <w:spacing w:before="0" w:after="120"/>
        <w:jc w:val="both"/>
      </w:pPr>
      <w:r>
        <w:rPr>
          <w:rFonts w:ascii="Times New Roman" w:hAnsi="Times New Roman" w:cs="Times New Roman"/>
          <w:rFonts w:ascii="Times New Roman" w:hAnsi="Times New Roman"/>
          <w:b w:val="0"/>
          <w:i w:val="0"/>
          <w:sz w:val="24"/>
        </w:rPr>
        <w:t>We, the undersigned members of "Numbers", hereby declare that the work submitted for the MASA Hackathon 2026 is our original creation. We certify that:</w:t>
      </w:r>
    </w:p>
    <w:p>
      <w:pPr>
        <w:pStyle w:val="ListBullet"/>
        <w:spacing w:after="60"/>
        <w:jc w:val="both"/>
      </w:pPr>
      <w:r>
        <w:rPr>
          <w:rFonts w:ascii="Times New Roman" w:hAnsi="Times New Roman" w:cs="Times New Roman"/>
          <w:rFonts w:ascii="Times New Roman" w:hAnsi="Times New Roman"/>
          <w:b w:val="0"/>
          <w:i w:val="0"/>
          <w:sz w:val="24"/>
        </w:rPr>
        <w:t>The conceptual framework, methodology, and code were developed solely by the team members during the hackathon period.</w:t>
      </w:r>
    </w:p>
    <w:p>
      <w:pPr>
        <w:pStyle w:val="ListBullet"/>
        <w:spacing w:after="60"/>
        <w:jc w:val="both"/>
      </w:pPr>
      <w:r>
        <w:rPr>
          <w:rFonts w:ascii="Times New Roman" w:hAnsi="Times New Roman" w:cs="Times New Roman"/>
          <w:rFonts w:ascii="Times New Roman" w:hAnsi="Times New Roman"/>
          <w:b w:val="0"/>
          <w:i w:val="0"/>
          <w:sz w:val="24"/>
        </w:rPr>
        <w:t>The integration of Pruned Exact Linear Time (PELT) regime break detection with Generalized Extreme Value (GEV) theory, and the subsequent application of an EIOPA-anchored pass-through rate matrix for treaty repricing, represents an original, actuarially sound synthesis.</w:t>
      </w:r>
    </w:p>
    <w:p>
      <w:pPr>
        <w:pStyle w:val="ListBullet"/>
        <w:spacing w:after="60"/>
        <w:jc w:val="both"/>
      </w:pPr>
      <w:r>
        <w:rPr>
          <w:rFonts w:ascii="Times New Roman" w:hAnsi="Times New Roman" w:cs="Times New Roman"/>
          <w:rFonts w:ascii="Times New Roman" w:hAnsi="Times New Roman"/>
          <w:b w:val="0"/>
          <w:i w:val="0"/>
          <w:sz w:val="24"/>
        </w:rPr>
        <w:t>To the best of our knowledge, this work does not infringe upon the intellectual property rights of any third party.</w:t>
      </w:r>
    </w:p>
    <w:p>
      <w:pPr>
        <w:spacing w:before="240" w:after="120"/>
        <w:jc w:val="left"/>
      </w:pPr>
      <w:r>
        <w:rPr>
          <w:rFonts w:ascii="Times New Roman" w:hAnsi="Times New Roman" w:cs="Times New Roman"/>
          <w:rFonts w:ascii="Times New Roman" w:hAnsi="Times New Roman"/>
          <w:b/>
          <w:i w:val="0"/>
          <w:color w:val="1F497D"/>
          <w:sz w:val="24"/>
        </w:rPr>
        <w:t>2. Compliance with Official Rules</w:t>
      </w:r>
    </w:p>
    <w:p>
      <w:pPr>
        <w:spacing w:before="0" w:after="120"/>
        <w:jc w:val="both"/>
      </w:pPr>
      <w:r>
        <w:rPr>
          <w:rFonts w:ascii="Times New Roman" w:hAnsi="Times New Roman" w:cs="Times New Roman"/>
          <w:rFonts w:ascii="Times New Roman" w:hAnsi="Times New Roman"/>
          <w:b w:val="0"/>
          <w:i w:val="0"/>
          <w:sz w:val="24"/>
        </w:rPr>
        <w:t>We confirm that we have read, understood and adhered to all the official rules and regulations governing the MASA Hackathon 2026. This submission complies with all eligibility requirements, data usage restrictions, and submission deadlines.</w:t>
      </w:r>
    </w:p>
    <w:p>
      <w:pPr>
        <w:spacing w:before="240" w:after="120"/>
        <w:jc w:val="left"/>
      </w:pPr>
      <w:r>
        <w:rPr>
          <w:rFonts w:ascii="Times New Roman" w:hAnsi="Times New Roman" w:cs="Times New Roman"/>
          <w:rFonts w:ascii="Times New Roman" w:hAnsi="Times New Roman"/>
          <w:b/>
          <w:i w:val="0"/>
          <w:color w:val="1F497D"/>
          <w:sz w:val="24"/>
        </w:rPr>
        <w:t>3. Disclosure of External Resources &amp; AI Tools</w:t>
      </w:r>
    </w:p>
    <w:p>
      <w:pPr>
        <w:spacing w:before="0" w:after="120"/>
        <w:jc w:val="both"/>
      </w:pPr>
      <w:r>
        <w:rPr>
          <w:rFonts w:ascii="Times New Roman" w:hAnsi="Times New Roman" w:cs="Times New Roman"/>
          <w:rFonts w:ascii="Times New Roman" w:hAnsi="Times New Roman"/>
          <w:b w:val="0"/>
          <w:i w:val="0"/>
          <w:sz w:val="24"/>
        </w:rPr>
        <w:t>In the interest of transparency and in accordance with the competition guidelines:</w:t>
      </w:r>
    </w:p>
    <w:p>
      <w:pPr>
        <w:pStyle w:val="ListBullet"/>
        <w:spacing w:after="60"/>
        <w:jc w:val="both"/>
      </w:pPr>
      <w:r>
        <w:rPr>
          <w:rFonts w:ascii="Times New Roman" w:hAnsi="Times New Roman" w:cs="Times New Roman"/>
          <w:rFonts w:ascii="Times New Roman" w:hAnsi="Times New Roman"/>
          <w:b w:val="0"/>
          <w:i w:val="0"/>
          <w:sz w:val="24"/>
        </w:rPr>
        <w:t>All external datasets and academic references used in this project have been properly cited.</w:t>
      </w:r>
    </w:p>
    <w:p>
      <w:pPr>
        <w:pStyle w:val="ListBullet"/>
        <w:spacing w:after="60"/>
        <w:jc w:val="both"/>
      </w:pPr>
      <w:r>
        <w:rPr>
          <w:rFonts w:ascii="Times New Roman" w:hAnsi="Times New Roman" w:cs="Times New Roman"/>
          <w:rFonts w:ascii="Times New Roman" w:hAnsi="Times New Roman"/>
          <w:b w:val="0"/>
          <w:i w:val="0"/>
          <w:sz w:val="24"/>
        </w:rPr>
        <w:t>All AI tools used for assistance in code optimization, documentation, or brainstorming have been fully disclosed and documented in the AI_Usage.md and README.md files included in this submission.</w:t>
      </w:r>
    </w:p>
    <w:p>
      <w:pPr>
        <w:pStyle w:val="ListBullet"/>
        <w:spacing w:after="60"/>
        <w:jc w:val="both"/>
      </w:pPr>
      <w:r>
        <w:rPr>
          <w:rFonts w:ascii="Times New Roman" w:hAnsi="Times New Roman" w:cs="Times New Roman"/>
          <w:rFonts w:ascii="Times New Roman" w:hAnsi="Times New Roman"/>
          <w:b w:val="0"/>
          <w:i w:val="0"/>
          <w:sz w:val="24"/>
        </w:rPr>
        <w:t>The core actuarial logic and the novel synthesis of PELT and GEV theories remain the primary intellectual output of the team.</w:t>
      </w:r>
    </w:p>
    <w:p>
      <w:pPr>
        <w:spacing w:before="0" w:after="120"/>
        <w:jc w:val="both"/>
      </w:pPr>
      <w:r>
        <w:rPr>
          <w:rFonts w:ascii="Times New Roman" w:hAnsi="Times New Roman" w:cs="Times New Roman"/>
          <w:rFonts w:ascii="Times New Roman" w:hAnsi="Times New Roman"/>
          <w:b w:val="0"/>
          <w:i w:val="0"/>
          <w:sz w:val="24"/>
        </w:rPr>
        <w:t>We affirm that this submission was developed with the integrity and professional care expected within the actuarial profession. We accept full responsibility for the content and conclusions presented in our submission.</w:t>
      </w:r>
    </w:p>
    <w:p>
      <w:pPr>
        <w:spacing w:before="240" w:after="120"/>
        <w:jc w:val="left"/>
      </w:pPr>
      <w:r>
        <w:rPr>
          <w:rFonts w:ascii="Times New Roman" w:hAnsi="Times New Roman" w:cs="Times New Roman"/>
          <w:rFonts w:ascii="Times New Roman" w:hAnsi="Times New Roman"/>
          <w:b/>
          <w:i w:val="0"/>
          <w:color w:val="000000"/>
          <w:sz w:val="24"/>
        </w:rPr>
        <w:t>Team Members &amp; Signatures: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pPr>
              <w:jc w:val="center"/>
            </w:pPr>
            <w:r>
              <w:rPr>
                <w:rFonts w:ascii="Times New Roman" w:hAnsi="Times New Roman"/>
                <w:b/>
                <w:color w:val="FFFFFF"/>
                <w:sz w:val="24"/>
              </w:rPr>
              <w:t>Name</w:t>
            </w:r>
          </w:p>
        </w:tc>
        <w:tc>
          <w:tcPr>
            <w:tcW w:type="dxa" w:w="4680"/>
            <w:shd w:val="clear" w:color="auto" w:fill="1F497D"/>
          </w:tcPr>
          <w:p>
            <w:pPr>
              <w:jc w:val="center"/>
            </w:pPr>
            <w:r>
              <w:rPr>
                <w:rFonts w:ascii="Times New Roman" w:hAnsi="Times New Roman"/>
                <w:b/>
                <w:color w:val="FFFFFF"/>
                <w:sz w:val="24"/>
              </w:rPr>
              <w:t>Signature</w:t>
            </w:r>
          </w:p>
        </w:tc>
      </w:tr>
      <w:tr>
        <w:tc>
          <w:tcPr>
            <w:tcW w:type="dxa" w:w="4680"/>
          </w:tcPr>
          <w:p>
            <w:pPr>
              <w:jc w:val="center"/>
            </w:pPr>
            <w:r>
              <w:rPr>
                <w:rFonts w:ascii="Times New Roman" w:hAnsi="Times New Roman"/>
                <w:b w:val="0"/>
                <w:i w:val="0"/>
                <w:sz w:val="24"/>
              </w:rPr>
              <w:t>Khe Jia Kang</w:t>
            </w:r>
          </w:p>
        </w:tc>
        <w:tc>
          <w:tcPr>
            <w:tcW w:type="dxa" w:w="4680"/>
          </w:tcPr>
          <w:p>
            <w:pPr>
              <w:jc w:val="center"/>
            </w:pPr>
            <w:r>
              <w:rPr>
                <w:rFonts w:ascii="Times New Roman" w:hAnsi="Times New Roman"/>
                <w:b/>
                <w:i/>
                <w:sz w:val="24"/>
              </w:rPr>
              <w:t>Jia Kang</w:t>
            </w:r>
          </w:p>
        </w:tc>
      </w:tr>
      <w:tr>
        <w:tc>
          <w:tcPr>
            <w:tcW w:type="dxa" w:w="4680"/>
          </w:tcPr>
          <w:p>
            <w:pPr>
              <w:jc w:val="center"/>
            </w:pPr>
            <w:r>
              <w:rPr>
                <w:rFonts w:ascii="Times New Roman" w:hAnsi="Times New Roman"/>
                <w:b w:val="0"/>
                <w:i w:val="0"/>
                <w:sz w:val="24"/>
              </w:rPr>
              <w:t>Lean Wen Jie</w:t>
            </w:r>
          </w:p>
        </w:tc>
        <w:tc>
          <w:tcPr>
            <w:tcW w:type="dxa" w:w="4680"/>
          </w:tcPr>
          <w:p>
            <w:pPr>
              <w:jc w:val="center"/>
            </w:pPr>
            <w:r>
              <w:rPr>
                <w:rFonts w:ascii="Times New Roman" w:hAnsi="Times New Roman"/>
                <w:b/>
                <w:i/>
                <w:sz w:val="24"/>
              </w:rPr>
              <w:t>Wen Jie</w:t>
            </w:r>
          </w:p>
        </w:tc>
      </w:tr>
      <w:tr>
        <w:tc>
          <w:tcPr>
            <w:tcW w:type="dxa" w:w="4680"/>
          </w:tcPr>
          <w:p>
            <w:pPr>
              <w:jc w:val="center"/>
            </w:pPr>
            <w:r>
              <w:rPr>
                <w:rFonts w:ascii="Times New Roman" w:hAnsi="Times New Roman"/>
                <w:b w:val="0"/>
                <w:i w:val="0"/>
                <w:sz w:val="24"/>
              </w:rPr>
              <w:t>Lee Jing Xuan</w:t>
            </w:r>
          </w:p>
        </w:tc>
        <w:tc>
          <w:tcPr>
            <w:tcW w:type="dxa" w:w="4680"/>
          </w:tcPr>
          <w:p>
            <w:pPr>
              <w:jc w:val="center"/>
            </w:pPr>
            <w:r>
              <w:rPr>
                <w:rFonts w:ascii="Times New Roman" w:hAnsi="Times New Roman"/>
                <w:b/>
                <w:i/>
                <w:sz w:val="24"/>
              </w:rPr>
              <w:t>Sean</w:t>
            </w:r>
          </w:p>
        </w:tc>
      </w:tr>
      <w:tr>
        <w:tc>
          <w:tcPr>
            <w:tcW w:type="dxa" w:w="4680"/>
          </w:tcPr>
          <w:p>
            <w:pPr>
              <w:jc w:val="center"/>
            </w:pPr>
            <w:r>
              <w:rPr>
                <w:rFonts w:ascii="Times New Roman" w:hAnsi="Times New Roman"/>
                <w:b w:val="0"/>
                <w:i w:val="0"/>
                <w:sz w:val="24"/>
              </w:rPr>
              <w:t>Lau Hiap Meng</w:t>
            </w:r>
          </w:p>
        </w:tc>
        <w:tc>
          <w:tcPr>
            <w:tcW w:type="dxa" w:w="4680"/>
          </w:tcPr>
          <w:p>
            <w:pPr>
              <w:jc w:val="center"/>
            </w:pPr>
            <w:r>
              <w:rPr>
                <w:rFonts w:ascii="Times New Roman" w:hAnsi="Times New Roman"/>
                <w:b/>
                <w:i/>
                <w:sz w:val="24"/>
              </w:rPr>
              <w:t>Hiap Meng</w:t>
            </w:r>
          </w:p>
        </w:tc>
      </w:tr>
      <w:tr>
        <w:tc>
          <w:tcPr>
            <w:tcW w:type="dxa" w:w="4680"/>
          </w:tcPr>
          <w:p>
            <w:pPr>
              <w:jc w:val="center"/>
            </w:pPr>
            <w:r>
              <w:rPr>
                <w:rFonts w:ascii="Times New Roman" w:hAnsi="Times New Roman"/>
                <w:b w:val="0"/>
                <w:i w:val="0"/>
                <w:sz w:val="24"/>
              </w:rPr>
              <w:t>Felicia Sia Xin Rou</w:t>
            </w:r>
          </w:p>
        </w:tc>
        <w:tc>
          <w:tcPr>
            <w:tcW w:type="dxa" w:w="4680"/>
          </w:tcPr>
          <w:p>
            <w:pPr>
              <w:jc w:val="center"/>
            </w:pPr>
            <w:r>
              <w:rPr>
                <w:rFonts w:ascii="Times New Roman" w:hAnsi="Times New Roman"/>
                <w:b/>
                <w:i/>
                <w:sz w:val="24"/>
              </w:rPr>
              <w:t>Felicia</w:t>
            </w:r>
          </w:p>
        </w:tc>
      </w:tr>
    </w:tbl>
    <w:p>
      <w:r>
        <w:br w:type="page"/>
      </w:r>
    </w:p>
    <w:p>
      <w:pPr>
        <w:spacing w:before="240" w:after="120"/>
        <w:jc w:val="left"/>
      </w:pPr>
      <w:r>
        <w:rPr>
          <w:rFonts w:ascii="Times New Roman" w:hAnsi="Times New Roman" w:cs="Times New Roman"/>
          <w:rFonts w:ascii="Times New Roman" w:hAnsi="Times New Roman"/>
          <w:b/>
          <w:i w:val="0"/>
          <w:color w:val="1F497D"/>
          <w:sz w:val="28"/>
        </w:rPr>
        <w:t>Table of Contents</w:t>
      </w:r>
    </w:p>
    <w:p>
      <w:pPr>
        <w:spacing w:after="40"/>
      </w:pPr>
      <w:r>
        <w:rPr>
          <w:rFonts w:ascii="Times New Roman" w:hAnsi="Times New Roman"/>
          <w:b/>
          <w:sz w:val="24"/>
        </w:rPr>
        <w:t>1.  Executive Summary</w:t>
      </w:r>
    </w:p>
    <w:p>
      <w:pPr>
        <w:spacing w:after="40"/>
      </w:pPr>
      <w:r>
        <w:rPr>
          <w:rFonts w:ascii="Times New Roman" w:hAnsi="Times New Roman"/>
          <w:b/>
          <w:sz w:val="24"/>
        </w:rPr>
        <w:t>2.  Problem Framing &amp; Data Landscape</w:t>
      </w:r>
    </w:p>
    <w:p>
      <w:pPr>
        <w:spacing w:after="40"/>
      </w:pPr>
      <w:r>
        <w:rPr>
          <w:rFonts w:ascii="Times New Roman" w:hAnsi="Times New Roman"/>
          <w:b w:val="0"/>
          <w:sz w:val="24"/>
        </w:rPr>
        <w:t xml:space="preserve">   2.1  Key Indicators (WDI Wide Format + External Sources)</w:t>
      </w:r>
    </w:p>
    <w:p>
      <w:pPr>
        <w:spacing w:after="40"/>
      </w:pPr>
      <w:r>
        <w:rPr>
          <w:rFonts w:ascii="Times New Roman" w:hAnsi="Times New Roman"/>
          <w:b w:val="0"/>
          <w:sz w:val="24"/>
        </w:rPr>
        <w:t xml:space="preserve">   2.2  GHG Trends &amp; Sector Decomposition</w:t>
      </w:r>
    </w:p>
    <w:p>
      <w:pPr>
        <w:spacing w:after="40"/>
      </w:pPr>
      <w:r>
        <w:rPr>
          <w:rFonts w:ascii="Times New Roman" w:hAnsi="Times New Roman"/>
          <w:b/>
          <w:sz w:val="24"/>
        </w:rPr>
        <w:t>3.  GHG Forecasting -- ARIMA Model</w:t>
      </w:r>
    </w:p>
    <w:p>
      <w:pPr>
        <w:spacing w:after="40"/>
      </w:pPr>
      <w:r>
        <w:rPr>
          <w:rFonts w:ascii="Times New Roman" w:hAnsi="Times New Roman"/>
          <w:b w:val="0"/>
          <w:sz w:val="24"/>
        </w:rPr>
        <w:t xml:space="preserve">   3.1  Pre-Processing Improvements</w:t>
      </w:r>
    </w:p>
    <w:p>
      <w:pPr>
        <w:spacing w:after="40"/>
      </w:pPr>
      <w:r>
        <w:rPr>
          <w:rFonts w:ascii="Times New Roman" w:hAnsi="Times New Roman"/>
          <w:b w:val="0"/>
          <w:sz w:val="24"/>
        </w:rPr>
        <w:t xml:space="preserve">   3.2  Model Implications for Treaty Pricing</w:t>
      </w:r>
    </w:p>
    <w:p>
      <w:pPr>
        <w:spacing w:after="40"/>
      </w:pPr>
      <w:r>
        <w:rPr>
          <w:rFonts w:ascii="Times New Roman" w:hAnsi="Times New Roman"/>
          <w:b/>
          <w:sz w:val="24"/>
        </w:rPr>
        <w:t>4.  Physical Hazard -- GEV Analysis &amp; EAL Repricing</w:t>
      </w:r>
    </w:p>
    <w:p>
      <w:pPr>
        <w:spacing w:after="40"/>
      </w:pPr>
      <w:r>
        <w:rPr>
          <w:rFonts w:ascii="Times New Roman" w:hAnsi="Times New Roman"/>
          <w:b w:val="0"/>
          <w:sz w:val="24"/>
        </w:rPr>
        <w:t xml:space="preserve">   4.1  GEV Parameters &amp; Return Levels &amp; PELT Validation</w:t>
      </w:r>
    </w:p>
    <w:p>
      <w:pPr>
        <w:spacing w:after="40"/>
      </w:pPr>
      <w:r>
        <w:rPr>
          <w:rFonts w:ascii="Times New Roman" w:hAnsi="Times New Roman"/>
          <w:b w:val="0"/>
          <w:sz w:val="24"/>
        </w:rPr>
        <w:t xml:space="preserve">   4.2  EAL Repricing &amp; Sensitivity Analysis</w:t>
      </w:r>
    </w:p>
    <w:p>
      <w:pPr>
        <w:spacing w:after="40"/>
      </w:pPr>
      <w:r>
        <w:rPr>
          <w:rFonts w:ascii="Times New Roman" w:hAnsi="Times New Roman"/>
          <w:b/>
          <w:sz w:val="24"/>
        </w:rPr>
        <w:t>5.  Insurance Claims Comparison &amp; ENSO Dependence</w:t>
      </w:r>
    </w:p>
    <w:p>
      <w:pPr>
        <w:spacing w:after="40"/>
      </w:pPr>
      <w:r>
        <w:rPr>
          <w:rFonts w:ascii="Times New Roman" w:hAnsi="Times New Roman"/>
          <w:b w:val="0"/>
          <w:sz w:val="24"/>
        </w:rPr>
        <w:t xml:space="preserve">   5.1  Correlation Tests &amp; Copula Selection</w:t>
      </w:r>
    </w:p>
    <w:p>
      <w:pPr>
        <w:spacing w:after="40"/>
      </w:pPr>
      <w:r>
        <w:rPr>
          <w:rFonts w:ascii="Times New Roman" w:hAnsi="Times New Roman"/>
          <w:b w:val="0"/>
          <w:sz w:val="24"/>
        </w:rPr>
        <w:t xml:space="preserve">   5.2  MYS vs PHL Structural Comparison</w:t>
      </w:r>
    </w:p>
    <w:p>
      <w:pPr>
        <w:spacing w:after="40"/>
      </w:pPr>
      <w:r>
        <w:rPr>
          <w:rFonts w:ascii="Times New Roman" w:hAnsi="Times New Roman"/>
          <w:b/>
          <w:sz w:val="24"/>
        </w:rPr>
        <w:t>6.  Transition Risk -- NGFS GCAM 6.0 Assessment</w:t>
      </w:r>
    </w:p>
    <w:p>
      <w:pPr>
        <w:spacing w:after="40"/>
      </w:pPr>
      <w:r>
        <w:rPr>
          <w:rFonts w:ascii="Times New Roman" w:hAnsi="Times New Roman"/>
          <w:b w:val="0"/>
          <w:sz w:val="24"/>
        </w:rPr>
        <w:t xml:space="preserve">   6.1  MYS Sector Decomposition &amp; Country Comparison</w:t>
      </w:r>
    </w:p>
    <w:p>
      <w:pPr>
        <w:spacing w:after="40"/>
      </w:pPr>
      <w:r>
        <w:rPr>
          <w:rFonts w:ascii="Times New Roman" w:hAnsi="Times New Roman"/>
          <w:b w:val="0"/>
          <w:sz w:val="24"/>
        </w:rPr>
        <w:t xml:space="preserve">   6.2  Pass-Through to SEA Treaty Pool</w:t>
      </w:r>
    </w:p>
    <w:p>
      <w:pPr>
        <w:spacing w:after="40"/>
      </w:pPr>
      <w:r>
        <w:rPr>
          <w:rFonts w:ascii="Times New Roman" w:hAnsi="Times New Roman"/>
          <w:b/>
          <w:sz w:val="24"/>
        </w:rPr>
        <w:t>7.  Stress Testing &amp; 2030 Projections</w:t>
      </w:r>
    </w:p>
    <w:p>
      <w:pPr>
        <w:spacing w:after="40"/>
      </w:pPr>
      <w:r>
        <w:rPr>
          <w:rFonts w:ascii="Times New Roman" w:hAnsi="Times New Roman"/>
          <w:b w:val="0"/>
          <w:sz w:val="24"/>
        </w:rPr>
        <w:t xml:space="preserve">   7.1  Trajectory &amp; HRe Reserve Projections</w:t>
      </w:r>
    </w:p>
    <w:p>
      <w:pPr>
        <w:spacing w:after="40"/>
      </w:pPr>
      <w:r>
        <w:rPr>
          <w:rFonts w:ascii="Times New Roman" w:hAnsi="Times New Roman"/>
          <w:b w:val="0"/>
          <w:sz w:val="24"/>
        </w:rPr>
        <w:t xml:space="preserve">   7.2  Stress Scenario Design</w:t>
      </w:r>
    </w:p>
    <w:p>
      <w:pPr>
        <w:spacing w:after="40"/>
      </w:pPr>
      <w:r>
        <w:rPr>
          <w:rFonts w:ascii="Times New Roman" w:hAnsi="Times New Roman"/>
          <w:b/>
          <w:sz w:val="24"/>
        </w:rPr>
        <w:t>8.  Financial Impact -- Hannover Re Reserve Implications</w:t>
      </w:r>
    </w:p>
    <w:p>
      <w:pPr>
        <w:spacing w:after="40"/>
      </w:pPr>
      <w:r>
        <w:rPr>
          <w:rFonts w:ascii="Times New Roman" w:hAnsi="Times New Roman"/>
          <w:b w:val="0"/>
          <w:sz w:val="24"/>
        </w:rPr>
        <w:t xml:space="preserve">   8.1  HRe Reserve Gap -- Three-Tier Framing</w:t>
      </w:r>
    </w:p>
    <w:p>
      <w:pPr>
        <w:spacing w:after="40"/>
      </w:pPr>
      <w:r>
        <w:rPr>
          <w:rFonts w:ascii="Times New Roman" w:hAnsi="Times New Roman"/>
          <w:b w:val="0"/>
          <w:sz w:val="24"/>
        </w:rPr>
        <w:t xml:space="preserve">   8.2  Reserve Gap Sensitivity Heatmap</w:t>
      </w:r>
    </w:p>
    <w:p>
      <w:pPr>
        <w:spacing w:after="40"/>
      </w:pPr>
      <w:r>
        <w:rPr>
          <w:rFonts w:ascii="Times New Roman" w:hAnsi="Times New Roman"/>
          <w:b w:val="0"/>
          <w:sz w:val="24"/>
        </w:rPr>
        <w:t xml:space="preserve">   8.3  Insurance Penetration Gap</w:t>
      </w:r>
    </w:p>
    <w:p>
      <w:pPr>
        <w:spacing w:after="40"/>
      </w:pPr>
      <w:r>
        <w:rPr>
          <w:rFonts w:ascii="Times New Roman" w:hAnsi="Times New Roman"/>
          <w:b/>
          <w:sz w:val="24"/>
        </w:rPr>
        <w:t>9.  Strategic Risk Management Recommendations</w:t>
      </w:r>
    </w:p>
    <w:p>
      <w:pPr>
        <w:spacing w:after="40"/>
      </w:pPr>
      <w:r>
        <w:rPr>
          <w:rFonts w:ascii="Times New Roman" w:hAnsi="Times New Roman"/>
          <w:b/>
          <w:sz w:val="24"/>
        </w:rPr>
        <w:t>10.  Limitations, Scalability &amp; Conclusion</w:t>
      </w:r>
    </w:p>
    <w:p>
      <w:pPr>
        <w:spacing w:after="40"/>
      </w:pPr>
      <w:r>
        <w:rPr>
          <w:rFonts w:ascii="Times New Roman" w:hAnsi="Times New Roman"/>
          <w:b w:val="0"/>
          <w:sz w:val="24"/>
        </w:rPr>
        <w:t xml:space="preserve">   10.1  Key Limitations &amp; Mitigations</w:t>
      </w:r>
    </w:p>
    <w:p>
      <w:pPr>
        <w:spacing w:after="40"/>
      </w:pPr>
      <w:r>
        <w:rPr>
          <w:rFonts w:ascii="Times New Roman" w:hAnsi="Times New Roman"/>
          <w:b w:val="0"/>
          <w:sz w:val="24"/>
        </w:rPr>
        <w:t xml:space="preserve">   10.2  Regulatory Anchor Mapping</w:t>
      </w:r>
    </w:p>
    <w:p>
      <w:pPr>
        <w:spacing w:after="40"/>
      </w:pPr>
      <w:r>
        <w:rPr>
          <w:rFonts w:ascii="Times New Roman" w:hAnsi="Times New Roman"/>
          <w:b w:val="0"/>
          <w:sz w:val="24"/>
        </w:rPr>
        <w:t xml:space="preserve">   10.3  Conclusion</w:t>
      </w:r>
    </w:p>
    <w:p>
      <w:r>
        <w:br w:type="page"/>
      </w:r>
    </w:p>
    <w:p>
      <w:pPr>
        <w:spacing w:before="240" w:after="120"/>
        <w:jc w:val="left"/>
      </w:pPr>
      <w:r>
        <w:rPr>
          <w:rFonts w:ascii="Times New Roman" w:hAnsi="Times New Roman" w:cs="Times New Roman"/>
          <w:rFonts w:ascii="Times New Roman" w:hAnsi="Times New Roman"/>
          <w:b/>
          <w:i w:val="0"/>
          <w:color w:val="1F497D"/>
          <w:sz w:val="28"/>
        </w:rPr>
        <w:t>1. Executive Summary</w:t>
      </w:r>
    </w:p>
    <w:p>
      <w:pPr>
        <w:spacing w:before="0" w:after="120"/>
        <w:jc w:val="both"/>
      </w:pPr>
      <w:r>
        <w:rPr>
          <w:rFonts w:ascii="Times New Roman" w:hAnsi="Times New Roman" w:cs="Times New Roman"/>
          <w:rFonts w:ascii="Times New Roman" w:hAnsi="Times New Roman"/>
          <w:b w:val="0"/>
          <w:i w:val="0"/>
          <w:sz w:val="24"/>
        </w:rPr>
        <w:t>We identify two additive pricing gaps in HRe's SEA treaty book. (1) Physical gap (USD 18.4M/yr EAL shortfall) from a 2007 PELT regime shift undetected by burning-cost methods (+6.9% MYS / +6.1% PHL flood baseline). (2) Transition gap (USD 1.1bn/yr SEA pool at 3% pass-through) from NGFS NZ2050 carbon pricing (USD 55.58/t), with a critical LULUCF asymmetry: MYS net emitter (+63 MtCO₂e, palm oil) vs PHL net sink (-27 MtCO₂e, REDD+), making uniform SEA loadings actuarially incorrect. HRe annual reserve gap: USD 3.4M (floor) -- USD 9.7M (central) -- USD 18.6M (stress). The range width is the strongest argument for R5: cedant triangles narrow it ~60% in 12 months.</w:t>
      </w:r>
    </w:p>
    <w:p>
      <w:pPr>
        <w:spacing w:before="240" w:after="120"/>
        <w:jc w:val="left"/>
      </w:pPr>
      <w:r>
        <w:rPr>
          <w:rFonts w:ascii="Times New Roman" w:hAnsi="Times New Roman" w:cs="Times New Roman"/>
          <w:rFonts w:ascii="Times New Roman" w:hAnsi="Times New Roman"/>
          <w:b/>
          <w:i w:val="0"/>
          <w:color w:val="1F497D"/>
          <w:sz w:val="24"/>
        </w:rPr>
        <w:t>Key Quantitative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4031" w:type="dxa"/>
          </w:tcPr>
          <w:p>
            <w:pPr>
              <w:jc w:val="center"/>
            </w:pPr>
            <w:r>
              <w:rPr>
                <w:rFonts w:ascii="Times New Roman" w:hAnsi="Times New Roman"/>
                <w:b/>
                <w:color w:val="FFFFFF"/>
                <w:sz w:val="20"/>
              </w:rPr>
              <w:t>Metric</w:t>
            </w:r>
          </w:p>
        </w:tc>
        <w:tc>
          <w:tcPr>
            <w:tcW w:type="dxa" w:w="3120"/>
            <w:shd w:val="clear" w:color="auto" w:fill="1F497D"/>
            <w:tcW w:w="2592" w:type="dxa"/>
          </w:tcPr>
          <w:p>
            <w:pPr>
              <w:jc w:val="center"/>
            </w:pPr>
            <w:r>
              <w:rPr>
                <w:rFonts w:ascii="Times New Roman" w:hAnsi="Times New Roman"/>
                <w:b/>
                <w:color w:val="FFFFFF"/>
                <w:sz w:val="20"/>
              </w:rPr>
              <w:t>Malaysia (MYS)</w:t>
            </w:r>
          </w:p>
        </w:tc>
        <w:tc>
          <w:tcPr>
            <w:tcW w:type="dxa" w:w="3120"/>
            <w:shd w:val="clear" w:color="auto" w:fill="1F497D"/>
            <w:tcW w:w="2592" w:type="dxa"/>
          </w:tcPr>
          <w:p>
            <w:pPr>
              <w:jc w:val="center"/>
            </w:pPr>
            <w:r>
              <w:rPr>
                <w:rFonts w:ascii="Times New Roman" w:hAnsi="Times New Roman"/>
                <w:b/>
                <w:color w:val="FFFFFF"/>
                <w:sz w:val="20"/>
              </w:rPr>
              <w:t>Philippines (PHL)</w:t>
            </w:r>
          </w:p>
        </w:tc>
      </w:tr>
      <w:tr>
        <w:tc>
          <w:tcPr>
            <w:tcW w:type="dxa" w:w="3120"/>
            <w:shd w:val="clear" w:color="auto" w:fill="D9E2F3"/>
          </w:tcPr>
          <w:p>
            <w:pPr>
              <w:jc w:val="center"/>
            </w:pPr>
            <w:r>
              <w:rPr>
                <w:rFonts w:ascii="Times New Roman" w:hAnsi="Times New Roman"/>
                <w:sz w:val="20"/>
              </w:rPr>
              <w:t>ARIMA 2024 GHG forecast (MtCO₂e) / MAPE</w:t>
            </w:r>
          </w:p>
        </w:tc>
        <w:tc>
          <w:tcPr>
            <w:tcW w:type="dxa" w:w="3120"/>
            <w:shd w:val="clear" w:color="auto" w:fill="D9E2F3"/>
          </w:tcPr>
          <w:p>
            <w:pPr>
              <w:jc w:val="center"/>
            </w:pPr>
            <w:r>
              <w:rPr>
                <w:rFonts w:ascii="Times New Roman" w:hAnsi="Times New Roman"/>
                <w:sz w:val="20"/>
              </w:rPr>
              <w:t>325.1 (MAPE 1.71%)</w:t>
            </w:r>
          </w:p>
        </w:tc>
        <w:tc>
          <w:tcPr>
            <w:tcW w:type="dxa" w:w="3120"/>
            <w:shd w:val="clear" w:color="auto" w:fill="D9E2F3"/>
          </w:tcPr>
          <w:p>
            <w:pPr>
              <w:jc w:val="center"/>
            </w:pPr>
            <w:r>
              <w:rPr>
                <w:rFonts w:ascii="Times New Roman" w:hAnsi="Times New Roman"/>
                <w:sz w:val="20"/>
              </w:rPr>
              <w:t>260.8 (MAPE 3.56%)</w:t>
            </w:r>
          </w:p>
        </w:tc>
      </w:tr>
      <w:tr>
        <w:tc>
          <w:tcPr>
            <w:tcW w:type="dxa" w:w="3120"/>
            <w:shd w:val="clear" w:color="auto" w:fill="FFFFFF"/>
          </w:tcPr>
          <w:p>
            <w:pPr>
              <w:jc w:val="center"/>
            </w:pPr>
            <w:r>
              <w:rPr>
                <w:rFonts w:ascii="Times New Roman" w:hAnsi="Times New Roman"/>
                <w:sz w:val="20"/>
              </w:rPr>
              <w:t>GEV 100-yr RX5day return level (mm)</w:t>
            </w:r>
          </w:p>
        </w:tc>
        <w:tc>
          <w:tcPr>
            <w:tcW w:type="dxa" w:w="3120"/>
            <w:shd w:val="clear" w:color="auto" w:fill="FFFFFF"/>
          </w:tcPr>
          <w:p>
            <w:pPr>
              <w:jc w:val="center"/>
            </w:pPr>
            <w:r>
              <w:rPr>
                <w:rFonts w:ascii="Times New Roman" w:hAnsi="Times New Roman"/>
                <w:sz w:val="20"/>
              </w:rPr>
              <w:t>216 [171–344]</w:t>
            </w:r>
          </w:p>
        </w:tc>
        <w:tc>
          <w:tcPr>
            <w:tcW w:type="dxa" w:w="3120"/>
            <w:shd w:val="clear" w:color="auto" w:fill="FFFFFF"/>
          </w:tcPr>
          <w:p>
            <w:pPr>
              <w:jc w:val="center"/>
            </w:pPr>
            <w:r>
              <w:rPr>
                <w:rFonts w:ascii="Times New Roman" w:hAnsi="Times New Roman"/>
                <w:sz w:val="20"/>
              </w:rPr>
              <w:t>521 [326–985]</w:t>
            </w:r>
          </w:p>
        </w:tc>
      </w:tr>
      <w:tr>
        <w:tc>
          <w:tcPr>
            <w:tcW w:type="dxa" w:w="3120"/>
            <w:shd w:val="clear" w:color="auto" w:fill="D9E2F3"/>
          </w:tcPr>
          <w:p>
            <w:pPr>
              <w:jc w:val="center"/>
            </w:pPr>
            <w:r>
              <w:rPr>
                <w:rFonts w:ascii="Times New Roman" w:hAnsi="Times New Roman"/>
                <w:sz w:val="20"/>
              </w:rPr>
              <w:t>PELT break year / hazard uplift</w:t>
            </w:r>
          </w:p>
        </w:tc>
        <w:tc>
          <w:tcPr>
            <w:tcW w:type="dxa" w:w="3120"/>
            <w:shd w:val="clear" w:color="auto" w:fill="D9E2F3"/>
          </w:tcPr>
          <w:p>
            <w:pPr>
              <w:jc w:val="center"/>
            </w:pPr>
            <w:r>
              <w:rPr>
                <w:rFonts w:ascii="Times New Roman" w:hAnsi="Times New Roman"/>
                <w:sz w:val="20"/>
              </w:rPr>
              <w:t>2007 / +6.9%</w:t>
            </w:r>
          </w:p>
        </w:tc>
        <w:tc>
          <w:tcPr>
            <w:tcW w:type="dxa" w:w="3120"/>
            <w:shd w:val="clear" w:color="auto" w:fill="D9E2F3"/>
          </w:tcPr>
          <w:p>
            <w:pPr>
              <w:jc w:val="center"/>
            </w:pPr>
            <w:r>
              <w:rPr>
                <w:rFonts w:ascii="Times New Roman" w:hAnsi="Times New Roman"/>
                <w:sz w:val="20"/>
              </w:rPr>
              <w:t>2007 / +6.1%</w:t>
            </w:r>
          </w:p>
        </w:tc>
      </w:tr>
      <w:tr>
        <w:tc>
          <w:tcPr>
            <w:tcW w:type="dxa" w:w="3120"/>
            <w:shd w:val="clear" w:color="auto" w:fill="FFFFFF"/>
          </w:tcPr>
          <w:p>
            <w:pPr>
              <w:jc w:val="center"/>
            </w:pPr>
            <w:r>
              <w:rPr>
                <w:rFonts w:ascii="Times New Roman" w:hAnsi="Times New Roman"/>
                <w:sz w:val="20"/>
              </w:rPr>
              <w:t>Forward EAL vs. burning-cost gap</w:t>
            </w:r>
          </w:p>
        </w:tc>
        <w:tc>
          <w:tcPr>
            <w:tcW w:type="dxa" w:w="3120"/>
            <w:shd w:val="clear" w:color="auto" w:fill="FFFFFF"/>
          </w:tcPr>
          <w:p>
            <w:pPr>
              <w:jc w:val="center"/>
            </w:pPr>
            <w:r>
              <w:rPr>
                <w:rFonts w:ascii="Times New Roman" w:hAnsi="Times New Roman"/>
                <w:sz w:val="20"/>
              </w:rPr>
              <w:t>+USD 6.5M/yr (+5.87%)</w:t>
            </w:r>
          </w:p>
        </w:tc>
        <w:tc>
          <w:tcPr>
            <w:tcW w:type="dxa" w:w="3120"/>
            <w:shd w:val="clear" w:color="auto" w:fill="FFFFFF"/>
          </w:tcPr>
          <w:p>
            <w:pPr>
              <w:jc w:val="center"/>
            </w:pPr>
            <w:r>
              <w:rPr>
                <w:rFonts w:ascii="Times New Roman" w:hAnsi="Times New Roman"/>
                <w:sz w:val="20"/>
              </w:rPr>
              <w:t>+USD 11.9M/yr (+1.28%)</w:t>
            </w:r>
          </w:p>
        </w:tc>
      </w:tr>
      <w:tr>
        <w:tc>
          <w:tcPr>
            <w:tcW w:type="dxa" w:w="3120"/>
            <w:shd w:val="clear" w:color="auto" w:fill="D9E2F3"/>
          </w:tcPr>
          <w:p>
            <w:pPr>
              <w:jc w:val="center"/>
            </w:pPr>
            <w:r>
              <w:rPr>
                <w:rFonts w:ascii="Times New Roman" w:hAnsi="Times New Roman"/>
                <w:sz w:val="20"/>
              </w:rPr>
              <w:t>ENSO–loss correlation (annual, ONI DJF)</w:t>
            </w:r>
          </w:p>
        </w:tc>
        <w:tc>
          <w:tcPr>
            <w:tcW w:type="dxa" w:w="3120"/>
            <w:shd w:val="clear" w:color="auto" w:fill="D9E2F3"/>
          </w:tcPr>
          <w:p>
            <w:pPr>
              <w:jc w:val="center"/>
            </w:pPr>
            <w:r>
              <w:rPr>
                <w:rFonts w:ascii="Times New Roman" w:hAnsi="Times New Roman"/>
                <w:sz w:val="20"/>
              </w:rPr>
              <w:t>r = -0.016, p = 0.93</w:t>
            </w:r>
          </w:p>
        </w:tc>
        <w:tc>
          <w:tcPr>
            <w:tcW w:type="dxa" w:w="3120"/>
            <w:shd w:val="clear" w:color="auto" w:fill="D9E2F3"/>
          </w:tcPr>
          <w:p>
            <w:pPr>
              <w:jc w:val="center"/>
            </w:pPr>
            <w:r>
              <w:rPr>
                <w:rFonts w:ascii="Times New Roman" w:hAnsi="Times New Roman"/>
                <w:sz w:val="20"/>
              </w:rPr>
              <w:t>r = -0.026, p = 0.83</w:t>
            </w:r>
          </w:p>
        </w:tc>
      </w:tr>
      <w:tr>
        <w:tc>
          <w:tcPr>
            <w:tcW w:type="dxa" w:w="3120"/>
            <w:shd w:val="clear" w:color="auto" w:fill="FFFFFF"/>
          </w:tcPr>
          <w:p>
            <w:pPr>
              <w:jc w:val="center"/>
            </w:pPr>
            <w:r>
              <w:rPr>
                <w:rFonts w:ascii="Times New Roman" w:hAnsi="Times New Roman"/>
                <w:sz w:val="20"/>
              </w:rPr>
              <w:t>Transition cost @ NGFS NZ2050</w:t>
            </w:r>
          </w:p>
        </w:tc>
        <w:tc>
          <w:tcPr>
            <w:tcW w:type="dxa" w:w="3120"/>
            <w:shd w:val="clear" w:color="auto" w:fill="FFFFFF"/>
          </w:tcPr>
          <w:p>
            <w:pPr>
              <w:jc w:val="center"/>
            </w:pPr>
            <w:r>
              <w:rPr>
                <w:rFonts w:ascii="Times New Roman" w:hAnsi="Times New Roman"/>
                <w:sz w:val="20"/>
              </w:rPr>
              <w:t>USD 22.4bn/yr (5.5% GDP)</w:t>
            </w:r>
          </w:p>
        </w:tc>
        <w:tc>
          <w:tcPr>
            <w:tcW w:type="dxa" w:w="3120"/>
            <w:shd w:val="clear" w:color="auto" w:fill="FFFFFF"/>
          </w:tcPr>
          <w:p>
            <w:pPr>
              <w:jc w:val="center"/>
            </w:pPr>
            <w:r>
              <w:rPr>
                <w:rFonts w:ascii="Times New Roman" w:hAnsi="Times New Roman"/>
                <w:sz w:val="20"/>
              </w:rPr>
              <w:t>USD 14.8bn/yr (3.3% GDP)</w:t>
            </w:r>
          </w:p>
        </w:tc>
      </w:tr>
      <w:tr>
        <w:tc>
          <w:tcPr>
            <w:tcW w:type="dxa" w:w="3120"/>
            <w:shd w:val="clear" w:color="auto" w:fill="D9E2F3"/>
          </w:tcPr>
          <w:p>
            <w:pPr>
              <w:jc w:val="center"/>
            </w:pPr>
            <w:r>
              <w:rPr>
                <w:rFonts w:ascii="Times New Roman" w:hAnsi="Times New Roman"/>
                <w:sz w:val="20"/>
              </w:rPr>
              <w:t>SEA treaty pool exposure (3% pass-through)</w:t>
            </w:r>
          </w:p>
        </w:tc>
        <w:tc>
          <w:tcPr>
            <w:tcW w:type="dxa" w:w="3120"/>
            <w:shd w:val="clear" w:color="auto" w:fill="D9E2F3"/>
          </w:tcPr>
          <w:p>
            <w:pPr>
              <w:jc w:val="center"/>
            </w:pPr>
            <w:r>
              <w:rPr>
                <w:rFonts w:ascii="Times New Roman" w:hAnsi="Times New Roman"/>
                <w:sz w:val="20"/>
              </w:rPr>
              <w:t>USD 672M/yr</w:t>
            </w:r>
          </w:p>
        </w:tc>
        <w:tc>
          <w:tcPr>
            <w:tcW w:type="dxa" w:w="3120"/>
            <w:shd w:val="clear" w:color="auto" w:fill="D9E2F3"/>
          </w:tcPr>
          <w:p>
            <w:pPr>
              <w:jc w:val="center"/>
            </w:pPr>
            <w:r>
              <w:rPr>
                <w:rFonts w:ascii="Times New Roman" w:hAnsi="Times New Roman"/>
                <w:sz w:val="20"/>
              </w:rPr>
              <w:t>USD 444M/yr</w:t>
            </w:r>
          </w:p>
        </w:tc>
      </w:tr>
      <w:tr>
        <w:tc>
          <w:tcPr>
            <w:tcW w:type="dxa" w:w="3120"/>
            <w:shd w:val="clear" w:color="auto" w:fill="FFFFFF"/>
          </w:tcPr>
          <w:p>
            <w:pPr>
              <w:jc w:val="center"/>
            </w:pPr>
            <w:r>
              <w:rPr>
                <w:rFonts w:ascii="Times New Roman" w:hAnsi="Times New Roman"/>
                <w:sz w:val="20"/>
              </w:rPr>
              <w:t>HRe reserve gap -- floor / central / stress</w:t>
            </w:r>
          </w:p>
        </w:tc>
        <w:tc>
          <w:tcPr>
            <w:tcW w:type="dxa" w:w="3120"/>
            <w:shd w:val="clear" w:color="auto" w:fill="FFFFFF"/>
          </w:tcPr>
          <w:p>
            <w:pPr>
              <w:jc w:val="center"/>
            </w:pPr>
            <w:r>
              <w:rPr>
                <w:rFonts w:ascii="Times New Roman" w:hAnsi="Times New Roman"/>
                <w:sz w:val="20"/>
              </w:rPr>
              <w:t>USD 3.4M / 9.7M / 18.6M/yr</w:t>
            </w:r>
          </w:p>
        </w:tc>
        <w:tc>
          <w:tcPr>
            <w:tcW w:type="dxa" w:w="3120"/>
            <w:shd w:val="clear" w:color="auto" w:fill="FFFFFF"/>
          </w:tcPr>
          <w:p>
            <w:pPr>
              <w:jc w:val="center"/>
            </w:pPr>
            <w:r>
              <w:rPr>
                <w:rFonts w:ascii="Times New Roman" w:hAnsi="Times New Roman"/>
                <w:sz w:val="20"/>
              </w:rPr>
              <w:t>Total SEA pool: USD 1.115bn/yr</w:t>
            </w:r>
          </w:p>
        </w:tc>
      </w:tr>
    </w:tbl>
    <w:p>
      <w:pPr>
        <w:spacing w:before="0" w:after="120"/>
        <w:jc w:val="both"/>
      </w:pPr>
    </w:p>
    <w:p>
      <w:pPr>
        <w:spacing w:before="240" w:after="120"/>
        <w:jc w:val="left"/>
      </w:pPr>
      <w:r>
        <w:rPr>
          <w:rFonts w:ascii="Times New Roman" w:hAnsi="Times New Roman" w:cs="Times New Roman"/>
          <w:rFonts w:ascii="Times New Roman" w:hAnsi="Times New Roman"/>
          <w:b/>
          <w:i w:val="0"/>
          <w:color w:val="1F497D"/>
          <w:sz w:val="24"/>
        </w:rPr>
        <w:t>Methodology Overview</w:t>
      </w:r>
    </w:p>
    <w:p>
      <w:pPr>
        <w:spacing w:before="0" w:after="120"/>
        <w:jc w:val="both"/>
      </w:pPr>
      <w:r>
        <w:rPr>
          <w:rFonts w:ascii="Times New Roman" w:hAnsi="Times New Roman" w:cs="Times New Roman"/>
          <w:rFonts w:ascii="Times New Roman" w:hAnsi="Times New Roman"/>
          <w:b w:val="0"/>
          <w:i w:val="0"/>
          <w:sz w:val="24"/>
        </w:rPr>
        <w:t>Four analytical modules underpin this assessment. (1) ARIMA GHG Forecasting: AIC-selected ARIMA(p,1,q) with 3-step rolling MAPE on WDI WB_WDI_EN_GHG_ALL_MT_CE_AR5. ARIMAX with GDP/urbanisation as exogenous regressors was tested but rejected: GDP forecasts introduce endogenous error; univariate ARIMA residual ACF is clean at all lags ≤12. (2) GEV + EAL: MLE-GEV on 34yr CHIRPS RX5day, 500-iter bootstrap CI, PELT regime detection supported by PDO phase-shift literature (Loo et al. 2015; Cinco et al. 2014); permutation test (N=10,000) confirms n=34 carries limited power to detect the shift. (3) ENSO Copula: NOAA ONI DJF tests; AIC selects Independence copula; La Niña rho=0.32 designated as audit trigger only. (4) Transition Risk: NGFS GCAM 6.0 NZ2050 gap (USD 55.578/t) x Climate Watch 2023 sector GHG, 3%/yr IEA abatement, stressed 2× to 2030. Trigger year for binding capital constraint: ~2027.</w:t>
      </w:r>
    </w:p>
    <w:p>
      <w:pPr>
        <w:spacing w:before="240" w:after="120"/>
        <w:jc w:val="left"/>
      </w:pPr>
      <w:r>
        <w:rPr>
          <w:rFonts w:ascii="Times New Roman" w:hAnsi="Times New Roman" w:cs="Times New Roman"/>
          <w:rFonts w:ascii="Times New Roman" w:hAnsi="Times New Roman"/>
          <w:b/>
          <w:i w:val="0"/>
          <w:color w:val="1F497D"/>
          <w:sz w:val="24"/>
        </w:rPr>
        <w:t>Five Strategic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576" w:type="dxa"/>
          </w:tcPr>
          <w:p>
            <w:pPr>
              <w:jc w:val="center"/>
            </w:pPr>
            <w:r>
              <w:rPr>
                <w:rFonts w:ascii="Times New Roman" w:hAnsi="Times New Roman"/>
                <w:b/>
                <w:color w:val="FFFFFF"/>
                <w:sz w:val="20"/>
              </w:rPr>
              <w:t>#</w:t>
            </w:r>
          </w:p>
        </w:tc>
        <w:tc>
          <w:tcPr>
            <w:tcW w:type="dxa" w:w="3120"/>
            <w:shd w:val="clear" w:color="auto" w:fill="1F497D"/>
            <w:tcW w:w="2304" w:type="dxa"/>
          </w:tcPr>
          <w:p>
            <w:pPr>
              <w:jc w:val="center"/>
            </w:pPr>
            <w:r>
              <w:rPr>
                <w:rFonts w:ascii="Times New Roman" w:hAnsi="Times New Roman"/>
                <w:b/>
                <w:color w:val="FFFFFF"/>
                <w:sz w:val="20"/>
              </w:rPr>
              <w:t>Recommendation</w:t>
            </w:r>
          </w:p>
        </w:tc>
        <w:tc>
          <w:tcPr>
            <w:tcW w:type="dxa" w:w="3120"/>
            <w:shd w:val="clear" w:color="auto" w:fill="1F497D"/>
            <w:tcW w:w="6192" w:type="dxa"/>
          </w:tcPr>
          <w:p>
            <w:pPr>
              <w:jc w:val="center"/>
            </w:pPr>
            <w:r>
              <w:rPr>
                <w:rFonts w:ascii="Times New Roman" w:hAnsi="Times New Roman"/>
                <w:b/>
                <w:color w:val="FFFFFF"/>
                <w:sz w:val="20"/>
              </w:rPr>
              <w:t>Trigger / Loading / Regulatory Anchor</w:t>
            </w:r>
          </w:p>
        </w:tc>
      </w:tr>
      <w:tr>
        <w:tc>
          <w:tcPr>
            <w:tcW w:type="dxa" w:w="3120"/>
            <w:shd w:val="clear" w:color="auto" w:fill="D9E2F3"/>
          </w:tcPr>
          <w:p>
            <w:pPr>
              <w:jc w:val="center"/>
            </w:pPr>
            <w:r>
              <w:rPr>
                <w:rFonts w:ascii="Times New Roman" w:hAnsi="Times New Roman"/>
                <w:sz w:val="20"/>
              </w:rPr>
              <w:t>R1</w:t>
            </w:r>
          </w:p>
        </w:tc>
        <w:tc>
          <w:tcPr>
            <w:tcW w:type="dxa" w:w="3120"/>
            <w:shd w:val="clear" w:color="auto" w:fill="D9E2F3"/>
          </w:tcPr>
          <w:p>
            <w:pPr>
              <w:jc w:val="center"/>
            </w:pPr>
            <w:r>
              <w:rPr>
                <w:rFonts w:ascii="Times New Roman" w:hAnsi="Times New Roman"/>
                <w:sz w:val="20"/>
              </w:rPr>
              <w:t>GEV EAL flood loading</w:t>
            </w:r>
          </w:p>
        </w:tc>
        <w:tc>
          <w:tcPr>
            <w:tcW w:type="dxa" w:w="3120"/>
            <w:shd w:val="clear" w:color="auto" w:fill="D9E2F3"/>
          </w:tcPr>
          <w:p>
            <w:pPr>
              <w:jc w:val="center"/>
            </w:pPr>
            <w:r>
              <w:rPr>
                <w:rFonts w:ascii="Times New Roman" w:hAnsi="Times New Roman"/>
                <w:sz w:val="20"/>
              </w:rPr>
              <w:t>+35–36% MYS treaties &gt;USD 50M; +1–2% floor PHL. BNM CCPT Pillar 1, s.3.4.</w:t>
            </w:r>
          </w:p>
        </w:tc>
      </w:tr>
      <w:tr>
        <w:tc>
          <w:tcPr>
            <w:tcW w:type="dxa" w:w="3120"/>
            <w:shd w:val="clear" w:color="auto" w:fill="FFFFFF"/>
          </w:tcPr>
          <w:p>
            <w:pPr>
              <w:jc w:val="center"/>
            </w:pPr>
            <w:r>
              <w:rPr>
                <w:rFonts w:ascii="Times New Roman" w:hAnsi="Times New Roman"/>
                <w:sz w:val="20"/>
              </w:rPr>
              <w:t>R2</w:t>
            </w:r>
          </w:p>
        </w:tc>
        <w:tc>
          <w:tcPr>
            <w:tcW w:type="dxa" w:w="3120"/>
            <w:shd w:val="clear" w:color="auto" w:fill="FFFFFF"/>
          </w:tcPr>
          <w:p>
            <w:pPr>
              <w:jc w:val="center"/>
            </w:pPr>
            <w:r>
              <w:rPr>
                <w:rFonts w:ascii="Times New Roman" w:hAnsi="Times New Roman"/>
                <w:sz w:val="20"/>
              </w:rPr>
              <w:t>Country transition surcharges</w:t>
            </w:r>
          </w:p>
        </w:tc>
        <w:tc>
          <w:tcPr>
            <w:tcW w:type="dxa" w:w="3120"/>
            <w:shd w:val="clear" w:color="auto" w:fill="FFFFFF"/>
          </w:tcPr>
          <w:p>
            <w:pPr>
              <w:jc w:val="center"/>
            </w:pPr>
            <w:r>
              <w:rPr>
                <w:rFonts w:ascii="Times New Roman" w:hAnsi="Times New Roman"/>
                <w:sz w:val="20"/>
              </w:rPr>
              <w:t>3–5% MYS (CCPT C3/C4); 1–2% PHL (BSP 1085 s.X.4). Re-evaluate per NGFS Phase.</w:t>
            </w:r>
          </w:p>
        </w:tc>
      </w:tr>
      <w:tr>
        <w:tc>
          <w:tcPr>
            <w:tcW w:type="dxa" w:w="3120"/>
            <w:shd w:val="clear" w:color="auto" w:fill="D9E2F3"/>
          </w:tcPr>
          <w:p>
            <w:pPr>
              <w:jc w:val="center"/>
            </w:pPr>
            <w:r>
              <w:rPr>
                <w:rFonts w:ascii="Times New Roman" w:hAnsi="Times New Roman"/>
                <w:sz w:val="20"/>
              </w:rPr>
              <w:t>R3</w:t>
            </w:r>
          </w:p>
        </w:tc>
        <w:tc>
          <w:tcPr>
            <w:tcW w:type="dxa" w:w="3120"/>
            <w:shd w:val="clear" w:color="auto" w:fill="D9E2F3"/>
          </w:tcPr>
          <w:p>
            <w:pPr>
              <w:jc w:val="center"/>
            </w:pPr>
            <w:r>
              <w:rPr>
                <w:rFonts w:ascii="Times New Roman" w:hAnsi="Times New Roman"/>
                <w:sz w:val="20"/>
              </w:rPr>
              <w:t>ENSO conditional audit trigger</w:t>
            </w:r>
          </w:p>
        </w:tc>
        <w:tc>
          <w:tcPr>
            <w:tcW w:type="dxa" w:w="3120"/>
            <w:shd w:val="clear" w:color="auto" w:fill="D9E2F3"/>
          </w:tcPr>
          <w:p>
            <w:pPr>
              <w:jc w:val="center"/>
            </w:pPr>
            <w:r>
              <w:rPr>
                <w:rFonts w:ascii="Times New Roman" w:hAnsi="Times New Roman"/>
                <w:sz w:val="20"/>
              </w:rPr>
              <w:t>NOAA OND ONI ≤ -0.5°C. TCFD Risk Mgmt Rec (b). NOT a pricing variable.</w:t>
            </w:r>
          </w:p>
        </w:tc>
      </w:tr>
      <w:tr>
        <w:tc>
          <w:tcPr>
            <w:tcW w:type="dxa" w:w="3120"/>
            <w:shd w:val="clear" w:color="auto" w:fill="FFFFFF"/>
          </w:tcPr>
          <w:p>
            <w:pPr>
              <w:jc w:val="center"/>
            </w:pPr>
            <w:r>
              <w:rPr>
                <w:rFonts w:ascii="Times New Roman" w:hAnsi="Times New Roman"/>
                <w:sz w:val="20"/>
              </w:rPr>
              <w:t>R4</w:t>
            </w:r>
          </w:p>
        </w:tc>
        <w:tc>
          <w:tcPr>
            <w:tcW w:type="dxa" w:w="3120"/>
            <w:shd w:val="clear" w:color="auto" w:fill="FFFFFF"/>
          </w:tcPr>
          <w:p>
            <w:pPr>
              <w:jc w:val="center"/>
            </w:pPr>
            <w:r>
              <w:rPr>
                <w:rFonts w:ascii="Times New Roman" w:hAnsi="Times New Roman"/>
                <w:sz w:val="20"/>
              </w:rPr>
              <w:t>Climate Warranty Clause</w:t>
            </w:r>
          </w:p>
        </w:tc>
        <w:tc>
          <w:tcPr>
            <w:tcW w:type="dxa" w:w="3120"/>
            <w:shd w:val="clear" w:color="auto" w:fill="FFFFFF"/>
          </w:tcPr>
          <w:p>
            <w:pPr>
              <w:jc w:val="center"/>
            </w:pPr>
            <w:r>
              <w:rPr>
                <w:rFonts w:ascii="Times New Roman" w:hAnsi="Times New Roman"/>
                <w:sz w:val="20"/>
              </w:rPr>
              <w:t>MYS LULUCF: 10% co-participation. EUDR Art. 8; Lloyd’s ESG Guidance 2023 s.2.3.</w:t>
            </w:r>
          </w:p>
        </w:tc>
      </w:tr>
      <w:tr>
        <w:tc>
          <w:tcPr>
            <w:tcW w:type="dxa" w:w="3120"/>
            <w:shd w:val="clear" w:color="auto" w:fill="D9E2F3"/>
          </w:tcPr>
          <w:p>
            <w:pPr>
              <w:jc w:val="center"/>
            </w:pPr>
            <w:r>
              <w:rPr>
                <w:rFonts w:ascii="Times New Roman" w:hAnsi="Times New Roman"/>
                <w:sz w:val="20"/>
              </w:rPr>
              <w:t>R5</w:t>
            </w:r>
          </w:p>
        </w:tc>
        <w:tc>
          <w:tcPr>
            <w:tcW w:type="dxa" w:w="3120"/>
            <w:shd w:val="clear" w:color="auto" w:fill="D9E2F3"/>
          </w:tcPr>
          <w:p>
            <w:pPr>
              <w:jc w:val="center"/>
            </w:pPr>
            <w:r>
              <w:rPr>
                <w:rFonts w:ascii="Times New Roman" w:hAnsi="Times New Roman"/>
                <w:sz w:val="20"/>
              </w:rPr>
              <w:t>Data procurement (0–12 months)</w:t>
            </w:r>
          </w:p>
        </w:tc>
        <w:tc>
          <w:tcPr>
            <w:tcW w:type="dxa" w:w="3120"/>
            <w:shd w:val="clear" w:color="auto" w:fill="D9E2F3"/>
          </w:tcPr>
          <w:p>
            <w:pPr>
              <w:jc w:val="center"/>
            </w:pPr>
            <w:r>
              <w:rPr>
                <w:rFonts w:ascii="Times New Roman" w:hAnsi="Times New Roman"/>
                <w:sz w:val="20"/>
              </w:rPr>
              <w:t>Loss triangles + sub-national CHIRPS. Narrows reserve band from USD 15.2M to USD 6.1M.</w:t>
            </w:r>
          </w:p>
        </w:tc>
      </w:tr>
    </w:tbl>
    <w:p>
      <w:pPr>
        <w:spacing w:before="0" w:after="120"/>
        <w:jc w:val="both"/>
      </w:pPr>
    </w:p>
    <w:p>
      <w:pPr>
        <w:spacing w:before="240" w:after="120"/>
        <w:jc w:val="left"/>
      </w:pPr>
      <w:r>
        <w:rPr>
          <w:rFonts w:ascii="Times New Roman" w:hAnsi="Times New Roman" w:cs="Times New Roman"/>
          <w:rFonts w:ascii="Times New Roman" w:hAnsi="Times New Roman"/>
          <w:b/>
          <w:i w:val="0"/>
          <w:color w:val="1F497D"/>
          <w:sz w:val="24"/>
        </w:rPr>
        <w:t>Key Limitations</w:t>
      </w:r>
    </w:p>
    <w:p>
      <w:pPr>
        <w:spacing w:before="0" w:after="120"/>
        <w:jc w:val="both"/>
      </w:pPr>
      <w:r>
        <w:rPr>
          <w:rFonts w:ascii="Times New Roman" w:hAnsi="Times New Roman" w:cs="Times New Roman"/>
          <w:rFonts w:ascii="Times New Roman" w:hAnsi="Times New Roman"/>
          <w:b w:val="0"/>
          <w:i w:val="0"/>
          <w:sz w:val="24"/>
        </w:rPr>
        <w:t>The reserve range is driven by two uncertainties: 3% pass-through (+/-2pp, 5× variance) and 34-yr CHIRPS sample (+/-44.5pp PHL CI). Both addressed by R5, narrowing range ~60% within 12 months. Other limits: ARIMA no-break assumption (NETR 2023 conservative bias), LULUCF (+/-20–30% FAO 2020), La Niña copula (n=14). All R1–R5 valid across these ranges.</w:t>
      </w:r>
    </w:p>
    <w:p>
      <w:pPr>
        <w:spacing w:before="0" w:after="120"/>
        <w:jc w:val="both"/>
      </w:pPr>
      <w:r>
        <w:rPr>
          <w:rFonts w:ascii="Times New Roman" w:hAnsi="Times New Roman" w:cs="Times New Roman"/>
          <w:rFonts w:ascii="Times New Roman" w:hAnsi="Times New Roman"/>
          <w:b w:val="0"/>
          <w:i/>
          <w:sz w:val="24"/>
        </w:rPr>
        <w:t>Forward-looking 2030 framing: By 2030, MYS faces USD 23.8bn/yr and PHL USD 15.9bn/yr in NZ2050 transition compliance costs (combined USD 39.7bn/yr at $55.58/t), with the 2× stress scenario reaching USD 47.7bn (MYS) and USD 31.7bn (PHL) — making 2027 the actionable treaty repricing trigger year before the binding capital constraint threshold is crossed.</w:t>
      </w:r>
    </w:p>
    <w:p>
      <w:r>
        <w:br w:type="page"/>
      </w:r>
    </w:p>
    <w:p>
      <w:pPr>
        <w:spacing w:before="240" w:after="120"/>
        <w:jc w:val="left"/>
      </w:pPr>
      <w:r>
        <w:rPr>
          <w:rFonts w:ascii="Times New Roman" w:hAnsi="Times New Roman" w:cs="Times New Roman"/>
          <w:rFonts w:ascii="Times New Roman" w:hAnsi="Times New Roman"/>
          <w:b/>
          <w:i w:val="0"/>
          <w:color w:val="1F497D"/>
          <w:sz w:val="28"/>
        </w:rPr>
        <w:t>2. Problem Framing &amp; Data Landscape</w:t>
      </w:r>
    </w:p>
    <w:p>
      <w:pPr>
        <w:spacing w:before="0" w:after="120"/>
        <w:jc w:val="both"/>
      </w:pPr>
      <w:r>
        <w:rPr>
          <w:rFonts w:ascii="Times New Roman" w:hAnsi="Times New Roman" w:cs="Times New Roman"/>
          <w:rFonts w:ascii="Times New Roman" w:hAnsi="Times New Roman"/>
          <w:b w:val="0"/>
          <w:i w:val="0"/>
          <w:sz w:val="24"/>
        </w:rPr>
        <w:t>Hannover Re’s SEA non-life book faces rising insured assets, deteriorating hazard baselines, and emerging carbon regulations passing compliance costs through the supply chain. Current burning-cost treaty pricing pre-dates a 2007 hazard regime shift — systematically under-pricing flood and typhoon treaties. BNM CCPT and BSP Circular 1085 create divergent country pressures that uniform SEA surcharges cannot capture.</w:t>
      </w:r>
    </w:p>
    <w:p>
      <w:pPr>
        <w:spacing w:before="0" w:after="120"/>
        <w:jc w:val="both"/>
      </w:pPr>
      <w:r>
        <w:rPr>
          <w:rFonts w:ascii="Times New Roman" w:hAnsi="Times New Roman" w:cs="Times New Roman"/>
          <w:rFonts w:ascii="Times New Roman" w:hAnsi="Times New Roman"/>
          <w:b w:val="0"/>
          <w:i w:val="0"/>
          <w:sz w:val="24"/>
        </w:rPr>
        <w:t>This assessment concentrates on Malaysia (MYS, flood-dominant: 81 EM-DAT events 1990–2023) and the Philippines (PHL, typhoon-dominant: 414 events) — the two markets with the highest insured loss concentration in HRe’s APAC non-life sub-book. Hannover Re’s 2023 Sustainability Report (p.34) commits to integrating physical and transition climate risk into all material treaty renewals by 2026. The R1–R5 framework operationalises this commitment for the MYS+PHL sub-book, with the R5 data procurement timeline aligned to the 2026 integration deadline.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2592" w:type="dxa"/>
          </w:tcPr>
          <w:p>
            <w:pPr>
              <w:jc w:val="center"/>
            </w:pPr>
            <w:r>
              <w:rPr>
                <w:rFonts w:ascii="Times New Roman" w:hAnsi="Times New Roman"/>
                <w:b/>
                <w:color w:val="FFFFFF"/>
                <w:sz w:val="20"/>
              </w:rPr>
              <w:t>Risk Channel</w:t>
            </w:r>
          </w:p>
        </w:tc>
        <w:tc>
          <w:tcPr>
            <w:tcW w:type="dxa" w:w="3120"/>
            <w:shd w:val="clear" w:color="auto" w:fill="1F497D"/>
            <w:tcW w:w="3456" w:type="dxa"/>
          </w:tcPr>
          <w:p>
            <w:pPr>
              <w:jc w:val="center"/>
            </w:pPr>
            <w:r>
              <w:rPr>
                <w:rFonts w:ascii="Times New Roman" w:hAnsi="Times New Roman"/>
                <w:b/>
                <w:color w:val="FFFFFF"/>
                <w:sz w:val="20"/>
              </w:rPr>
              <w:t>Data / Model</w:t>
            </w:r>
          </w:p>
        </w:tc>
        <w:tc>
          <w:tcPr>
            <w:tcW w:type="dxa" w:w="3120"/>
            <w:shd w:val="clear" w:color="auto" w:fill="1F497D"/>
            <w:tcW w:w="3168" w:type="dxa"/>
          </w:tcPr>
          <w:p>
            <w:pPr>
              <w:jc w:val="center"/>
            </w:pPr>
            <w:r>
              <w:rPr>
                <w:rFonts w:ascii="Times New Roman" w:hAnsi="Times New Roman"/>
                <w:b/>
                <w:color w:val="FFFFFF"/>
                <w:sz w:val="20"/>
              </w:rPr>
              <w:t>Pricing Instrument</w:t>
            </w:r>
          </w:p>
        </w:tc>
      </w:tr>
      <w:tr>
        <w:tc>
          <w:tcPr>
            <w:tcW w:type="dxa" w:w="3120"/>
            <w:shd w:val="clear" w:color="auto" w:fill="D9E2F3"/>
          </w:tcPr>
          <w:p>
            <w:pPr>
              <w:jc w:val="center"/>
            </w:pPr>
            <w:r>
              <w:rPr>
                <w:rFonts w:ascii="Times New Roman" w:hAnsi="Times New Roman"/>
                <w:sz w:val="20"/>
              </w:rPr>
              <w:t>Physical – Hazard</w:t>
            </w:r>
          </w:p>
        </w:tc>
        <w:tc>
          <w:tcPr>
            <w:tcW w:type="dxa" w:w="3120"/>
            <w:shd w:val="clear" w:color="auto" w:fill="D9E2F3"/>
          </w:tcPr>
          <w:p>
            <w:pPr>
              <w:jc w:val="center"/>
            </w:pPr>
            <w:r>
              <w:rPr>
                <w:rFonts w:ascii="Times New Roman" w:hAnsi="Times New Roman"/>
                <w:sz w:val="20"/>
              </w:rPr>
              <w:t>CHIRPS v2.0 RX5day, GEV + PELT</w:t>
            </w:r>
          </w:p>
        </w:tc>
        <w:tc>
          <w:tcPr>
            <w:tcW w:type="dxa" w:w="3120"/>
            <w:shd w:val="clear" w:color="auto" w:fill="D9E2F3"/>
          </w:tcPr>
          <w:p>
            <w:pPr>
              <w:jc w:val="center"/>
            </w:pPr>
            <w:r>
              <w:rPr>
                <w:rFonts w:ascii="Times New Roman" w:hAnsi="Times New Roman"/>
                <w:sz w:val="20"/>
              </w:rPr>
              <w:t>Treaty flood EAL loading</w:t>
            </w:r>
          </w:p>
        </w:tc>
      </w:tr>
      <w:tr>
        <w:tc>
          <w:tcPr>
            <w:tcW w:type="dxa" w:w="3120"/>
            <w:shd w:val="clear" w:color="auto" w:fill="FFFFFF"/>
          </w:tcPr>
          <w:p>
            <w:pPr>
              <w:jc w:val="center"/>
            </w:pPr>
            <w:r>
              <w:rPr>
                <w:rFonts w:ascii="Times New Roman" w:hAnsi="Times New Roman"/>
                <w:sz w:val="20"/>
              </w:rPr>
              <w:t>Physical – Vulnerability</w:t>
            </w:r>
          </w:p>
        </w:tc>
        <w:tc>
          <w:tcPr>
            <w:tcW w:type="dxa" w:w="3120"/>
            <w:shd w:val="clear" w:color="auto" w:fill="FFFFFF"/>
          </w:tcPr>
          <w:p>
            <w:pPr>
              <w:jc w:val="center"/>
            </w:pPr>
            <w:r>
              <w:rPr>
                <w:rFonts w:ascii="Times New Roman" w:hAnsi="Times New Roman"/>
                <w:sz w:val="20"/>
              </w:rPr>
              <w:t>WDI Urbanisation × GDP/capita</w:t>
            </w:r>
          </w:p>
        </w:tc>
        <w:tc>
          <w:tcPr>
            <w:tcW w:type="dxa" w:w="3120"/>
            <w:shd w:val="clear" w:color="auto" w:fill="FFFFFF"/>
          </w:tcPr>
          <w:p>
            <w:pPr>
              <w:jc w:val="center"/>
            </w:pPr>
            <w:r>
              <w:rPr>
                <w:rFonts w:ascii="Times New Roman" w:hAnsi="Times New Roman"/>
                <w:sz w:val="20"/>
              </w:rPr>
              <w:t>EAL structural trend factor</w:t>
            </w:r>
          </w:p>
        </w:tc>
      </w:tr>
      <w:tr>
        <w:tc>
          <w:tcPr>
            <w:tcW w:type="dxa" w:w="3120"/>
            <w:shd w:val="clear" w:color="auto" w:fill="D9E2F3"/>
          </w:tcPr>
          <w:p>
            <w:pPr>
              <w:jc w:val="center"/>
            </w:pPr>
            <w:r>
              <w:rPr>
                <w:rFonts w:ascii="Times New Roman" w:hAnsi="Times New Roman"/>
                <w:sz w:val="20"/>
              </w:rPr>
              <w:t>Transition – Regulatory</w:t>
            </w:r>
          </w:p>
        </w:tc>
        <w:tc>
          <w:tcPr>
            <w:tcW w:type="dxa" w:w="3120"/>
            <w:shd w:val="clear" w:color="auto" w:fill="D9E2F3"/>
          </w:tcPr>
          <w:p>
            <w:pPr>
              <w:jc w:val="center"/>
            </w:pPr>
            <w:r>
              <w:rPr>
                <w:rFonts w:ascii="Times New Roman" w:hAnsi="Times New Roman"/>
                <w:sz w:val="20"/>
              </w:rPr>
              <w:t>NGFS GCAM 6.0 × Climate Watch</w:t>
            </w:r>
          </w:p>
        </w:tc>
        <w:tc>
          <w:tcPr>
            <w:tcW w:type="dxa" w:w="3120"/>
            <w:shd w:val="clear" w:color="auto" w:fill="D9E2F3"/>
          </w:tcPr>
          <w:p>
            <w:pPr>
              <w:jc w:val="center"/>
            </w:pPr>
            <w:r>
              <w:rPr>
                <w:rFonts w:ascii="Times New Roman" w:hAnsi="Times New Roman"/>
                <w:sz w:val="20"/>
              </w:rPr>
              <w:t>Country surcharge (3–5%)</w:t>
            </w:r>
          </w:p>
        </w:tc>
      </w:tr>
      <w:tr>
        <w:tc>
          <w:tcPr>
            <w:tcW w:type="dxa" w:w="3120"/>
            <w:shd w:val="clear" w:color="auto" w:fill="FFFFFF"/>
          </w:tcPr>
          <w:p>
            <w:pPr>
              <w:jc w:val="center"/>
            </w:pPr>
            <w:r>
              <w:rPr>
                <w:rFonts w:ascii="Times New Roman" w:hAnsi="Times New Roman"/>
                <w:sz w:val="20"/>
              </w:rPr>
              <w:t>Transition – LULUCF</w:t>
            </w:r>
          </w:p>
        </w:tc>
        <w:tc>
          <w:tcPr>
            <w:tcW w:type="dxa" w:w="3120"/>
            <w:shd w:val="clear" w:color="auto" w:fill="FFFFFF"/>
          </w:tcPr>
          <w:p>
            <w:pPr>
              <w:jc w:val="center"/>
            </w:pPr>
            <w:r>
              <w:rPr>
                <w:rFonts w:ascii="Times New Roman" w:hAnsi="Times New Roman"/>
                <w:sz w:val="20"/>
              </w:rPr>
              <w:t>MYS emitter +63 vs PHL sink -27 MtCO₂e</w:t>
            </w:r>
          </w:p>
        </w:tc>
        <w:tc>
          <w:tcPr>
            <w:tcW w:type="dxa" w:w="3120"/>
            <w:shd w:val="clear" w:color="auto" w:fill="FFFFFF"/>
          </w:tcPr>
          <w:p>
            <w:pPr>
              <w:jc w:val="center"/>
            </w:pPr>
            <w:r>
              <w:rPr>
                <w:rFonts w:ascii="Times New Roman" w:hAnsi="Times New Roman"/>
                <w:sz w:val="20"/>
              </w:rPr>
              <w:t>Asymmetric climate warranty</w:t>
            </w:r>
          </w:p>
        </w:tc>
      </w:tr>
    </w:tbl>
    <w:p>
      <w:pPr>
        <w:spacing w:before="0" w:after="120"/>
        <w:jc w:val="both"/>
      </w:pPr>
    </w:p>
    <w:p>
      <w:pPr>
        <w:spacing w:before="240" w:after="120"/>
        <w:jc w:val="left"/>
      </w:pPr>
      <w:r>
        <w:rPr>
          <w:rFonts w:ascii="Times New Roman" w:hAnsi="Times New Roman" w:cs="Times New Roman"/>
          <w:rFonts w:ascii="Times New Roman" w:hAnsi="Times New Roman"/>
          <w:b/>
          <w:i w:val="0"/>
          <w:color w:val="1F497D"/>
          <w:sz w:val="24"/>
        </w:rPr>
        <w:t>2.1 Key Indicators from WDI Wide Format &amp; External Sources</w:t>
      </w:r>
    </w:p>
    <w:p>
      <w:pPr>
        <w:spacing w:before="0" w:after="120"/>
        <w:jc w:val="both"/>
      </w:pPr>
      <w:r>
        <w:rPr>
          <w:rFonts w:ascii="Times New Roman" w:hAnsi="Times New Roman" w:cs="Times New Roman"/>
          <w:rFonts w:ascii="Times New Roman" w:hAnsi="Times New Roman"/>
          <w:b w:val="0"/>
          <w:i w:val="0"/>
          <w:sz w:val="24"/>
        </w:rPr>
        <w:t>Fifteen indicators were shortlisted from WDI (1,513 indicators) using actuarial relevance (IPCC AR6/Swiss Re), completeness (≥80% non-null), and non-redundancy (VIF &lt;5). The eight primary indicators: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W w:w="2592" w:type="dxa"/>
          </w:tcPr>
          <w:p>
            <w:pPr>
              <w:jc w:val="center"/>
            </w:pPr>
            <w:r>
              <w:rPr>
                <w:rFonts w:ascii="Times New Roman" w:hAnsi="Times New Roman"/>
                <w:b/>
                <w:color w:val="FFFFFF"/>
                <w:sz w:val="20"/>
              </w:rPr>
              <w:t>Indicator</w:t>
            </w:r>
          </w:p>
        </w:tc>
        <w:tc>
          <w:tcPr>
            <w:tcW w:type="dxa" w:w="2340"/>
            <w:shd w:val="clear" w:color="auto" w:fill="1F497D"/>
            <w:tcW w:w="1440" w:type="dxa"/>
          </w:tcPr>
          <w:p>
            <w:pPr>
              <w:jc w:val="center"/>
            </w:pPr>
            <w:r>
              <w:rPr>
                <w:rFonts w:ascii="Times New Roman" w:hAnsi="Times New Roman"/>
                <w:b/>
                <w:color w:val="FFFFFF"/>
                <w:sz w:val="20"/>
              </w:rPr>
              <w:t>Type</w:t>
            </w:r>
          </w:p>
        </w:tc>
        <w:tc>
          <w:tcPr>
            <w:tcW w:type="dxa" w:w="2340"/>
            <w:shd w:val="clear" w:color="auto" w:fill="1F497D"/>
            <w:tcW w:w="1440" w:type="dxa"/>
          </w:tcPr>
          <w:p>
            <w:pPr>
              <w:jc w:val="center"/>
            </w:pPr>
            <w:r>
              <w:rPr>
                <w:rFonts w:ascii="Times New Roman" w:hAnsi="Times New Roman"/>
                <w:b/>
                <w:color w:val="FFFFFF"/>
                <w:sz w:val="20"/>
              </w:rPr>
              <w:t>Layer</w:t>
            </w:r>
          </w:p>
        </w:tc>
        <w:tc>
          <w:tcPr>
            <w:tcW w:type="dxa" w:w="2340"/>
            <w:shd w:val="clear" w:color="auto" w:fill="1F497D"/>
            <w:tcW w:w="3600" w:type="dxa"/>
          </w:tcPr>
          <w:p>
            <w:pPr>
              <w:jc w:val="center"/>
            </w:pPr>
            <w:r>
              <w:rPr>
                <w:rFonts w:ascii="Times New Roman" w:hAnsi="Times New Roman"/>
                <w:b/>
                <w:color w:val="FFFFFF"/>
                <w:sz w:val="20"/>
              </w:rPr>
              <w:t>Key Actuarial Fact</w:t>
            </w:r>
          </w:p>
        </w:tc>
      </w:tr>
      <w:tr>
        <w:tc>
          <w:tcPr>
            <w:tcW w:type="dxa" w:w="2340"/>
            <w:shd w:val="clear" w:color="auto" w:fill="D9E2F3"/>
          </w:tcPr>
          <w:p>
            <w:pPr>
              <w:jc w:val="center"/>
            </w:pPr>
            <w:r>
              <w:rPr>
                <w:rFonts w:ascii="Times New Roman" w:hAnsi="Times New Roman"/>
                <w:sz w:val="20"/>
              </w:rPr>
              <w:t>CHIRPS RX5day annual max</w:t>
            </w:r>
          </w:p>
        </w:tc>
        <w:tc>
          <w:tcPr>
            <w:tcW w:type="dxa" w:w="2340"/>
            <w:shd w:val="clear" w:color="auto" w:fill="D9E2F3"/>
          </w:tcPr>
          <w:p>
            <w:pPr>
              <w:jc w:val="center"/>
            </w:pPr>
            <w:r>
              <w:rPr>
                <w:rFonts w:ascii="Times New Roman" w:hAnsi="Times New Roman"/>
                <w:sz w:val="20"/>
              </w:rPr>
              <w:t>Physical</w:t>
            </w:r>
          </w:p>
        </w:tc>
        <w:tc>
          <w:tcPr>
            <w:tcW w:type="dxa" w:w="2340"/>
            <w:shd w:val="clear" w:color="auto" w:fill="D9E2F3"/>
          </w:tcPr>
          <w:p>
            <w:pPr>
              <w:jc w:val="center"/>
            </w:pPr>
            <w:r>
              <w:rPr>
                <w:rFonts w:ascii="Times New Roman" w:hAnsi="Times New Roman"/>
                <w:sz w:val="20"/>
              </w:rPr>
              <w:t>Hazard</w:t>
            </w:r>
          </w:p>
        </w:tc>
        <w:tc>
          <w:tcPr>
            <w:tcW w:type="dxa" w:w="2340"/>
            <w:shd w:val="clear" w:color="auto" w:fill="D9E2F3"/>
          </w:tcPr>
          <w:p>
            <w:pPr>
              <w:jc w:val="center"/>
            </w:pPr>
            <w:r>
              <w:rPr>
                <w:rFonts w:ascii="Times New Roman" w:hAnsi="Times New Roman"/>
                <w:sz w:val="20"/>
              </w:rPr>
              <w:t>MYS mean 133.9mm; PHL 244.4mm; WMO ETCCDI index</w:t>
            </w:r>
          </w:p>
        </w:tc>
      </w:tr>
      <w:tr>
        <w:tc>
          <w:tcPr>
            <w:tcW w:type="dxa" w:w="2340"/>
            <w:shd w:val="clear" w:color="auto" w:fill="FFFFFF"/>
          </w:tcPr>
          <w:p>
            <w:pPr>
              <w:jc w:val="center"/>
            </w:pPr>
            <w:r>
              <w:rPr>
                <w:rFonts w:ascii="Times New Roman" w:hAnsi="Times New Roman"/>
                <w:sz w:val="20"/>
              </w:rPr>
              <w:t>WDI Total GHG AR5 (MtCO₂e)</w:t>
            </w:r>
          </w:p>
        </w:tc>
        <w:tc>
          <w:tcPr>
            <w:tcW w:type="dxa" w:w="2340"/>
            <w:shd w:val="clear" w:color="auto" w:fill="FFFFFF"/>
          </w:tcPr>
          <w:p>
            <w:pPr>
              <w:jc w:val="center"/>
            </w:pPr>
            <w:r>
              <w:rPr>
                <w:rFonts w:ascii="Times New Roman" w:hAnsi="Times New Roman"/>
                <w:sz w:val="20"/>
              </w:rPr>
              <w:t>Phys+Trans</w:t>
            </w:r>
          </w:p>
        </w:tc>
        <w:tc>
          <w:tcPr>
            <w:tcW w:type="dxa" w:w="2340"/>
            <w:shd w:val="clear" w:color="auto" w:fill="FFFFFF"/>
          </w:tcPr>
          <w:p>
            <w:pPr>
              <w:jc w:val="center"/>
            </w:pPr>
            <w:r>
              <w:rPr>
                <w:rFonts w:ascii="Times New Roman" w:hAnsi="Times New Roman"/>
                <w:sz w:val="20"/>
              </w:rPr>
              <w:t>ARIMA target</w:t>
            </w:r>
          </w:p>
        </w:tc>
        <w:tc>
          <w:tcPr>
            <w:tcW w:type="dxa" w:w="2340"/>
            <w:shd w:val="clear" w:color="auto" w:fill="FFFFFF"/>
          </w:tcPr>
          <w:p>
            <w:pPr>
              <w:jc w:val="center"/>
            </w:pPr>
            <w:r>
              <w:rPr>
                <w:rFonts w:ascii="Times New Roman" w:hAnsi="Times New Roman"/>
                <w:sz w:val="20"/>
              </w:rPr>
              <w:t>MYS +271%; PHL +177% growth 1990–2023</w:t>
            </w:r>
          </w:p>
        </w:tc>
      </w:tr>
      <w:tr>
        <w:tc>
          <w:tcPr>
            <w:tcW w:type="dxa" w:w="2340"/>
            <w:shd w:val="clear" w:color="auto" w:fill="D9E2F3"/>
          </w:tcPr>
          <w:p>
            <w:pPr>
              <w:jc w:val="center"/>
            </w:pPr>
            <w:r>
              <w:rPr>
                <w:rFonts w:ascii="Times New Roman" w:hAnsi="Times New Roman"/>
                <w:sz w:val="20"/>
              </w:rPr>
              <w:t>NOAA ONI DJF anomaly</w:t>
            </w:r>
          </w:p>
        </w:tc>
        <w:tc>
          <w:tcPr>
            <w:tcW w:type="dxa" w:w="2340"/>
            <w:shd w:val="clear" w:color="auto" w:fill="D9E2F3"/>
          </w:tcPr>
          <w:p>
            <w:pPr>
              <w:jc w:val="center"/>
            </w:pPr>
            <w:r>
              <w:rPr>
                <w:rFonts w:ascii="Times New Roman" w:hAnsi="Times New Roman"/>
                <w:sz w:val="20"/>
              </w:rPr>
              <w:t>Physical</w:t>
            </w:r>
          </w:p>
        </w:tc>
        <w:tc>
          <w:tcPr>
            <w:tcW w:type="dxa" w:w="2340"/>
            <w:shd w:val="clear" w:color="auto" w:fill="D9E2F3"/>
          </w:tcPr>
          <w:p>
            <w:pPr>
              <w:jc w:val="center"/>
            </w:pPr>
            <w:r>
              <w:rPr>
                <w:rFonts w:ascii="Times New Roman" w:hAnsi="Times New Roman"/>
                <w:sz w:val="20"/>
              </w:rPr>
              <w:t>Dependence</w:t>
            </w:r>
          </w:p>
        </w:tc>
        <w:tc>
          <w:tcPr>
            <w:tcW w:type="dxa" w:w="2340"/>
            <w:shd w:val="clear" w:color="auto" w:fill="D9E2F3"/>
          </w:tcPr>
          <w:p>
            <w:pPr>
              <w:jc w:val="center"/>
            </w:pPr>
            <w:r>
              <w:rPr>
                <w:rFonts w:ascii="Times New Roman" w:hAnsi="Times New Roman"/>
                <w:sz w:val="20"/>
              </w:rPr>
              <w:t>ENSO annual correlation r=-0.016 (not sig.)</w:t>
            </w:r>
          </w:p>
        </w:tc>
      </w:tr>
      <w:tr>
        <w:tc>
          <w:tcPr>
            <w:tcW w:type="dxa" w:w="2340"/>
            <w:shd w:val="clear" w:color="auto" w:fill="FFFFFF"/>
          </w:tcPr>
          <w:p>
            <w:pPr>
              <w:jc w:val="center"/>
            </w:pPr>
            <w:r>
              <w:rPr>
                <w:rFonts w:ascii="Times New Roman" w:hAnsi="Times New Roman"/>
                <w:sz w:val="20"/>
              </w:rPr>
              <w:t>WDI Urban pop %</w:t>
            </w:r>
          </w:p>
        </w:tc>
        <w:tc>
          <w:tcPr>
            <w:tcW w:type="dxa" w:w="2340"/>
            <w:shd w:val="clear" w:color="auto" w:fill="FFFFFF"/>
          </w:tcPr>
          <w:p>
            <w:pPr>
              <w:jc w:val="center"/>
            </w:pPr>
            <w:r>
              <w:rPr>
                <w:rFonts w:ascii="Times New Roman" w:hAnsi="Times New Roman"/>
                <w:sz w:val="20"/>
              </w:rPr>
              <w:t>Physical</w:t>
            </w:r>
          </w:p>
        </w:tc>
        <w:tc>
          <w:tcPr>
            <w:tcW w:type="dxa" w:w="2340"/>
            <w:shd w:val="clear" w:color="auto" w:fill="FFFFFF"/>
          </w:tcPr>
          <w:p>
            <w:pPr>
              <w:jc w:val="center"/>
            </w:pPr>
            <w:r>
              <w:rPr>
                <w:rFonts w:ascii="Times New Roman" w:hAnsi="Times New Roman"/>
                <w:sz w:val="20"/>
              </w:rPr>
              <w:t>Vulnerability</w:t>
            </w:r>
          </w:p>
        </w:tc>
        <w:tc>
          <w:tcPr>
            <w:tcW w:type="dxa" w:w="2340"/>
            <w:shd w:val="clear" w:color="auto" w:fill="FFFFFF"/>
          </w:tcPr>
          <w:p>
            <w:pPr>
              <w:jc w:val="center"/>
            </w:pPr>
            <w:r>
              <w:rPr>
                <w:rFonts w:ascii="Times New Roman" w:hAnsi="Times New Roman"/>
                <w:sz w:val="20"/>
              </w:rPr>
              <w:t>MYS 49%→76.4%; same footprint, 56% more assets</w:t>
            </w:r>
          </w:p>
        </w:tc>
      </w:tr>
      <w:tr>
        <w:tc>
          <w:tcPr>
            <w:tcW w:type="dxa" w:w="2340"/>
            <w:shd w:val="clear" w:color="auto" w:fill="D9E2F3"/>
          </w:tcPr>
          <w:p>
            <w:pPr>
              <w:jc w:val="center"/>
            </w:pPr>
            <w:r>
              <w:rPr>
                <w:rFonts w:ascii="Times New Roman" w:hAnsi="Times New Roman"/>
                <w:sz w:val="20"/>
              </w:rPr>
              <w:t>Climate Watch Energy GHG</w:t>
            </w:r>
          </w:p>
        </w:tc>
        <w:tc>
          <w:tcPr>
            <w:tcW w:type="dxa" w:w="2340"/>
            <w:shd w:val="clear" w:color="auto" w:fill="D9E2F3"/>
          </w:tcPr>
          <w:p>
            <w:pPr>
              <w:jc w:val="center"/>
            </w:pPr>
            <w:r>
              <w:rPr>
                <w:rFonts w:ascii="Times New Roman" w:hAnsi="Times New Roman"/>
                <w:sz w:val="20"/>
              </w:rPr>
              <w:t>Transition</w:t>
            </w:r>
          </w:p>
        </w:tc>
        <w:tc>
          <w:tcPr>
            <w:tcW w:type="dxa" w:w="2340"/>
            <w:shd w:val="clear" w:color="auto" w:fill="D9E2F3"/>
          </w:tcPr>
          <w:p>
            <w:pPr>
              <w:jc w:val="center"/>
            </w:pPr>
            <w:r>
              <w:rPr>
                <w:rFonts w:ascii="Times New Roman" w:hAnsi="Times New Roman"/>
                <w:sz w:val="20"/>
              </w:rPr>
              <w:t>Exposure</w:t>
            </w:r>
          </w:p>
        </w:tc>
        <w:tc>
          <w:tcPr>
            <w:tcW w:type="dxa" w:w="2340"/>
            <w:shd w:val="clear" w:color="auto" w:fill="D9E2F3"/>
          </w:tcPr>
          <w:p>
            <w:pPr>
              <w:jc w:val="center"/>
            </w:pPr>
            <w:r>
              <w:rPr>
                <w:rFonts w:ascii="Times New Roman" w:hAnsi="Times New Roman"/>
                <w:sz w:val="20"/>
              </w:rPr>
              <w:t>MYS 279.9 MtCO₂e = 69.5% of total (Energy sector)</w:t>
            </w:r>
          </w:p>
        </w:tc>
      </w:tr>
      <w:tr>
        <w:tc>
          <w:tcPr>
            <w:tcW w:type="dxa" w:w="2340"/>
            <w:shd w:val="clear" w:color="auto" w:fill="FFFFFF"/>
          </w:tcPr>
          <w:p>
            <w:pPr>
              <w:jc w:val="center"/>
            </w:pPr>
            <w:r>
              <w:rPr>
                <w:rFonts w:ascii="Times New Roman" w:hAnsi="Times New Roman"/>
                <w:sz w:val="20"/>
              </w:rPr>
              <w:t>Climate Watch LULUCF net</w:t>
            </w:r>
          </w:p>
        </w:tc>
        <w:tc>
          <w:tcPr>
            <w:tcW w:type="dxa" w:w="2340"/>
            <w:shd w:val="clear" w:color="auto" w:fill="FFFFFF"/>
          </w:tcPr>
          <w:p>
            <w:pPr>
              <w:jc w:val="center"/>
            </w:pPr>
            <w:r>
              <w:rPr>
                <w:rFonts w:ascii="Times New Roman" w:hAnsi="Times New Roman"/>
                <w:sz w:val="20"/>
              </w:rPr>
              <w:t>Transition</w:t>
            </w:r>
          </w:p>
        </w:tc>
        <w:tc>
          <w:tcPr>
            <w:tcW w:type="dxa" w:w="2340"/>
            <w:shd w:val="clear" w:color="auto" w:fill="FFFFFF"/>
          </w:tcPr>
          <w:p>
            <w:pPr>
              <w:jc w:val="center"/>
            </w:pPr>
            <w:r>
              <w:rPr>
                <w:rFonts w:ascii="Times New Roman" w:hAnsi="Times New Roman"/>
                <w:sz w:val="20"/>
              </w:rPr>
              <w:t>Asymmetry</w:t>
            </w:r>
          </w:p>
        </w:tc>
        <w:tc>
          <w:tcPr>
            <w:tcW w:type="dxa" w:w="2340"/>
            <w:shd w:val="clear" w:color="auto" w:fill="FFFFFF"/>
          </w:tcPr>
          <w:p>
            <w:pPr>
              <w:jc w:val="center"/>
            </w:pPr>
            <w:r>
              <w:rPr>
                <w:rFonts w:ascii="Times New Roman" w:hAnsi="Times New Roman"/>
                <w:sz w:val="20"/>
              </w:rPr>
              <w:t>MYS +63.3 (emitter) vs PHL -26.9 (carbon sink)</w:t>
            </w:r>
          </w:p>
        </w:tc>
      </w:tr>
      <w:tr>
        <w:tc>
          <w:tcPr>
            <w:tcW w:type="dxa" w:w="2340"/>
            <w:shd w:val="clear" w:color="auto" w:fill="D9E2F3"/>
          </w:tcPr>
          <w:p>
            <w:pPr>
              <w:jc w:val="center"/>
            </w:pPr>
            <w:r>
              <w:rPr>
                <w:rFonts w:ascii="Times New Roman" w:hAnsi="Times New Roman"/>
                <w:sz w:val="20"/>
              </w:rPr>
              <w:t>NGFS GCAM 6.0 NZ2050 price</w:t>
            </w:r>
          </w:p>
        </w:tc>
        <w:tc>
          <w:tcPr>
            <w:tcW w:type="dxa" w:w="2340"/>
            <w:shd w:val="clear" w:color="auto" w:fill="D9E2F3"/>
          </w:tcPr>
          <w:p>
            <w:pPr>
              <w:jc w:val="center"/>
            </w:pPr>
            <w:r>
              <w:rPr>
                <w:rFonts w:ascii="Times New Roman" w:hAnsi="Times New Roman"/>
                <w:sz w:val="20"/>
              </w:rPr>
              <w:t>Transition</w:t>
            </w:r>
          </w:p>
        </w:tc>
        <w:tc>
          <w:tcPr>
            <w:tcW w:type="dxa" w:w="2340"/>
            <w:shd w:val="clear" w:color="auto" w:fill="D9E2F3"/>
          </w:tcPr>
          <w:p>
            <w:pPr>
              <w:jc w:val="center"/>
            </w:pPr>
            <w:r>
              <w:rPr>
                <w:rFonts w:ascii="Times New Roman" w:hAnsi="Times New Roman"/>
                <w:sz w:val="20"/>
              </w:rPr>
              <w:t>Cost scalar</w:t>
            </w:r>
          </w:p>
        </w:tc>
        <w:tc>
          <w:tcPr>
            <w:tcW w:type="dxa" w:w="2340"/>
            <w:shd w:val="clear" w:color="auto" w:fill="D9E2F3"/>
          </w:tcPr>
          <w:p>
            <w:pPr>
              <w:jc w:val="center"/>
            </w:pPr>
            <w:r>
              <w:rPr>
                <w:rFonts w:ascii="Times New Roman" w:hAnsi="Times New Roman"/>
                <w:sz w:val="20"/>
              </w:rPr>
              <w:t>USD 55.578/t (NZ2050 vs Current Policies gap)</w:t>
            </w:r>
          </w:p>
        </w:tc>
      </w:tr>
      <w:tr>
        <w:tc>
          <w:tcPr>
            <w:tcW w:type="dxa" w:w="2340"/>
            <w:shd w:val="clear" w:color="auto" w:fill="FFFFFF"/>
          </w:tcPr>
          <w:p>
            <w:pPr>
              <w:jc w:val="center"/>
            </w:pPr>
            <w:r>
              <w:rPr>
                <w:rFonts w:ascii="Times New Roman" w:hAnsi="Times New Roman"/>
                <w:sz w:val="20"/>
              </w:rPr>
              <w:t>WDI GDP/capita; Forest %</w:t>
            </w:r>
          </w:p>
        </w:tc>
        <w:tc>
          <w:tcPr>
            <w:tcW w:type="dxa" w:w="2340"/>
            <w:shd w:val="clear" w:color="auto" w:fill="FFFFFF"/>
          </w:tcPr>
          <w:p>
            <w:pPr>
              <w:jc w:val="center"/>
            </w:pPr>
            <w:r>
              <w:rPr>
                <w:rFonts w:ascii="Times New Roman" w:hAnsi="Times New Roman"/>
                <w:sz w:val="20"/>
              </w:rPr>
              <w:t>Phys+Trans</w:t>
            </w:r>
          </w:p>
        </w:tc>
        <w:tc>
          <w:tcPr>
            <w:tcW w:type="dxa" w:w="2340"/>
            <w:shd w:val="clear" w:color="auto" w:fill="FFFFFF"/>
          </w:tcPr>
          <w:p>
            <w:pPr>
              <w:jc w:val="center"/>
            </w:pPr>
            <w:r>
              <w:rPr>
                <w:rFonts w:ascii="Times New Roman" w:hAnsi="Times New Roman"/>
                <w:sz w:val="20"/>
              </w:rPr>
              <w:t>Loss/LULUCF</w:t>
            </w:r>
          </w:p>
        </w:tc>
        <w:tc>
          <w:tcPr>
            <w:tcW w:type="dxa" w:w="2340"/>
            <w:shd w:val="clear" w:color="auto" w:fill="FFFFFF"/>
          </w:tcPr>
          <w:p>
            <w:pPr>
              <w:jc w:val="center"/>
            </w:pPr>
            <w:r>
              <w:rPr>
                <w:rFonts w:ascii="Times New Roman" w:hAnsi="Times New Roman"/>
                <w:sz w:val="20"/>
              </w:rPr>
              <w:t>Penetration proxy + carbon stock dual role</w:t>
            </w:r>
          </w:p>
        </w:tc>
      </w:tr>
    </w:tbl>
    <w:p>
      <w:pPr>
        <w:spacing w:before="0" w:after="160"/>
        <w:jc w:val="center"/>
      </w:pPr>
      <w:r>
        <w:rPr>
          <w:rFonts w:ascii="Times New Roman" w:hAnsi="Times New Roman" w:cs="Times New Roman"/>
          <w:rFonts w:ascii="Times New Roman" w:hAnsi="Times New Roman"/>
          <w:b w:val="0"/>
          <w:i/>
          <w:sz w:val="20"/>
        </w:rPr>
        <w:t>Table 1 – Selected indicators: WDI Wide Format, CHIRPS v2.0, EM-DAT, NOAA ONI, NGFS GCAM 6.0.</w:t>
      </w:r>
    </w:p>
    <w:p>
      <w:pPr>
        <w:spacing w:before="240" w:after="120"/>
        <w:jc w:val="left"/>
      </w:pPr>
      <w:r>
        <w:rPr>
          <w:rFonts w:ascii="Times New Roman" w:hAnsi="Times New Roman" w:cs="Times New Roman"/>
          <w:rFonts w:ascii="Times New Roman" w:hAnsi="Times New Roman"/>
          <w:b/>
          <w:i w:val="0"/>
          <w:color w:val="1F497D"/>
          <w:sz w:val="24"/>
        </w:rPr>
        <w:t>2.2 GHG Trends &amp; Sector Decomposition</w:t>
      </w:r>
    </w:p>
    <w:p>
      <w:pPr>
        <w:jc w:val="center"/>
      </w:pPr>
      <w:r>
        <w:drawing>
          <wp:inline xmlns:a="http://schemas.openxmlformats.org/drawingml/2006/main" xmlns:pic="http://schemas.openxmlformats.org/drawingml/2006/picture">
            <wp:extent cx="5669280" cy="2385777"/>
            <wp:docPr id="1" name="Picture 1"/>
            <wp:cNvGraphicFramePr>
              <a:graphicFrameLocks noChangeAspect="1"/>
            </wp:cNvGraphicFramePr>
            <a:graphic>
              <a:graphicData uri="http://schemas.openxmlformats.org/drawingml/2006/picture">
                <pic:pic>
                  <pic:nvPicPr>
                    <pic:cNvPr id="0" name="r1_ghg_urban_dual_axis.png"/>
                    <pic:cNvPicPr/>
                  </pic:nvPicPr>
                  <pic:blipFill>
                    <a:blip r:embed="rId9"/>
                    <a:stretch>
                      <a:fillRect/>
                    </a:stretch>
                  </pic:blipFill>
                  <pic:spPr>
                    <a:xfrm>
                      <a:off x="0" y="0"/>
                      <a:ext cx="5669280" cy="2385777"/>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1a – GHG vs. urbanisation MYS &amp; PHL 1990–2023.</w:t>
      </w:r>
    </w:p>
    <w:p>
      <w:pPr>
        <w:jc w:val="center"/>
      </w:pPr>
      <w:r>
        <w:drawing>
          <wp:inline xmlns:a="http://schemas.openxmlformats.org/drawingml/2006/main" xmlns:pic="http://schemas.openxmlformats.org/drawingml/2006/picture">
            <wp:extent cx="5669280" cy="2251659"/>
            <wp:docPr id="2" name="Picture 2"/>
            <wp:cNvGraphicFramePr>
              <a:graphicFrameLocks noChangeAspect="1"/>
            </wp:cNvGraphicFramePr>
            <a:graphic>
              <a:graphicData uri="http://schemas.openxmlformats.org/drawingml/2006/picture">
                <pic:pic>
                  <pic:nvPicPr>
                    <pic:cNvPr id="0" name="r1_cw_sector_decomposition.png"/>
                    <pic:cNvPicPr/>
                  </pic:nvPicPr>
                  <pic:blipFill>
                    <a:blip r:embed="rId10"/>
                    <a:stretch>
                      <a:fillRect/>
                    </a:stretch>
                  </pic:blipFill>
                  <pic:spPr>
                    <a:xfrm>
                      <a:off x="0" y="0"/>
                      <a:ext cx="5669280" cy="2251659"/>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1b – Climate Watch 2023 sector decomposition: Energy 69.5% of MYS total.</w:t>
      </w:r>
    </w:p>
    <w:p>
      <w:pPr>
        <w:spacing w:before="0" w:after="120"/>
        <w:jc w:val="both"/>
      </w:pPr>
      <w:r>
        <w:rPr>
          <w:rFonts w:ascii="Times New Roman" w:hAnsi="Times New Roman" w:cs="Times New Roman"/>
          <w:rFonts w:ascii="Times New Roman" w:hAnsi="Times New Roman"/>
          <w:b w:val="0"/>
          <w:i w:val="0"/>
          <w:sz w:val="24"/>
        </w:rPr>
        <w:t>GHG grew +271% (MYS) and +177% (PHL) 1990–2023; MYS urban share +56% means the same flood footprint covers a far larger asset base — structural EAL growth independent of hazard intensity. MYS LULUCF (15.7% of transition exposure, EUDR + CCPT Pillar 2) is a regulatory burden absent in PHL — the central driver of R2’s country-specific design.</w:t>
      </w:r>
    </w:p>
    <w:p>
      <w:r>
        <w:br w:type="page"/>
      </w:r>
    </w:p>
    <w:p>
      <w:pPr>
        <w:spacing w:before="240" w:after="120"/>
        <w:jc w:val="left"/>
      </w:pPr>
      <w:r>
        <w:rPr>
          <w:rFonts w:ascii="Times New Roman" w:hAnsi="Times New Roman" w:cs="Times New Roman"/>
          <w:rFonts w:ascii="Times New Roman" w:hAnsi="Times New Roman"/>
          <w:b/>
          <w:i w:val="0"/>
          <w:color w:val="1F497D"/>
          <w:sz w:val="28"/>
        </w:rPr>
        <w:t>3. GHG Forecasting – ARIMA Model</w:t>
      </w:r>
    </w:p>
    <w:p>
      <w:pPr>
        <w:spacing w:before="0" w:after="120"/>
        <w:jc w:val="both"/>
      </w:pPr>
      <w:r>
        <w:rPr>
          <w:rFonts w:ascii="Times New Roman" w:hAnsi="Times New Roman" w:cs="Times New Roman"/>
          <w:rFonts w:ascii="Times New Roman" w:hAnsi="Times New Roman"/>
          <w:b w:val="0"/>
          <w:i w:val="0"/>
          <w:sz w:val="24"/>
        </w:rPr>
        <w:t>ARIMA forecasts 2024–2030 GHG (excl. LULUCF) from WB_WDI_EN_GHG_ALL_MT_CE_AR5 using a 7-step horizon. Training 1990–2020; rolling 3-step MAPE on 2021–2023. AIC-selected over p,q in {0,1,2}; ADF-confirmed first-differencing.</w:t>
      </w:r>
    </w:p>
    <w:p>
      <w:pPr>
        <w:spacing w:before="0" w:after="120"/>
        <w:jc w:val="both"/>
      </w:pPr>
      <w:r>
        <w:rPr>
          <w:rFonts w:ascii="Times New Roman" w:hAnsi="Times New Roman" w:cs="Times New Roman"/>
          <w:rFonts w:ascii="Times New Roman" w:hAnsi="Times New Roman"/>
          <w:b w:val="0"/>
          <w:i w:val="0"/>
          <w:sz w:val="24"/>
        </w:rPr>
        <w:t>ARIMAX with GDP/urbanisation regressors was tested but rejected: (1) GDP forecasts introduce endogenous error; (2) univariate residual ACF is clean (Ljung-Box p &gt; 0.20 at all lags ≤12). Consistent with NGFS Phase 4 univariate national pathways.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97D"/>
            <w:tcW w:w="1296" w:type="dxa"/>
          </w:tcPr>
          <w:p>
            <w:pPr>
              <w:jc w:val="center"/>
            </w:pPr>
            <w:r>
              <w:rPr>
                <w:rFonts w:ascii="Times New Roman" w:hAnsi="Times New Roman"/>
                <w:b/>
                <w:color w:val="FFFFFF"/>
                <w:sz w:val="20"/>
              </w:rPr>
              <w:t>Country</w:t>
            </w:r>
          </w:p>
        </w:tc>
        <w:tc>
          <w:tcPr>
            <w:tcW w:type="dxa" w:w="1170"/>
            <w:shd w:val="clear" w:color="auto" w:fill="1F497D"/>
            <w:tcW w:w="1584" w:type="dxa"/>
          </w:tcPr>
          <w:p>
            <w:pPr>
              <w:jc w:val="center"/>
            </w:pPr>
            <w:r>
              <w:rPr>
                <w:rFonts w:ascii="Times New Roman" w:hAnsi="Times New Roman"/>
                <w:b/>
                <w:color w:val="FFFFFF"/>
                <w:sz w:val="20"/>
              </w:rPr>
              <w:t>Model</w:t>
            </w:r>
          </w:p>
        </w:tc>
        <w:tc>
          <w:tcPr>
            <w:tcW w:type="dxa" w:w="1170"/>
            <w:shd w:val="clear" w:color="auto" w:fill="1F497D"/>
            <w:tcW w:w="1152" w:type="dxa"/>
          </w:tcPr>
          <w:p>
            <w:pPr>
              <w:jc w:val="center"/>
            </w:pPr>
            <w:r>
              <w:rPr>
                <w:rFonts w:ascii="Times New Roman" w:hAnsi="Times New Roman"/>
                <w:b/>
                <w:color w:val="FFFFFF"/>
                <w:sz w:val="20"/>
              </w:rPr>
              <w:t>Train AIC</w:t>
            </w:r>
          </w:p>
        </w:tc>
        <w:tc>
          <w:tcPr>
            <w:tcW w:type="dxa" w:w="1170"/>
            <w:shd w:val="clear" w:color="auto" w:fill="1F497D"/>
            <w:tcW w:w="864" w:type="dxa"/>
          </w:tcPr>
          <w:p>
            <w:pPr>
              <w:jc w:val="center"/>
            </w:pPr>
            <w:r>
              <w:rPr>
                <w:rFonts w:ascii="Times New Roman" w:hAnsi="Times New Roman"/>
                <w:b/>
                <w:color w:val="FFFFFF"/>
                <w:sz w:val="20"/>
              </w:rPr>
              <w:t>MAPE</w:t>
            </w:r>
          </w:p>
        </w:tc>
        <w:tc>
          <w:tcPr>
            <w:tcW w:type="dxa" w:w="1170"/>
            <w:shd w:val="clear" w:color="auto" w:fill="1F497D"/>
            <w:tcW w:w="1152" w:type="dxa"/>
          </w:tcPr>
          <w:p>
            <w:pPr>
              <w:jc w:val="center"/>
            </w:pPr>
            <w:r>
              <w:rPr>
                <w:rFonts w:ascii="Times New Roman" w:hAnsi="Times New Roman"/>
                <w:b/>
                <w:color w:val="FFFFFF"/>
                <w:sz w:val="20"/>
              </w:rPr>
              <w:t>Actual 2023</w:t>
            </w:r>
          </w:p>
        </w:tc>
        <w:tc>
          <w:tcPr>
            <w:tcW w:type="dxa" w:w="1170"/>
            <w:shd w:val="clear" w:color="auto" w:fill="1F497D"/>
            <w:tcW w:w="1296" w:type="dxa"/>
          </w:tcPr>
          <w:p>
            <w:pPr>
              <w:jc w:val="center"/>
            </w:pPr>
            <w:r>
              <w:rPr>
                <w:rFonts w:ascii="Times New Roman" w:hAnsi="Times New Roman"/>
                <w:b/>
                <w:color w:val="FFFFFF"/>
                <w:sz w:val="20"/>
              </w:rPr>
              <w:t>Forecast 2024</w:t>
            </w:r>
          </w:p>
        </w:tc>
        <w:tc>
          <w:tcPr>
            <w:tcW w:type="dxa" w:w="1170"/>
            <w:shd w:val="clear" w:color="auto" w:fill="1F497D"/>
            <w:tcW w:w="1296" w:type="dxa"/>
          </w:tcPr>
          <w:p>
            <w:pPr>
              <w:jc w:val="center"/>
            </w:pPr>
            <w:r>
              <w:rPr>
                <w:rFonts w:ascii="Times New Roman" w:hAnsi="Times New Roman"/>
                <w:b/>
                <w:color w:val="FFFFFF"/>
                <w:sz w:val="20"/>
              </w:rPr>
              <w:t>Forecast 2030</w:t>
            </w:r>
          </w:p>
        </w:tc>
        <w:tc>
          <w:tcPr>
            <w:tcW w:type="dxa" w:w="1170"/>
            <w:shd w:val="clear" w:color="auto" w:fill="1F497D"/>
            <w:tcW w:w="1584" w:type="dxa"/>
          </w:tcPr>
          <w:p>
            <w:pPr>
              <w:jc w:val="center"/>
            </w:pPr>
            <w:r>
              <w:rPr>
                <w:rFonts w:ascii="Times New Roman" w:hAnsi="Times New Roman"/>
                <w:b/>
                <w:color w:val="FFFFFF"/>
                <w:sz w:val="20"/>
              </w:rPr>
              <w:t>95% CI (2024)</w:t>
            </w:r>
          </w:p>
        </w:tc>
      </w:tr>
      <w:tr>
        <w:tc>
          <w:tcPr>
            <w:tcW w:type="dxa" w:w="1170"/>
            <w:shd w:val="clear" w:color="auto" w:fill="D9E2F3"/>
          </w:tcPr>
          <w:p>
            <w:pPr>
              <w:jc w:val="center"/>
            </w:pPr>
            <w:r>
              <w:rPr>
                <w:rFonts w:ascii="Times New Roman" w:hAnsi="Times New Roman"/>
                <w:sz w:val="20"/>
              </w:rPr>
              <w:t>Malaysia</w:t>
            </w:r>
          </w:p>
        </w:tc>
        <w:tc>
          <w:tcPr>
            <w:tcW w:type="dxa" w:w="1170"/>
            <w:shd w:val="clear" w:color="auto" w:fill="D9E2F3"/>
          </w:tcPr>
          <w:p>
            <w:pPr>
              <w:jc w:val="center"/>
            </w:pPr>
            <w:r>
              <w:rPr>
                <w:rFonts w:ascii="Times New Roman" w:hAnsi="Times New Roman"/>
                <w:sz w:val="20"/>
              </w:rPr>
              <w:t>ARIMA(1,1,1)</w:t>
            </w:r>
          </w:p>
        </w:tc>
        <w:tc>
          <w:tcPr>
            <w:tcW w:type="dxa" w:w="1170"/>
            <w:shd w:val="clear" w:color="auto" w:fill="D9E2F3"/>
          </w:tcPr>
          <w:p>
            <w:pPr>
              <w:jc w:val="center"/>
            </w:pPr>
            <w:r>
              <w:rPr>
                <w:rFonts w:ascii="Times New Roman" w:hAnsi="Times New Roman"/>
                <w:sz w:val="20"/>
              </w:rPr>
              <w:t>224.08</w:t>
            </w:r>
          </w:p>
        </w:tc>
        <w:tc>
          <w:tcPr>
            <w:tcW w:type="dxa" w:w="1170"/>
            <w:shd w:val="clear" w:color="auto" w:fill="D9E2F3"/>
          </w:tcPr>
          <w:p>
            <w:pPr>
              <w:jc w:val="center"/>
            </w:pPr>
            <w:r>
              <w:rPr>
                <w:rFonts w:ascii="Times New Roman" w:hAnsi="Times New Roman"/>
                <w:sz w:val="20"/>
              </w:rPr>
              <w:t>1.71%</w:t>
            </w:r>
          </w:p>
        </w:tc>
        <w:tc>
          <w:tcPr>
            <w:tcW w:type="dxa" w:w="1170"/>
            <w:shd w:val="clear" w:color="auto" w:fill="D9E2F3"/>
          </w:tcPr>
          <w:p>
            <w:pPr>
              <w:jc w:val="center"/>
            </w:pPr>
            <w:r>
              <w:rPr>
                <w:rFonts w:ascii="Times New Roman" w:hAnsi="Times New Roman"/>
                <w:sz w:val="20"/>
              </w:rPr>
              <w:t>318.4</w:t>
            </w:r>
          </w:p>
        </w:tc>
        <w:tc>
          <w:tcPr>
            <w:tcW w:type="dxa" w:w="1170"/>
            <w:shd w:val="clear" w:color="auto" w:fill="D9E2F3"/>
          </w:tcPr>
          <w:p>
            <w:pPr>
              <w:jc w:val="center"/>
            </w:pPr>
            <w:r>
              <w:rPr>
                <w:rFonts w:ascii="Times New Roman" w:hAnsi="Times New Roman"/>
                <w:sz w:val="20"/>
              </w:rPr>
              <w:t>325.1</w:t>
            </w:r>
          </w:p>
        </w:tc>
        <w:tc>
          <w:tcPr>
            <w:tcW w:type="dxa" w:w="1170"/>
            <w:shd w:val="clear" w:color="auto" w:fill="D9E2F3"/>
          </w:tcPr>
          <w:p>
            <w:pPr>
              <w:jc w:val="center"/>
            </w:pPr>
            <w:r>
              <w:rPr>
                <w:rFonts w:ascii="Times New Roman" w:hAnsi="Times New Roman"/>
                <w:sz w:val="20"/>
              </w:rPr>
              <w:t>365.5</w:t>
            </w:r>
          </w:p>
        </w:tc>
        <w:tc>
          <w:tcPr>
            <w:tcW w:type="dxa" w:w="1170"/>
            <w:shd w:val="clear" w:color="auto" w:fill="D9E2F3"/>
          </w:tcPr>
          <w:p>
            <w:pPr>
              <w:jc w:val="center"/>
            </w:pPr>
            <w:r>
              <w:rPr>
                <w:rFonts w:ascii="Times New Roman" w:hAnsi="Times New Roman"/>
                <w:sz w:val="20"/>
              </w:rPr>
              <w:t>[307.9, 342.3]</w:t>
            </w:r>
          </w:p>
        </w:tc>
      </w:tr>
      <w:tr>
        <w:tc>
          <w:tcPr>
            <w:tcW w:type="dxa" w:w="1170"/>
            <w:shd w:val="clear" w:color="auto" w:fill="FFFFFF"/>
          </w:tcPr>
          <w:p>
            <w:pPr>
              <w:jc w:val="center"/>
            </w:pPr>
            <w:r>
              <w:rPr>
                <w:rFonts w:ascii="Times New Roman" w:hAnsi="Times New Roman"/>
                <w:sz w:val="20"/>
              </w:rPr>
              <w:t>Philippines</w:t>
            </w:r>
          </w:p>
        </w:tc>
        <w:tc>
          <w:tcPr>
            <w:tcW w:type="dxa" w:w="1170"/>
            <w:shd w:val="clear" w:color="auto" w:fill="FFFFFF"/>
          </w:tcPr>
          <w:p>
            <w:pPr>
              <w:jc w:val="center"/>
            </w:pPr>
            <w:r>
              <w:rPr>
                <w:rFonts w:ascii="Times New Roman" w:hAnsi="Times New Roman"/>
                <w:sz w:val="20"/>
              </w:rPr>
              <w:t>ARIMA(2,1,0)</w:t>
            </w:r>
          </w:p>
        </w:tc>
        <w:tc>
          <w:tcPr>
            <w:tcW w:type="dxa" w:w="1170"/>
            <w:shd w:val="clear" w:color="auto" w:fill="FFFFFF"/>
          </w:tcPr>
          <w:p>
            <w:pPr>
              <w:jc w:val="center"/>
            </w:pPr>
            <w:r>
              <w:rPr>
                <w:rFonts w:ascii="Times New Roman" w:hAnsi="Times New Roman"/>
                <w:sz w:val="20"/>
              </w:rPr>
              <w:t>196.08</w:t>
            </w:r>
          </w:p>
        </w:tc>
        <w:tc>
          <w:tcPr>
            <w:tcW w:type="dxa" w:w="1170"/>
            <w:shd w:val="clear" w:color="auto" w:fill="FFFFFF"/>
          </w:tcPr>
          <w:p>
            <w:pPr>
              <w:jc w:val="center"/>
            </w:pPr>
            <w:r>
              <w:rPr>
                <w:rFonts w:ascii="Times New Roman" w:hAnsi="Times New Roman"/>
                <w:sz w:val="20"/>
              </w:rPr>
              <w:t>3.56%</w:t>
            </w:r>
          </w:p>
        </w:tc>
        <w:tc>
          <w:tcPr>
            <w:tcW w:type="dxa" w:w="1170"/>
            <w:shd w:val="clear" w:color="auto" w:fill="FFFFFF"/>
          </w:tcPr>
          <w:p>
            <w:pPr>
              <w:jc w:val="center"/>
            </w:pPr>
            <w:r>
              <w:rPr>
                <w:rFonts w:ascii="Times New Roman" w:hAnsi="Times New Roman"/>
                <w:sz w:val="20"/>
              </w:rPr>
              <w:t>254.5</w:t>
            </w:r>
          </w:p>
        </w:tc>
        <w:tc>
          <w:tcPr>
            <w:tcW w:type="dxa" w:w="1170"/>
            <w:shd w:val="clear" w:color="auto" w:fill="FFFFFF"/>
          </w:tcPr>
          <w:p>
            <w:pPr>
              <w:jc w:val="center"/>
            </w:pPr>
            <w:r>
              <w:rPr>
                <w:rFonts w:ascii="Times New Roman" w:hAnsi="Times New Roman"/>
                <w:sz w:val="20"/>
              </w:rPr>
              <w:t>260.8</w:t>
            </w:r>
          </w:p>
        </w:tc>
        <w:tc>
          <w:tcPr>
            <w:tcW w:type="dxa" w:w="1170"/>
            <w:shd w:val="clear" w:color="auto" w:fill="FFFFFF"/>
          </w:tcPr>
          <w:p>
            <w:pPr>
              <w:jc w:val="center"/>
            </w:pPr>
            <w:r>
              <w:rPr>
                <w:rFonts w:ascii="Times New Roman" w:hAnsi="Times New Roman"/>
                <w:sz w:val="20"/>
              </w:rPr>
              <w:t>285.4</w:t>
            </w:r>
          </w:p>
        </w:tc>
        <w:tc>
          <w:tcPr>
            <w:tcW w:type="dxa" w:w="1170"/>
            <w:shd w:val="clear" w:color="auto" w:fill="FFFFFF"/>
          </w:tcPr>
          <w:p>
            <w:pPr>
              <w:jc w:val="center"/>
            </w:pPr>
            <w:r>
              <w:rPr>
                <w:rFonts w:ascii="Times New Roman" w:hAnsi="Times New Roman"/>
                <w:sz w:val="20"/>
              </w:rPr>
              <w:t>[249.1, 272.4]</w:t>
            </w:r>
          </w:p>
        </w:tc>
      </w:tr>
    </w:tbl>
    <w:p>
      <w:pPr>
        <w:spacing w:before="0" w:after="160"/>
        <w:jc w:val="center"/>
      </w:pPr>
      <w:r>
        <w:rPr>
          <w:rFonts w:ascii="Times New Roman" w:hAnsi="Times New Roman" w:cs="Times New Roman"/>
          <w:rFonts w:ascii="Times New Roman" w:hAnsi="Times New Roman"/>
          <w:b w:val="0"/>
          <w:i/>
          <w:sz w:val="20"/>
        </w:rPr>
        <w:t>Table 2 – ARIMA forecast results (MtCO₂e excl. LULUCF). Forecast horizon extended to 2030 (7 steps). MYS MAPE 1.71% confirms high reliability; PHL 3.56% reflects policy-driven variability.</w:t>
      </w:r>
    </w:p>
    <w:p>
      <w:pPr>
        <w:jc w:val="center"/>
      </w:pPr>
      <w:r>
        <w:drawing>
          <wp:inline xmlns:a="http://schemas.openxmlformats.org/drawingml/2006/main" xmlns:pic="http://schemas.openxmlformats.org/drawingml/2006/picture">
            <wp:extent cx="5852160" cy="2170599"/>
            <wp:docPr id="3" name="Picture 3"/>
            <wp:cNvGraphicFramePr>
              <a:graphicFrameLocks noChangeAspect="1"/>
            </wp:cNvGraphicFramePr>
            <a:graphic>
              <a:graphicData uri="http://schemas.openxmlformats.org/drawingml/2006/picture">
                <pic:pic>
                  <pic:nvPicPr>
                    <pic:cNvPr id="0" name="r2_arima_combined.png"/>
                    <pic:cNvPicPr/>
                  </pic:nvPicPr>
                  <pic:blipFill>
                    <a:blip r:embed="rId11"/>
                    <a:stretch>
                      <a:fillRect/>
                    </a:stretch>
                  </pic:blipFill>
                  <pic:spPr>
                    <a:xfrm>
                      <a:off x="0" y="0"/>
                      <a:ext cx="5852160" cy="2170599"/>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2 – ARIMA(1,1,1) Malaysia MAPE 1.71% (left); ARIMA(2,1,0) Philippines MAPE 3.56% (right).</w:t>
      </w:r>
    </w:p>
    <w:p>
      <w:pPr>
        <w:spacing w:before="240" w:after="120"/>
        <w:jc w:val="left"/>
      </w:pPr>
      <w:r>
        <w:rPr>
          <w:rFonts w:ascii="Times New Roman" w:hAnsi="Times New Roman" w:cs="Times New Roman"/>
          <w:rFonts w:ascii="Times New Roman" w:hAnsi="Times New Roman"/>
          <w:b/>
          <w:i w:val="0"/>
          <w:color w:val="1F497D"/>
          <w:sz w:val="24"/>
        </w:rPr>
        <w:t>3.1 Pre-Processing Improvements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2160" w:type="dxa"/>
          </w:tcPr>
          <w:p>
            <w:pPr>
              <w:jc w:val="center"/>
            </w:pPr>
            <w:r>
              <w:rPr>
                <w:rFonts w:ascii="Times New Roman" w:hAnsi="Times New Roman"/>
                <w:b/>
                <w:color w:val="FFFFFF"/>
                <w:sz w:val="20"/>
              </w:rPr>
              <w:t>Improvement</w:t>
            </w:r>
          </w:p>
        </w:tc>
        <w:tc>
          <w:tcPr>
            <w:tcW w:type="dxa" w:w="3120"/>
            <w:shd w:val="clear" w:color="auto" w:fill="1F497D"/>
            <w:tcW w:w="3311" w:type="dxa"/>
          </w:tcPr>
          <w:p>
            <w:pPr>
              <w:jc w:val="center"/>
            </w:pPr>
            <w:r>
              <w:rPr>
                <w:rFonts w:ascii="Times New Roman" w:hAnsi="Times New Roman"/>
                <w:b/>
                <w:color w:val="FFFFFF"/>
                <w:sz w:val="20"/>
              </w:rPr>
              <w:t>Issue Identified</w:t>
            </w:r>
          </w:p>
        </w:tc>
        <w:tc>
          <w:tcPr>
            <w:tcW w:type="dxa" w:w="3120"/>
            <w:shd w:val="clear" w:color="auto" w:fill="1F497D"/>
            <w:tcW w:w="3600" w:type="dxa"/>
          </w:tcPr>
          <w:p>
            <w:pPr>
              <w:jc w:val="center"/>
            </w:pPr>
            <w:r>
              <w:rPr>
                <w:rFonts w:ascii="Times New Roman" w:hAnsi="Times New Roman"/>
                <w:b/>
                <w:color w:val="FFFFFF"/>
                <w:sz w:val="20"/>
              </w:rPr>
              <w:t>Resolution Applied</w:t>
            </w:r>
          </w:p>
        </w:tc>
      </w:tr>
      <w:tr>
        <w:tc>
          <w:tcPr>
            <w:tcW w:type="dxa" w:w="3120"/>
            <w:shd w:val="clear" w:color="auto" w:fill="D9E2F3"/>
          </w:tcPr>
          <w:p>
            <w:pPr>
              <w:jc w:val="center"/>
            </w:pPr>
            <w:r>
              <w:rPr>
                <w:rFonts w:ascii="Times New Roman" w:hAnsi="Times New Roman"/>
                <w:sz w:val="20"/>
              </w:rPr>
              <w:t>Column disambiguation</w:t>
            </w:r>
          </w:p>
        </w:tc>
        <w:tc>
          <w:tcPr>
            <w:tcW w:type="dxa" w:w="3120"/>
            <w:shd w:val="clear" w:color="auto" w:fill="D9E2F3"/>
          </w:tcPr>
          <w:p>
            <w:pPr>
              <w:jc w:val="center"/>
            </w:pPr>
            <w:r>
              <w:rPr>
                <w:rFonts w:ascii="Times New Roman" w:hAnsi="Times New Roman"/>
                <w:sz w:val="20"/>
              </w:rPr>
              <w:t>EN.ATM.GHGT.KT.CE (deprecated CE basis) overstated GHG by 12%</w:t>
            </w:r>
          </w:p>
        </w:tc>
        <w:tc>
          <w:tcPr>
            <w:tcW w:type="dxa" w:w="3120"/>
            <w:shd w:val="clear" w:color="auto" w:fill="D9E2F3"/>
          </w:tcPr>
          <w:p>
            <w:pPr>
              <w:jc w:val="center"/>
            </w:pPr>
            <w:r>
              <w:rPr>
                <w:rFonts w:ascii="Times New Roman" w:hAnsi="Times New Roman"/>
                <w:sz w:val="20"/>
              </w:rPr>
              <w:t>Switched to WB_WDI_EN_GHG_ALL_MT_CE_AR5 (AR5 GWP100; IPCC AR6 consistent)</w:t>
            </w:r>
          </w:p>
        </w:tc>
      </w:tr>
      <w:tr>
        <w:tc>
          <w:tcPr>
            <w:tcW w:type="dxa" w:w="3120"/>
            <w:shd w:val="clear" w:color="auto" w:fill="FFFFFF"/>
          </w:tcPr>
          <w:p>
            <w:pPr>
              <w:jc w:val="center"/>
            </w:pPr>
            <w:r>
              <w:rPr>
                <w:rFonts w:ascii="Times New Roman" w:hAnsi="Times New Roman"/>
                <w:sz w:val="20"/>
              </w:rPr>
              <w:t>Rolling validation</w:t>
            </w:r>
          </w:p>
        </w:tc>
        <w:tc>
          <w:tcPr>
            <w:tcW w:type="dxa" w:w="3120"/>
            <w:shd w:val="clear" w:color="auto" w:fill="FFFFFF"/>
          </w:tcPr>
          <w:p>
            <w:pPr>
              <w:jc w:val="center"/>
            </w:pPr>
            <w:r>
              <w:rPr>
                <w:rFonts w:ascii="Times New Roman" w:hAnsi="Times New Roman"/>
                <w:sz w:val="20"/>
              </w:rPr>
              <w:t>Static split inflated accuracy via data leakage</w:t>
            </w:r>
          </w:p>
        </w:tc>
        <w:tc>
          <w:tcPr>
            <w:tcW w:type="dxa" w:w="3120"/>
            <w:shd w:val="clear" w:color="auto" w:fill="FFFFFF"/>
          </w:tcPr>
          <w:p>
            <w:pPr>
              <w:jc w:val="center"/>
            </w:pPr>
            <w:r>
              <w:rPr>
                <w:rFonts w:ascii="Times New Roman" w:hAnsi="Times New Roman"/>
                <w:sz w:val="20"/>
              </w:rPr>
              <w:t>3-step rolling 1-step-ahead MAPE on 2021–2023</w:t>
            </w:r>
          </w:p>
        </w:tc>
      </w:tr>
      <w:tr>
        <w:tc>
          <w:tcPr>
            <w:tcW w:type="dxa" w:w="3120"/>
            <w:shd w:val="clear" w:color="auto" w:fill="D9E2F3"/>
          </w:tcPr>
          <w:p>
            <w:pPr>
              <w:jc w:val="center"/>
            </w:pPr>
            <w:r>
              <w:rPr>
                <w:rFonts w:ascii="Times New Roman" w:hAnsi="Times New Roman"/>
                <w:sz w:val="20"/>
              </w:rPr>
              <w:t>LULUCF exclusion</w:t>
            </w:r>
          </w:p>
        </w:tc>
        <w:tc>
          <w:tcPr>
            <w:tcW w:type="dxa" w:w="3120"/>
            <w:shd w:val="clear" w:color="auto" w:fill="D9E2F3"/>
          </w:tcPr>
          <w:p>
            <w:pPr>
              <w:jc w:val="center"/>
            </w:pPr>
            <w:r>
              <w:rPr>
                <w:rFonts w:ascii="Times New Roman" w:hAnsi="Times New Roman"/>
                <w:sz w:val="20"/>
              </w:rPr>
              <w:t>Including LULUCF in ARIMA target caused double-counting with transition module</w:t>
            </w:r>
          </w:p>
        </w:tc>
        <w:tc>
          <w:tcPr>
            <w:tcW w:type="dxa" w:w="3120"/>
            <w:shd w:val="clear" w:color="auto" w:fill="D9E2F3"/>
          </w:tcPr>
          <w:p>
            <w:pPr>
              <w:jc w:val="center"/>
            </w:pPr>
            <w:r>
              <w:rPr>
                <w:rFonts w:ascii="Times New Roman" w:hAnsi="Times New Roman"/>
                <w:sz w:val="20"/>
              </w:rPr>
              <w:t>Excluded from ARIMA; handled as separate sector in Section 6</w:t>
            </w:r>
          </w:p>
        </w:tc>
      </w:tr>
      <w:tr>
        <w:tc>
          <w:tcPr>
            <w:tcW w:type="dxa" w:w="3120"/>
            <w:shd w:val="clear" w:color="auto" w:fill="FFFFFF"/>
          </w:tcPr>
          <w:p>
            <w:pPr>
              <w:jc w:val="center"/>
            </w:pPr>
            <w:r>
              <w:rPr>
                <w:rFonts w:ascii="Times New Roman" w:hAnsi="Times New Roman"/>
                <w:sz w:val="20"/>
              </w:rPr>
              <w:t>ARIMAX rejection</w:t>
            </w:r>
          </w:p>
        </w:tc>
        <w:tc>
          <w:tcPr>
            <w:tcW w:type="dxa" w:w="3120"/>
            <w:shd w:val="clear" w:color="auto" w:fill="FFFFFF"/>
          </w:tcPr>
          <w:p>
            <w:pPr>
              <w:jc w:val="center"/>
            </w:pPr>
            <w:r>
              <w:rPr>
                <w:rFonts w:ascii="Times New Roman" w:hAnsi="Times New Roman"/>
                <w:sz w:val="20"/>
              </w:rPr>
              <w:t>GDP/urbanisation regressors introduce endogenous forecast error</w:t>
            </w:r>
          </w:p>
        </w:tc>
        <w:tc>
          <w:tcPr>
            <w:tcW w:type="dxa" w:w="3120"/>
            <w:shd w:val="clear" w:color="auto" w:fill="FFFFFF"/>
          </w:tcPr>
          <w:p>
            <w:pPr>
              <w:jc w:val="center"/>
            </w:pPr>
            <w:r>
              <w:rPr>
                <w:rFonts w:ascii="Times New Roman" w:hAnsi="Times New Roman"/>
                <w:sz w:val="20"/>
              </w:rPr>
              <w:t>Univariate ARIMA retained; clean Ljung-Box ACF confirms adequacy</w:t>
            </w:r>
          </w:p>
        </w:tc>
      </w:tr>
    </w:tbl>
    <w:p>
      <w:pPr>
        <w:spacing w:before="0" w:after="120"/>
        <w:jc w:val="both"/>
      </w:pPr>
    </w:p>
    <w:p>
      <w:pPr>
        <w:spacing w:before="240" w:after="120"/>
        <w:jc w:val="left"/>
      </w:pPr>
      <w:r>
        <w:rPr>
          <w:rFonts w:ascii="Times New Roman" w:hAnsi="Times New Roman" w:cs="Times New Roman"/>
          <w:rFonts w:ascii="Times New Roman" w:hAnsi="Times New Roman"/>
          <w:b/>
          <w:i w:val="0"/>
          <w:color w:val="1F497D"/>
          <w:sz w:val="24"/>
        </w:rPr>
        <w:t>3.2 Model Implications for Treaty Pricing</w:t>
      </w:r>
    </w:p>
    <w:p>
      <w:pPr>
        <w:pStyle w:val="ListBullet"/>
        <w:spacing w:after="60"/>
        <w:jc w:val="both"/>
      </w:pPr>
      <w:r>
        <w:rPr>
          <w:rFonts w:ascii="Times New Roman" w:hAnsi="Times New Roman" w:cs="Times New Roman"/>
          <w:rFonts w:ascii="Times New Roman" w:hAnsi="Times New Roman"/>
          <w:b w:val="0"/>
          <w:i w:val="0"/>
          <w:sz w:val="24"/>
        </w:rPr>
        <w:t>MYS MAPE 1.71% confirms high forecast confidence. The upper CI of 342.3 MtCO₂e implies a worst-case +5.3% emission overstatement, providing a margin of safety in the transition surcharge calculation.</w:t>
      </w:r>
    </w:p>
    <w:p>
      <w:pPr>
        <w:pStyle w:val="ListBullet"/>
        <w:spacing w:after="60"/>
        <w:jc w:val="both"/>
      </w:pPr>
      <w:r>
        <w:rPr>
          <w:rFonts w:ascii="Times New Roman" w:hAnsi="Times New Roman" w:cs="Times New Roman"/>
          <w:rFonts w:ascii="Times New Roman" w:hAnsi="Times New Roman"/>
          <w:b w:val="0"/>
          <w:i w:val="0"/>
          <w:sz w:val="24"/>
        </w:rPr>
        <w:t>PHL MAPE 3.56% reflects EPIRA-driven variability; upper CI 272.4 MtCO₂e used in 2× carbon stress.</w:t>
      </w:r>
    </w:p>
    <w:p>
      <w:pPr>
        <w:pStyle w:val="ListBullet"/>
        <w:spacing w:after="60"/>
        <w:jc w:val="both"/>
      </w:pPr>
      <w:r>
        <w:rPr>
          <w:rFonts w:ascii="Times New Roman" w:hAnsi="Times New Roman" w:cs="Times New Roman"/>
          <w:rFonts w:ascii="Times New Roman" w:hAnsi="Times New Roman"/>
          <w:b w:val="0"/>
          <w:i w:val="0"/>
          <w:sz w:val="24"/>
        </w:rPr>
        <w:t>Under NZ2050, GHG baselines decline to 317 MtCO₂e (MYS) and 162 MtCO₂e (PHL) by 2030 — but carbon price escalation outpaces abatement, creating the 2026–2028 capital constraint window.</w:t>
      </w:r>
    </w:p>
    <w:p>
      <w:pPr>
        <w:pStyle w:val="ListBullet"/>
        <w:spacing w:after="60"/>
        <w:jc w:val="both"/>
      </w:pPr>
      <w:r>
        <w:rPr>
          <w:rFonts w:ascii="Times New Roman" w:hAnsi="Times New Roman" w:cs="Times New Roman"/>
          <w:rFonts w:ascii="Times New Roman" w:hAnsi="Times New Roman"/>
          <w:b w:val="0"/>
          <w:i w:val="0"/>
          <w:sz w:val="24"/>
        </w:rPr>
        <w:t>The ARIMA pipeline is refreshable in under 30 minutes when new WDI vintages are released.</w:t>
      </w:r>
    </w:p>
    <w:p>
      <w:r>
        <w:br w:type="page"/>
      </w:r>
    </w:p>
    <w:p>
      <w:pPr>
        <w:spacing w:before="240" w:after="120"/>
        <w:jc w:val="left"/>
      </w:pPr>
      <w:r>
        <w:rPr>
          <w:rFonts w:ascii="Times New Roman" w:hAnsi="Times New Roman" w:cs="Times New Roman"/>
          <w:rFonts w:ascii="Times New Roman" w:hAnsi="Times New Roman"/>
          <w:b/>
          <w:i w:val="0"/>
          <w:color w:val="1F497D"/>
          <w:sz w:val="28"/>
        </w:rPr>
        <w:t>4. Physical Hazard – GEV Analysis &amp; EAL Repricing</w:t>
      </w:r>
    </w:p>
    <w:p>
      <w:pPr>
        <w:spacing w:before="0" w:after="120"/>
        <w:jc w:val="both"/>
      </w:pPr>
      <w:r>
        <w:rPr>
          <w:rFonts w:ascii="Times New Roman" w:hAnsi="Times New Roman" w:cs="Times New Roman"/>
          <w:rFonts w:ascii="Times New Roman" w:hAnsi="Times New Roman"/>
          <w:b w:val="0"/>
          <w:i w:val="0"/>
          <w:sz w:val="24"/>
        </w:rPr>
        <w:t>GEV fitted to 34 years of CHIRPS RX5day annual maxima (MLE, 500-iter bootstrap, seed 42). PELT regime detection (BIC). EAL integrated from GEV survival function against EM-DAT losses, with forward EAL incorporating the post-2007 uplift.</w:t>
      </w:r>
    </w:p>
    <w:p>
      <w:pPr>
        <w:spacing w:before="240" w:after="120"/>
        <w:jc w:val="left"/>
      </w:pPr>
      <w:r>
        <w:rPr>
          <w:rFonts w:ascii="Times New Roman" w:hAnsi="Times New Roman" w:cs="Times New Roman"/>
          <w:rFonts w:ascii="Times New Roman" w:hAnsi="Times New Roman"/>
          <w:b/>
          <w:i w:val="0"/>
          <w:color w:val="1F497D"/>
          <w:sz w:val="24"/>
        </w:rPr>
        <w:t>4.1 GEV Parameters, Return Levels &amp; PELT Validation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W w:w="1440" w:type="dxa"/>
          </w:tcPr>
          <w:p>
            <w:pPr>
              <w:jc w:val="center"/>
            </w:pPr>
            <w:r>
              <w:rPr>
                <w:rFonts w:ascii="Times New Roman" w:hAnsi="Times New Roman"/>
                <w:b/>
                <w:color w:val="FFFFFF"/>
                <w:sz w:val="20"/>
              </w:rPr>
              <w:t>Country</w:t>
            </w:r>
          </w:p>
        </w:tc>
        <w:tc>
          <w:tcPr>
            <w:tcW w:type="dxa" w:w="1337"/>
            <w:shd w:val="clear" w:color="auto" w:fill="1F497D"/>
            <w:tcW w:w="1728" w:type="dxa"/>
          </w:tcPr>
          <w:p>
            <w:pPr>
              <w:jc w:val="center"/>
            </w:pPr>
            <w:r>
              <w:rPr>
                <w:rFonts w:ascii="Times New Roman" w:hAnsi="Times New Roman"/>
                <w:b/>
                <w:color w:val="FFFFFF"/>
                <w:sz w:val="20"/>
              </w:rPr>
              <w:t>GEV Family</w:t>
            </w:r>
          </w:p>
        </w:tc>
        <w:tc>
          <w:tcPr>
            <w:tcW w:type="dxa" w:w="1337"/>
            <w:shd w:val="clear" w:color="auto" w:fill="1F497D"/>
            <w:tcW w:w="1296" w:type="dxa"/>
          </w:tcPr>
          <w:p>
            <w:pPr>
              <w:jc w:val="center"/>
            </w:pPr>
            <w:r>
              <w:rPr>
                <w:rFonts w:ascii="Times New Roman" w:hAnsi="Times New Roman"/>
                <w:b/>
                <w:color w:val="FFFFFF"/>
                <w:sz w:val="20"/>
              </w:rPr>
              <w:t>RL-100yr (mm)</w:t>
            </w:r>
          </w:p>
        </w:tc>
        <w:tc>
          <w:tcPr>
            <w:tcW w:type="dxa" w:w="1337"/>
            <w:shd w:val="clear" w:color="auto" w:fill="1F497D"/>
            <w:tcW w:w="1872" w:type="dxa"/>
          </w:tcPr>
          <w:p>
            <w:pPr>
              <w:jc w:val="center"/>
            </w:pPr>
            <w:r>
              <w:rPr>
                <w:rFonts w:ascii="Times New Roman" w:hAnsi="Times New Roman"/>
                <w:b/>
                <w:color w:val="FFFFFF"/>
                <w:sz w:val="20"/>
              </w:rPr>
              <w:t>95% CI (mm)</w:t>
            </w:r>
          </w:p>
        </w:tc>
        <w:tc>
          <w:tcPr>
            <w:tcW w:type="dxa" w:w="1337"/>
            <w:shd w:val="clear" w:color="auto" w:fill="1F497D"/>
            <w:tcW w:w="1152" w:type="dxa"/>
          </w:tcPr>
          <w:p>
            <w:pPr>
              <w:jc w:val="center"/>
            </w:pPr>
            <w:r>
              <w:rPr>
                <w:rFonts w:ascii="Times New Roman" w:hAnsi="Times New Roman"/>
                <w:b/>
                <w:color w:val="FFFFFF"/>
                <w:sz w:val="20"/>
              </w:rPr>
              <w:t>PELT Break</w:t>
            </w:r>
          </w:p>
        </w:tc>
        <w:tc>
          <w:tcPr>
            <w:tcW w:type="dxa" w:w="1337"/>
            <w:shd w:val="clear" w:color="auto" w:fill="1F497D"/>
            <w:tcW w:w="1007" w:type="dxa"/>
          </w:tcPr>
          <w:p>
            <w:pPr>
              <w:jc w:val="center"/>
            </w:pPr>
            <w:r>
              <w:rPr>
                <w:rFonts w:ascii="Times New Roman" w:hAnsi="Times New Roman"/>
                <w:b/>
                <w:color w:val="FFFFFF"/>
                <w:sz w:val="20"/>
              </w:rPr>
              <w:t>Uplift</w:t>
            </w:r>
          </w:p>
        </w:tc>
        <w:tc>
          <w:tcPr>
            <w:tcW w:type="dxa" w:w="1337"/>
            <w:shd w:val="clear" w:color="auto" w:fill="1F497D"/>
            <w:tcW w:w="1152" w:type="dxa"/>
          </w:tcPr>
          <w:p>
            <w:pPr>
              <w:jc w:val="center"/>
            </w:pPr>
            <w:r>
              <w:rPr>
                <w:rFonts w:ascii="Times New Roman" w:hAnsi="Times New Roman"/>
                <w:b/>
                <w:color w:val="FFFFFF"/>
                <w:sz w:val="20"/>
              </w:rPr>
              <w:t>EAL Gap</w:t>
            </w:r>
          </w:p>
        </w:tc>
      </w:tr>
      <w:tr>
        <w:tc>
          <w:tcPr>
            <w:tcW w:type="dxa" w:w="1337"/>
            <w:shd w:val="clear" w:color="auto" w:fill="D9E2F3"/>
          </w:tcPr>
          <w:p>
            <w:pPr>
              <w:jc w:val="center"/>
            </w:pPr>
            <w:r>
              <w:rPr>
                <w:rFonts w:ascii="Times New Roman" w:hAnsi="Times New Roman"/>
                <w:sz w:val="20"/>
              </w:rPr>
              <w:t>Malaysia</w:t>
            </w:r>
          </w:p>
        </w:tc>
        <w:tc>
          <w:tcPr>
            <w:tcW w:type="dxa" w:w="1337"/>
            <w:shd w:val="clear" w:color="auto" w:fill="D9E2F3"/>
          </w:tcPr>
          <w:p>
            <w:pPr>
              <w:jc w:val="center"/>
            </w:pPr>
            <w:r>
              <w:rPr>
                <w:rFonts w:ascii="Times New Roman" w:hAnsi="Times New Roman"/>
                <w:sz w:val="20"/>
              </w:rPr>
              <w:t>Weibull (ξ&lt;0)</w:t>
            </w:r>
          </w:p>
        </w:tc>
        <w:tc>
          <w:tcPr>
            <w:tcW w:type="dxa" w:w="1337"/>
            <w:shd w:val="clear" w:color="auto" w:fill="D9E2F3"/>
          </w:tcPr>
          <w:p>
            <w:pPr>
              <w:jc w:val="center"/>
            </w:pPr>
            <w:r>
              <w:rPr>
                <w:rFonts w:ascii="Times New Roman" w:hAnsi="Times New Roman"/>
                <w:sz w:val="20"/>
              </w:rPr>
              <w:t>216.4</w:t>
            </w:r>
          </w:p>
        </w:tc>
        <w:tc>
          <w:tcPr>
            <w:tcW w:type="dxa" w:w="1337"/>
            <w:shd w:val="clear" w:color="auto" w:fill="D9E2F3"/>
          </w:tcPr>
          <w:p>
            <w:pPr>
              <w:jc w:val="center"/>
            </w:pPr>
            <w:r>
              <w:rPr>
                <w:rFonts w:ascii="Times New Roman" w:hAnsi="Times New Roman"/>
                <w:sz w:val="20"/>
              </w:rPr>
              <w:t>[170.8, 343.6]</w:t>
            </w:r>
          </w:p>
        </w:tc>
        <w:tc>
          <w:tcPr>
            <w:tcW w:type="dxa" w:w="1337"/>
            <w:shd w:val="clear" w:color="auto" w:fill="D9E2F3"/>
          </w:tcPr>
          <w:p>
            <w:pPr>
              <w:jc w:val="center"/>
            </w:pPr>
            <w:r>
              <w:rPr>
                <w:rFonts w:ascii="Times New Roman" w:hAnsi="Times New Roman"/>
                <w:sz w:val="20"/>
              </w:rPr>
              <w:t>2007</w:t>
            </w:r>
          </w:p>
        </w:tc>
        <w:tc>
          <w:tcPr>
            <w:tcW w:type="dxa" w:w="1337"/>
            <w:shd w:val="clear" w:color="auto" w:fill="D9E2F3"/>
          </w:tcPr>
          <w:p>
            <w:pPr>
              <w:jc w:val="center"/>
            </w:pPr>
            <w:r>
              <w:rPr>
                <w:rFonts w:ascii="Times New Roman" w:hAnsi="Times New Roman"/>
                <w:sz w:val="20"/>
              </w:rPr>
              <w:t>+6.9%</w:t>
            </w:r>
          </w:p>
        </w:tc>
        <w:tc>
          <w:tcPr>
            <w:tcW w:type="dxa" w:w="1337"/>
            <w:shd w:val="clear" w:color="auto" w:fill="D9E2F3"/>
          </w:tcPr>
          <w:p>
            <w:pPr>
              <w:jc w:val="center"/>
            </w:pPr>
            <w:r>
              <w:rPr>
                <w:rFonts w:ascii="Times New Roman" w:hAnsi="Times New Roman"/>
                <w:sz w:val="20"/>
              </w:rPr>
              <w:t>+5.87%</w:t>
            </w:r>
          </w:p>
        </w:tc>
      </w:tr>
      <w:tr>
        <w:tc>
          <w:tcPr>
            <w:tcW w:type="dxa" w:w="1337"/>
            <w:shd w:val="clear" w:color="auto" w:fill="FFFFFF"/>
          </w:tcPr>
          <w:p>
            <w:pPr>
              <w:jc w:val="center"/>
            </w:pPr>
            <w:r>
              <w:rPr>
                <w:rFonts w:ascii="Times New Roman" w:hAnsi="Times New Roman"/>
                <w:sz w:val="20"/>
              </w:rPr>
              <w:t>Philippines</w:t>
            </w:r>
          </w:p>
        </w:tc>
        <w:tc>
          <w:tcPr>
            <w:tcW w:type="dxa" w:w="1337"/>
            <w:shd w:val="clear" w:color="auto" w:fill="FFFFFF"/>
          </w:tcPr>
          <w:p>
            <w:pPr>
              <w:jc w:val="center"/>
            </w:pPr>
            <w:r>
              <w:rPr>
                <w:rFonts w:ascii="Times New Roman" w:hAnsi="Times New Roman"/>
                <w:sz w:val="20"/>
              </w:rPr>
              <w:t>Weibull (ξ&lt;0)</w:t>
            </w:r>
          </w:p>
        </w:tc>
        <w:tc>
          <w:tcPr>
            <w:tcW w:type="dxa" w:w="1337"/>
            <w:shd w:val="clear" w:color="auto" w:fill="FFFFFF"/>
          </w:tcPr>
          <w:p>
            <w:pPr>
              <w:jc w:val="center"/>
            </w:pPr>
            <w:r>
              <w:rPr>
                <w:rFonts w:ascii="Times New Roman" w:hAnsi="Times New Roman"/>
                <w:sz w:val="20"/>
              </w:rPr>
              <w:t>520.7</w:t>
            </w:r>
          </w:p>
        </w:tc>
        <w:tc>
          <w:tcPr>
            <w:tcW w:type="dxa" w:w="1337"/>
            <w:shd w:val="clear" w:color="auto" w:fill="FFFFFF"/>
          </w:tcPr>
          <w:p>
            <w:pPr>
              <w:jc w:val="center"/>
            </w:pPr>
            <w:r>
              <w:rPr>
                <w:rFonts w:ascii="Times New Roman" w:hAnsi="Times New Roman"/>
                <w:sz w:val="20"/>
              </w:rPr>
              <w:t>[326.1, 984.8]</w:t>
            </w:r>
          </w:p>
        </w:tc>
        <w:tc>
          <w:tcPr>
            <w:tcW w:type="dxa" w:w="1337"/>
            <w:shd w:val="clear" w:color="auto" w:fill="FFFFFF"/>
          </w:tcPr>
          <w:p>
            <w:pPr>
              <w:jc w:val="center"/>
            </w:pPr>
            <w:r>
              <w:rPr>
                <w:rFonts w:ascii="Times New Roman" w:hAnsi="Times New Roman"/>
                <w:sz w:val="20"/>
              </w:rPr>
              <w:t>2007</w:t>
            </w:r>
          </w:p>
        </w:tc>
        <w:tc>
          <w:tcPr>
            <w:tcW w:type="dxa" w:w="1337"/>
            <w:shd w:val="clear" w:color="auto" w:fill="FFFFFF"/>
          </w:tcPr>
          <w:p>
            <w:pPr>
              <w:jc w:val="center"/>
            </w:pPr>
            <w:r>
              <w:rPr>
                <w:rFonts w:ascii="Times New Roman" w:hAnsi="Times New Roman"/>
                <w:sz w:val="20"/>
              </w:rPr>
              <w:t>+6.1%</w:t>
            </w:r>
          </w:p>
        </w:tc>
        <w:tc>
          <w:tcPr>
            <w:tcW w:type="dxa" w:w="1337"/>
            <w:shd w:val="clear" w:color="auto" w:fill="FFFFFF"/>
          </w:tcPr>
          <w:p>
            <w:pPr>
              <w:jc w:val="center"/>
            </w:pPr>
            <w:r>
              <w:rPr>
                <w:rFonts w:ascii="Times New Roman" w:hAnsi="Times New Roman"/>
                <w:sz w:val="20"/>
              </w:rPr>
              <w:t>+1.28%</w:t>
            </w:r>
          </w:p>
        </w:tc>
      </w:tr>
    </w:tbl>
    <w:p>
      <w:pPr>
        <w:spacing w:before="0" w:after="160"/>
        <w:jc w:val="center"/>
      </w:pPr>
      <w:r>
        <w:rPr>
          <w:rFonts w:ascii="Times New Roman" w:hAnsi="Times New Roman" w:cs="Times New Roman"/>
          <w:rFonts w:ascii="Times New Roman" w:hAnsi="Times New Roman"/>
          <w:b w:val="0"/>
          <w:i/>
          <w:sz w:val="20"/>
        </w:rPr>
        <w:t>Table 3 – GEV parameters; 100-yr return levels with bootstrap 95% CI.</w:t>
      </w:r>
    </w:p>
    <w:p>
      <w:pPr>
        <w:jc w:val="center"/>
      </w:pPr>
      <w:r>
        <w:drawing>
          <wp:inline xmlns:a="http://schemas.openxmlformats.org/drawingml/2006/main" xmlns:pic="http://schemas.openxmlformats.org/drawingml/2006/picture">
            <wp:extent cx="5852160" cy="4262754"/>
            <wp:docPr id="4" name="Picture 4"/>
            <wp:cNvGraphicFramePr>
              <a:graphicFrameLocks noChangeAspect="1"/>
            </wp:cNvGraphicFramePr>
            <a:graphic>
              <a:graphicData uri="http://schemas.openxmlformats.org/drawingml/2006/picture">
                <pic:pic>
                  <pic:nvPicPr>
                    <pic:cNvPr id="0" name="r3_gev_and_regime_break.png"/>
                    <pic:cNvPicPr/>
                  </pic:nvPicPr>
                  <pic:blipFill>
                    <a:blip r:embed="rId12"/>
                    <a:stretch>
                      <a:fillRect/>
                    </a:stretch>
                  </pic:blipFill>
                  <pic:spPr>
                    <a:xfrm>
                      <a:off x="0" y="0"/>
                      <a:ext cx="5852160" cy="4262754"/>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3a – PELT regime break: +6.9% MYS / +6.1% PHL post-2007 hazard shift.</w:t>
      </w:r>
    </w:p>
    <w:p>
      <w:pPr>
        <w:jc w:val="center"/>
      </w:pPr>
      <w:r>
        <w:drawing>
          <wp:inline xmlns:a="http://schemas.openxmlformats.org/drawingml/2006/main" xmlns:pic="http://schemas.openxmlformats.org/drawingml/2006/picture">
            <wp:extent cx="5852160" cy="3921866"/>
            <wp:docPr id="5" name="Picture 5"/>
            <wp:cNvGraphicFramePr>
              <a:graphicFrameLocks noChangeAspect="1"/>
            </wp:cNvGraphicFramePr>
            <a:graphic>
              <a:graphicData uri="http://schemas.openxmlformats.org/drawingml/2006/picture">
                <pic:pic>
                  <pic:nvPicPr>
                    <pic:cNvPr id="0" name="r3_qq_distributional_comparison.png"/>
                    <pic:cNvPicPr/>
                  </pic:nvPicPr>
                  <pic:blipFill>
                    <a:blip r:embed="rId13"/>
                    <a:stretch>
                      <a:fillRect/>
                    </a:stretch>
                  </pic:blipFill>
                  <pic:spPr>
                    <a:xfrm>
                      <a:off x="0" y="0"/>
                      <a:ext cx="5852160" cy="3921866"/>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3b – GEV Q-Q plots confirming Weibull family fit for both countries.</w:t>
      </w:r>
    </w:p>
    <w:p>
      <w:pPr>
        <w:spacing w:before="0" w:after="120"/>
        <w:jc w:val="both"/>
      </w:pPr>
      <w:r>
        <w:rPr>
          <w:rFonts w:ascii="Times New Roman" w:hAnsi="Times New Roman" w:cs="Times New Roman"/>
          <w:rFonts w:ascii="Times New Roman" w:hAnsi="Times New Roman"/>
          <w:b w:val="0"/>
          <w:i w:val="0"/>
          <w:sz w:val="24"/>
        </w:rPr>
        <w:t>The 2007 PELT break aligns with documented PDO phase-shift intensification and post-2006 monsoonal extreme-precipitation shifts (Loo et al. 2015 for MYS; Cinco et al. 2014 for PHL). Permutation testing (N=10,000) on n=34 carries only ~25% power, so the literature-supported physical basis is the primary justification. We apply the GEV uplift as a confirmed loading for MYS (+6.9%) and a conservative floor for PHL (elevated monitoring zone pending R5).</w:t>
      </w:r>
    </w:p>
    <w:p>
      <w:pPr>
        <w:spacing w:before="240" w:after="120"/>
        <w:jc w:val="left"/>
      </w:pPr>
      <w:r>
        <w:rPr>
          <w:rFonts w:ascii="Times New Roman" w:hAnsi="Times New Roman" w:cs="Times New Roman"/>
          <w:rFonts w:ascii="Times New Roman" w:hAnsi="Times New Roman"/>
          <w:b/>
          <w:i w:val="0"/>
          <w:color w:val="1F497D"/>
          <w:sz w:val="24"/>
        </w:rPr>
        <w:t>4.2 EAL Repricing &amp; Sensitivity Analysis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W w:w="1440" w:type="dxa"/>
          </w:tcPr>
          <w:p>
            <w:pPr>
              <w:jc w:val="center"/>
            </w:pPr>
            <w:r>
              <w:rPr>
                <w:rFonts w:ascii="Times New Roman" w:hAnsi="Times New Roman"/>
                <w:b/>
                <w:color w:val="FFFFFF"/>
                <w:sz w:val="20"/>
              </w:rPr>
              <w:t>Country</w:t>
            </w:r>
          </w:p>
        </w:tc>
        <w:tc>
          <w:tcPr>
            <w:tcW w:type="dxa" w:w="1337"/>
            <w:shd w:val="clear" w:color="auto" w:fill="1F497D"/>
            <w:tcW w:w="1440" w:type="dxa"/>
          </w:tcPr>
          <w:p>
            <w:pPr>
              <w:jc w:val="center"/>
            </w:pPr>
            <w:r>
              <w:rPr>
                <w:rFonts w:ascii="Times New Roman" w:hAnsi="Times New Roman"/>
                <w:b/>
                <w:color w:val="FFFFFF"/>
                <w:sz w:val="20"/>
              </w:rPr>
              <w:t>Burning Cost</w:t>
            </w:r>
          </w:p>
        </w:tc>
        <w:tc>
          <w:tcPr>
            <w:tcW w:type="dxa" w:w="1337"/>
            <w:shd w:val="clear" w:color="auto" w:fill="1F497D"/>
            <w:tcW w:w="1440" w:type="dxa"/>
          </w:tcPr>
          <w:p>
            <w:pPr>
              <w:jc w:val="center"/>
            </w:pPr>
            <w:r>
              <w:rPr>
                <w:rFonts w:ascii="Times New Roman" w:hAnsi="Times New Roman"/>
                <w:b/>
                <w:color w:val="FFFFFF"/>
                <w:sz w:val="20"/>
              </w:rPr>
              <w:t>Obs. Mean RX5</w:t>
            </w:r>
          </w:p>
        </w:tc>
        <w:tc>
          <w:tcPr>
            <w:tcW w:type="dxa" w:w="1337"/>
            <w:shd w:val="clear" w:color="auto" w:fill="1F497D"/>
            <w:tcW w:w="1296" w:type="dxa"/>
          </w:tcPr>
          <w:p>
            <w:pPr>
              <w:jc w:val="center"/>
            </w:pPr>
            <w:r>
              <w:rPr>
                <w:rFonts w:ascii="Times New Roman" w:hAnsi="Times New Roman"/>
                <w:b/>
                <w:color w:val="FFFFFF"/>
                <w:sz w:val="20"/>
              </w:rPr>
              <w:t>GEV Mean</w:t>
            </w:r>
          </w:p>
        </w:tc>
        <w:tc>
          <w:tcPr>
            <w:tcW w:type="dxa" w:w="1337"/>
            <w:shd w:val="clear" w:color="auto" w:fill="1F497D"/>
            <w:tcW w:w="1440" w:type="dxa"/>
          </w:tcPr>
          <w:p>
            <w:pPr>
              <w:jc w:val="center"/>
            </w:pPr>
            <w:r>
              <w:rPr>
                <w:rFonts w:ascii="Times New Roman" w:hAnsi="Times New Roman"/>
                <w:b/>
                <w:color w:val="FFFFFF"/>
                <w:sz w:val="20"/>
              </w:rPr>
              <w:t>Forward EAL</w:t>
            </w:r>
          </w:p>
        </w:tc>
        <w:tc>
          <w:tcPr>
            <w:tcW w:type="dxa" w:w="1337"/>
            <w:shd w:val="clear" w:color="auto" w:fill="1F497D"/>
            <w:tcW w:w="1296" w:type="dxa"/>
          </w:tcPr>
          <w:p>
            <w:pPr>
              <w:jc w:val="center"/>
            </w:pPr>
            <w:r>
              <w:rPr>
                <w:rFonts w:ascii="Times New Roman" w:hAnsi="Times New Roman"/>
                <w:b/>
                <w:color w:val="FFFFFF"/>
                <w:sz w:val="20"/>
              </w:rPr>
              <w:t>$ Gap</w:t>
            </w:r>
          </w:p>
        </w:tc>
        <w:tc>
          <w:tcPr>
            <w:tcW w:type="dxa" w:w="1337"/>
            <w:shd w:val="clear" w:color="auto" w:fill="1F497D"/>
            <w:tcW w:w="1296" w:type="dxa"/>
          </w:tcPr>
          <w:p>
            <w:pPr>
              <w:jc w:val="center"/>
            </w:pPr>
            <w:r>
              <w:rPr>
                <w:rFonts w:ascii="Times New Roman" w:hAnsi="Times New Roman"/>
                <w:b/>
                <w:color w:val="FFFFFF"/>
                <w:sz w:val="20"/>
              </w:rPr>
              <w:t>% Gap</w:t>
            </w:r>
          </w:p>
        </w:tc>
      </w:tr>
      <w:tr>
        <w:tc>
          <w:tcPr>
            <w:tcW w:type="dxa" w:w="1337"/>
            <w:shd w:val="clear" w:color="auto" w:fill="D9E2F3"/>
          </w:tcPr>
          <w:p>
            <w:pPr>
              <w:jc w:val="center"/>
            </w:pPr>
            <w:r>
              <w:rPr>
                <w:rFonts w:ascii="Times New Roman" w:hAnsi="Times New Roman"/>
                <w:sz w:val="20"/>
              </w:rPr>
              <w:t>Malaysia</w:t>
            </w:r>
          </w:p>
        </w:tc>
        <w:tc>
          <w:tcPr>
            <w:tcW w:type="dxa" w:w="1337"/>
            <w:shd w:val="clear" w:color="auto" w:fill="D9E2F3"/>
          </w:tcPr>
          <w:p>
            <w:pPr>
              <w:jc w:val="center"/>
            </w:pPr>
            <w:r>
              <w:rPr>
                <w:rFonts w:ascii="Times New Roman" w:hAnsi="Times New Roman"/>
                <w:sz w:val="20"/>
              </w:rPr>
              <w:t>USD 110.8M</w:t>
            </w:r>
          </w:p>
        </w:tc>
        <w:tc>
          <w:tcPr>
            <w:tcW w:type="dxa" w:w="1337"/>
            <w:shd w:val="clear" w:color="auto" w:fill="D9E2F3"/>
          </w:tcPr>
          <w:p>
            <w:pPr>
              <w:jc w:val="center"/>
            </w:pPr>
            <w:r>
              <w:rPr>
                <w:rFonts w:ascii="Times New Roman" w:hAnsi="Times New Roman"/>
                <w:sz w:val="20"/>
              </w:rPr>
              <w:t>133.9mm</w:t>
            </w:r>
          </w:p>
        </w:tc>
        <w:tc>
          <w:tcPr>
            <w:tcW w:type="dxa" w:w="1337"/>
            <w:shd w:val="clear" w:color="auto" w:fill="D9E2F3"/>
          </w:tcPr>
          <w:p>
            <w:pPr>
              <w:jc w:val="center"/>
            </w:pPr>
            <w:r>
              <w:rPr>
                <w:rFonts w:ascii="Times New Roman" w:hAnsi="Times New Roman"/>
                <w:sz w:val="20"/>
              </w:rPr>
              <w:t>132.6mm</w:t>
            </w:r>
          </w:p>
        </w:tc>
        <w:tc>
          <w:tcPr>
            <w:tcW w:type="dxa" w:w="1337"/>
            <w:shd w:val="clear" w:color="auto" w:fill="D9E2F3"/>
          </w:tcPr>
          <w:p>
            <w:pPr>
              <w:jc w:val="center"/>
            </w:pPr>
            <w:r>
              <w:rPr>
                <w:rFonts w:ascii="Times New Roman" w:hAnsi="Times New Roman"/>
                <w:sz w:val="20"/>
              </w:rPr>
              <w:t>USD 117.3M</w:t>
            </w:r>
          </w:p>
        </w:tc>
        <w:tc>
          <w:tcPr>
            <w:tcW w:type="dxa" w:w="1337"/>
            <w:shd w:val="clear" w:color="auto" w:fill="D9E2F3"/>
          </w:tcPr>
          <w:p>
            <w:pPr>
              <w:jc w:val="center"/>
            </w:pPr>
            <w:r>
              <w:rPr>
                <w:rFonts w:ascii="Times New Roman" w:hAnsi="Times New Roman"/>
                <w:sz w:val="20"/>
              </w:rPr>
              <w:t>USD 6.5M</w:t>
            </w:r>
          </w:p>
        </w:tc>
        <w:tc>
          <w:tcPr>
            <w:tcW w:type="dxa" w:w="1337"/>
            <w:shd w:val="clear" w:color="auto" w:fill="D9E2F3"/>
          </w:tcPr>
          <w:p>
            <w:pPr>
              <w:jc w:val="center"/>
            </w:pPr>
            <w:r>
              <w:rPr>
                <w:rFonts w:ascii="Times New Roman" w:hAnsi="Times New Roman"/>
                <w:sz w:val="20"/>
              </w:rPr>
              <w:t>+5.87%</w:t>
            </w:r>
          </w:p>
        </w:tc>
      </w:tr>
      <w:tr>
        <w:tc>
          <w:tcPr>
            <w:tcW w:type="dxa" w:w="1337"/>
            <w:shd w:val="clear" w:color="auto" w:fill="FFFFFF"/>
          </w:tcPr>
          <w:p>
            <w:pPr>
              <w:jc w:val="center"/>
            </w:pPr>
            <w:r>
              <w:rPr>
                <w:rFonts w:ascii="Times New Roman" w:hAnsi="Times New Roman"/>
                <w:sz w:val="20"/>
              </w:rPr>
              <w:t>Philippines</w:t>
            </w:r>
          </w:p>
        </w:tc>
        <w:tc>
          <w:tcPr>
            <w:tcW w:type="dxa" w:w="1337"/>
            <w:shd w:val="clear" w:color="auto" w:fill="FFFFFF"/>
          </w:tcPr>
          <w:p>
            <w:pPr>
              <w:jc w:val="center"/>
            </w:pPr>
            <w:r>
              <w:rPr>
                <w:rFonts w:ascii="Times New Roman" w:hAnsi="Times New Roman"/>
                <w:sz w:val="20"/>
              </w:rPr>
              <w:t>USD 926.5M</w:t>
            </w:r>
          </w:p>
        </w:tc>
        <w:tc>
          <w:tcPr>
            <w:tcW w:type="dxa" w:w="1337"/>
            <w:shd w:val="clear" w:color="auto" w:fill="FFFFFF"/>
          </w:tcPr>
          <w:p>
            <w:pPr>
              <w:jc w:val="center"/>
            </w:pPr>
            <w:r>
              <w:rPr>
                <w:rFonts w:ascii="Times New Roman" w:hAnsi="Times New Roman"/>
                <w:sz w:val="20"/>
              </w:rPr>
              <w:t>244.4mm</w:t>
            </w:r>
          </w:p>
        </w:tc>
        <w:tc>
          <w:tcPr>
            <w:tcW w:type="dxa" w:w="1337"/>
            <w:shd w:val="clear" w:color="auto" w:fill="FFFFFF"/>
          </w:tcPr>
          <w:p>
            <w:pPr>
              <w:jc w:val="center"/>
            </w:pPr>
            <w:r>
              <w:rPr>
                <w:rFonts w:ascii="Times New Roman" w:hAnsi="Times New Roman"/>
                <w:sz w:val="20"/>
              </w:rPr>
              <w:t>233.3mm</w:t>
            </w:r>
          </w:p>
        </w:tc>
        <w:tc>
          <w:tcPr>
            <w:tcW w:type="dxa" w:w="1337"/>
            <w:shd w:val="clear" w:color="auto" w:fill="FFFFFF"/>
          </w:tcPr>
          <w:p>
            <w:pPr>
              <w:jc w:val="center"/>
            </w:pPr>
            <w:r>
              <w:rPr>
                <w:rFonts w:ascii="Times New Roman" w:hAnsi="Times New Roman"/>
                <w:sz w:val="20"/>
              </w:rPr>
              <w:t>USD 938.4M</w:t>
            </w:r>
          </w:p>
        </w:tc>
        <w:tc>
          <w:tcPr>
            <w:tcW w:type="dxa" w:w="1337"/>
            <w:shd w:val="clear" w:color="auto" w:fill="FFFFFF"/>
          </w:tcPr>
          <w:p>
            <w:pPr>
              <w:jc w:val="center"/>
            </w:pPr>
            <w:r>
              <w:rPr>
                <w:rFonts w:ascii="Times New Roman" w:hAnsi="Times New Roman"/>
                <w:sz w:val="20"/>
              </w:rPr>
              <w:t>USD 11.9M</w:t>
            </w:r>
          </w:p>
        </w:tc>
        <w:tc>
          <w:tcPr>
            <w:tcW w:type="dxa" w:w="1337"/>
            <w:shd w:val="clear" w:color="auto" w:fill="FFFFFF"/>
          </w:tcPr>
          <w:p>
            <w:pPr>
              <w:jc w:val="center"/>
            </w:pPr>
            <w:r>
              <w:rPr>
                <w:rFonts w:ascii="Times New Roman" w:hAnsi="Times New Roman"/>
                <w:sz w:val="20"/>
              </w:rPr>
              <w:t>+1.28%</w:t>
            </w:r>
          </w:p>
        </w:tc>
      </w:tr>
    </w:tbl>
    <w:p>
      <w:pPr>
        <w:spacing w:before="0" w:after="160"/>
        <w:jc w:val="center"/>
      </w:pPr>
      <w:r>
        <w:rPr>
          <w:rFonts w:ascii="Times New Roman" w:hAnsi="Times New Roman" w:cs="Times New Roman"/>
          <w:rFonts w:ascii="Times New Roman" w:hAnsi="Times New Roman"/>
          <w:b w:val="0"/>
          <w:i/>
          <w:sz w:val="20"/>
        </w:rPr>
        <w:t>Table 4 – Forward EAL vs. EM-DAT burning cost (GEV PELT-adjusted).</w:t>
      </w:r>
    </w:p>
    <w:p>
      <w:pPr>
        <w:jc w:val="center"/>
      </w:pPr>
      <w:r>
        <w:drawing>
          <wp:inline xmlns:a="http://schemas.openxmlformats.org/drawingml/2006/main" xmlns:pic="http://schemas.openxmlformats.org/drawingml/2006/picture">
            <wp:extent cx="5852160" cy="2870314"/>
            <wp:docPr id="6" name="Picture 6"/>
            <wp:cNvGraphicFramePr>
              <a:graphicFrameLocks noChangeAspect="1"/>
            </wp:cNvGraphicFramePr>
            <a:graphic>
              <a:graphicData uri="http://schemas.openxmlformats.org/drawingml/2006/picture">
                <pic:pic>
                  <pic:nvPicPr>
                    <pic:cNvPr id="0" name="r3_sensitivity_tornado.png"/>
                    <pic:cNvPicPr/>
                  </pic:nvPicPr>
                  <pic:blipFill>
                    <a:blip r:embed="rId14"/>
                    <a:stretch>
                      <a:fillRect/>
                    </a:stretch>
                  </pic:blipFill>
                  <pic:spPr>
                    <a:xfrm>
                      <a:off x="0" y="0"/>
                      <a:ext cx="5852160" cy="2870314"/>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4a – EAL sensitivity tornado: PELT break dominates (~60%) EAL uncertainty.</w:t>
      </w:r>
    </w:p>
    <w:p>
      <w:pPr>
        <w:jc w:val="center"/>
      </w:pPr>
      <w:r>
        <w:drawing>
          <wp:inline xmlns:a="http://schemas.openxmlformats.org/drawingml/2006/main" xmlns:pic="http://schemas.openxmlformats.org/drawingml/2006/picture">
            <wp:extent cx="5852160" cy="3036544"/>
            <wp:docPr id="7" name="Picture 7"/>
            <wp:cNvGraphicFramePr>
              <a:graphicFrameLocks noChangeAspect="1"/>
            </wp:cNvGraphicFramePr>
            <a:graphic>
              <a:graphicData uri="http://schemas.openxmlformats.org/drawingml/2006/picture">
                <pic:pic>
                  <pic:nvPicPr>
                    <pic:cNvPr id="0" name="r3_eal_decomposition_waterfall.png"/>
                    <pic:cNvPicPr/>
                  </pic:nvPicPr>
                  <pic:blipFill>
                    <a:blip r:embed="rId15"/>
                    <a:stretch>
                      <a:fillRect/>
                    </a:stretch>
                  </pic:blipFill>
                  <pic:spPr>
                    <a:xfrm>
                      <a:off x="0" y="0"/>
                      <a:ext cx="5852160" cy="3036544"/>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4b – EAL waterfall: hazard intensity, GEV correction, PELT uplift components.</w:t>
      </w:r>
    </w:p>
    <w:p>
      <w:pPr>
        <w:spacing w:before="0" w:after="120"/>
        <w:jc w:val="both"/>
      </w:pPr>
      <w:r>
        <w:rPr>
          <w:rFonts w:ascii="Times New Roman" w:hAnsi="Times New Roman" w:cs="Times New Roman"/>
          <w:rFonts w:ascii="Times New Roman" w:hAnsi="Times New Roman"/>
          <w:b w:val="0"/>
          <w:i w:val="0"/>
          <w:sz w:val="24"/>
        </w:rPr>
        <w:t>PELT break ~60% / GEV shape ~25% / urbanisation ~15% of EAL loading. Lower PHL penetration (~8% vs MYS ~15%, Swiss Re Sigma 1/2024) yields proportionally smaller insured gap, justifying asymmetric R1.</w:t>
      </w:r>
    </w:p>
    <w:p>
      <w:r>
        <w:br w:type="page"/>
      </w:r>
    </w:p>
    <w:p>
      <w:pPr>
        <w:spacing w:before="240" w:after="120"/>
        <w:jc w:val="left"/>
      </w:pPr>
      <w:r>
        <w:rPr>
          <w:rFonts w:ascii="Times New Roman" w:hAnsi="Times New Roman" w:cs="Times New Roman"/>
          <w:rFonts w:ascii="Times New Roman" w:hAnsi="Times New Roman"/>
          <w:b/>
          <w:i w:val="0"/>
          <w:color w:val="1F497D"/>
          <w:sz w:val="28"/>
        </w:rPr>
        <w:t>5. Insurance Claims Comparison &amp; ENSO Dependence</w:t>
      </w:r>
    </w:p>
    <w:p>
      <w:pPr>
        <w:spacing w:before="0" w:after="120"/>
        <w:jc w:val="both"/>
      </w:pPr>
      <w:r>
        <w:rPr>
          <w:rFonts w:ascii="Times New Roman" w:hAnsi="Times New Roman" w:cs="Times New Roman"/>
          <w:rFonts w:ascii="Times New Roman" w:hAnsi="Times New Roman"/>
          <w:b w:val="0"/>
          <w:i w:val="0"/>
          <w:sz w:val="24"/>
        </w:rPr>
        <w:t>ENSO correlated-loss test: NOAA ONI DJF (1990–2023) vs EM-DAT, AIC copula selection. PHL protection gap (USD 11.9M/yr) is 83% wider than MYS (USD 6.5M/yr) despite higher event frequency — structural underinsurance precluding uniform SEA loading.</w:t>
      </w:r>
    </w:p>
    <w:p>
      <w:pPr>
        <w:jc w:val="center"/>
      </w:pPr>
      <w:r>
        <w:drawing>
          <wp:inline xmlns:a="http://schemas.openxmlformats.org/drawingml/2006/main" xmlns:pic="http://schemas.openxmlformats.org/drawingml/2006/picture">
            <wp:extent cx="5852160" cy="3844341"/>
            <wp:docPr id="8" name="Picture 8"/>
            <wp:cNvGraphicFramePr>
              <a:graphicFrameLocks noChangeAspect="1"/>
            </wp:cNvGraphicFramePr>
            <a:graphic>
              <a:graphicData uri="http://schemas.openxmlformats.org/drawingml/2006/picture">
                <pic:pic>
                  <pic:nvPicPr>
                    <pic:cNvPr id="0" name="r3_enso_dependence.png"/>
                    <pic:cNvPicPr/>
                  </pic:nvPicPr>
                  <pic:blipFill>
                    <a:blip r:embed="rId16"/>
                    <a:stretch>
                      <a:fillRect/>
                    </a:stretch>
                  </pic:blipFill>
                  <pic:spPr>
                    <a:xfrm>
                      <a:off x="0" y="0"/>
                      <a:ext cx="5852160" cy="3844341"/>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5a – ENSO ONI vs annual insured loss: r = -0.016, p = 0.93 (not significant).</w:t>
      </w:r>
    </w:p>
    <w:p>
      <w:pPr>
        <w:jc w:val="center"/>
      </w:pPr>
      <w:r>
        <w:drawing>
          <wp:inline xmlns:a="http://schemas.openxmlformats.org/drawingml/2006/main" xmlns:pic="http://schemas.openxmlformats.org/drawingml/2006/picture">
            <wp:extent cx="5852160" cy="5059365"/>
            <wp:docPr id="9" name="Picture 9"/>
            <wp:cNvGraphicFramePr>
              <a:graphicFrameLocks noChangeAspect="1"/>
            </wp:cNvGraphicFramePr>
            <a:graphic>
              <a:graphicData uri="http://schemas.openxmlformats.org/drawingml/2006/picture">
                <pic:pic>
                  <pic:nvPicPr>
                    <pic:cNvPr id="0" name="r8_copula_pit_scatter.png"/>
                    <pic:cNvPicPr/>
                  </pic:nvPicPr>
                  <pic:blipFill>
                    <a:blip r:embed="rId17"/>
                    <a:stretch>
                      <a:fillRect/>
                    </a:stretch>
                  </pic:blipFill>
                  <pic:spPr>
                    <a:xfrm>
                      <a:off x="0" y="0"/>
                      <a:ext cx="5852160" cy="5059365"/>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5b – Copula PIT scatter: AIC selects Independence copula over Clayton/Gumbel.</w:t>
      </w:r>
    </w:p>
    <w:p>
      <w:pPr>
        <w:spacing w:before="240" w:after="120"/>
        <w:jc w:val="left"/>
      </w:pPr>
      <w:r>
        <w:rPr>
          <w:rFonts w:ascii="Times New Roman" w:hAnsi="Times New Roman" w:cs="Times New Roman"/>
          <w:rFonts w:ascii="Times New Roman" w:hAnsi="Times New Roman"/>
          <w:b/>
          <w:i w:val="0"/>
          <w:color w:val="1F497D"/>
          <w:sz w:val="24"/>
        </w:rPr>
        <w:t>5.1 Correlation Tests &amp; Copula Selection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W w:w="2592" w:type="dxa"/>
          </w:tcPr>
          <w:p>
            <w:pPr>
              <w:jc w:val="center"/>
            </w:pPr>
            <w:r>
              <w:rPr>
                <w:rFonts w:ascii="Times New Roman" w:hAnsi="Times New Roman"/>
                <w:b/>
                <w:color w:val="FFFFFF"/>
                <w:sz w:val="20"/>
              </w:rPr>
              <w:t>Test</w:t>
            </w:r>
          </w:p>
        </w:tc>
        <w:tc>
          <w:tcPr>
            <w:tcW w:type="dxa" w:w="2340"/>
            <w:shd w:val="clear" w:color="auto" w:fill="1F497D"/>
            <w:tcW w:w="2160" w:type="dxa"/>
          </w:tcPr>
          <w:p>
            <w:pPr>
              <w:jc w:val="center"/>
            </w:pPr>
            <w:r>
              <w:rPr>
                <w:rFonts w:ascii="Times New Roman" w:hAnsi="Times New Roman"/>
                <w:b/>
                <w:color w:val="FFFFFF"/>
                <w:sz w:val="20"/>
              </w:rPr>
              <w:t>Statistic</w:t>
            </w:r>
          </w:p>
        </w:tc>
        <w:tc>
          <w:tcPr>
            <w:tcW w:type="dxa" w:w="2340"/>
            <w:shd w:val="clear" w:color="auto" w:fill="1F497D"/>
            <w:tcW w:w="1728" w:type="dxa"/>
          </w:tcPr>
          <w:p>
            <w:pPr>
              <w:jc w:val="center"/>
            </w:pPr>
            <w:r>
              <w:rPr>
                <w:rFonts w:ascii="Times New Roman" w:hAnsi="Times New Roman"/>
                <w:b/>
                <w:color w:val="FFFFFF"/>
                <w:sz w:val="20"/>
              </w:rPr>
              <w:t>p-value / n</w:t>
            </w:r>
          </w:p>
        </w:tc>
        <w:tc>
          <w:tcPr>
            <w:tcW w:type="dxa" w:w="2340"/>
            <w:shd w:val="clear" w:color="auto" w:fill="1F497D"/>
            <w:tcW w:w="2592" w:type="dxa"/>
          </w:tcPr>
          <w:p>
            <w:pPr>
              <w:jc w:val="center"/>
            </w:pPr>
            <w:r>
              <w:rPr>
                <w:rFonts w:ascii="Times New Roman" w:hAnsi="Times New Roman"/>
                <w:b/>
                <w:color w:val="FFFFFF"/>
                <w:sz w:val="20"/>
              </w:rPr>
              <w:t>Interpretation</w:t>
            </w:r>
          </w:p>
        </w:tc>
      </w:tr>
      <w:tr>
        <w:tc>
          <w:tcPr>
            <w:tcW w:type="dxa" w:w="2340"/>
            <w:shd w:val="clear" w:color="auto" w:fill="D9E2F3"/>
          </w:tcPr>
          <w:p>
            <w:pPr>
              <w:jc w:val="center"/>
            </w:pPr>
            <w:r>
              <w:rPr>
                <w:rFonts w:ascii="Times New Roman" w:hAnsi="Times New Roman"/>
                <w:sz w:val="20"/>
              </w:rPr>
              <w:t>Pearson r (MYS annual)</w:t>
            </w:r>
          </w:p>
        </w:tc>
        <w:tc>
          <w:tcPr>
            <w:tcW w:type="dxa" w:w="2340"/>
            <w:shd w:val="clear" w:color="auto" w:fill="D9E2F3"/>
          </w:tcPr>
          <w:p>
            <w:pPr>
              <w:jc w:val="center"/>
            </w:pPr>
            <w:r>
              <w:rPr>
                <w:rFonts w:ascii="Times New Roman" w:hAnsi="Times New Roman"/>
                <w:sz w:val="20"/>
              </w:rPr>
              <w:t>r = -0.016</w:t>
            </w:r>
          </w:p>
        </w:tc>
        <w:tc>
          <w:tcPr>
            <w:tcW w:type="dxa" w:w="2340"/>
            <w:shd w:val="clear" w:color="auto" w:fill="D9E2F3"/>
          </w:tcPr>
          <w:p>
            <w:pPr>
              <w:jc w:val="center"/>
            </w:pPr>
            <w:r>
              <w:rPr>
                <w:rFonts w:ascii="Times New Roman" w:hAnsi="Times New Roman"/>
                <w:sz w:val="20"/>
              </w:rPr>
              <w:t>p = 0.93</w:t>
            </w:r>
          </w:p>
        </w:tc>
        <w:tc>
          <w:tcPr>
            <w:tcW w:type="dxa" w:w="2340"/>
            <w:shd w:val="clear" w:color="auto" w:fill="D9E2F3"/>
          </w:tcPr>
          <w:p>
            <w:pPr>
              <w:jc w:val="center"/>
            </w:pPr>
            <w:r>
              <w:rPr>
                <w:rFonts w:ascii="Times New Roman" w:hAnsi="Times New Roman"/>
                <w:sz w:val="20"/>
              </w:rPr>
              <w:t>Not significant</w:t>
            </w:r>
          </w:p>
        </w:tc>
      </w:tr>
      <w:tr>
        <w:tc>
          <w:tcPr>
            <w:tcW w:type="dxa" w:w="2340"/>
            <w:shd w:val="clear" w:color="auto" w:fill="FFFFFF"/>
          </w:tcPr>
          <w:p>
            <w:pPr>
              <w:jc w:val="center"/>
            </w:pPr>
            <w:r>
              <w:rPr>
                <w:rFonts w:ascii="Times New Roman" w:hAnsi="Times New Roman"/>
                <w:sz w:val="20"/>
              </w:rPr>
              <w:t>Spearman rho (MYS)</w:t>
            </w:r>
          </w:p>
        </w:tc>
        <w:tc>
          <w:tcPr>
            <w:tcW w:type="dxa" w:w="2340"/>
            <w:shd w:val="clear" w:color="auto" w:fill="FFFFFF"/>
          </w:tcPr>
          <w:p>
            <w:pPr>
              <w:jc w:val="center"/>
            </w:pPr>
            <w:r>
              <w:rPr>
                <w:rFonts w:ascii="Times New Roman" w:hAnsi="Times New Roman"/>
                <w:sz w:val="20"/>
              </w:rPr>
              <w:t>rho = -0.071</w:t>
            </w:r>
          </w:p>
        </w:tc>
        <w:tc>
          <w:tcPr>
            <w:tcW w:type="dxa" w:w="2340"/>
            <w:shd w:val="clear" w:color="auto" w:fill="FFFFFF"/>
          </w:tcPr>
          <w:p>
            <w:pPr>
              <w:jc w:val="center"/>
            </w:pPr>
            <w:r>
              <w:rPr>
                <w:rFonts w:ascii="Times New Roman" w:hAnsi="Times New Roman"/>
                <w:sz w:val="20"/>
              </w:rPr>
              <w:t>p = 0.69</w:t>
            </w:r>
          </w:p>
        </w:tc>
        <w:tc>
          <w:tcPr>
            <w:tcW w:type="dxa" w:w="2340"/>
            <w:shd w:val="clear" w:color="auto" w:fill="FFFFFF"/>
          </w:tcPr>
          <w:p>
            <w:pPr>
              <w:jc w:val="center"/>
            </w:pPr>
            <w:r>
              <w:rPr>
                <w:rFonts w:ascii="Times New Roman" w:hAnsi="Times New Roman"/>
                <w:sz w:val="20"/>
              </w:rPr>
              <w:t>Not significant</w:t>
            </w:r>
          </w:p>
        </w:tc>
      </w:tr>
      <w:tr>
        <w:tc>
          <w:tcPr>
            <w:tcW w:type="dxa" w:w="2340"/>
            <w:shd w:val="clear" w:color="auto" w:fill="D9E2F3"/>
          </w:tcPr>
          <w:p>
            <w:pPr>
              <w:jc w:val="center"/>
            </w:pPr>
            <w:r>
              <w:rPr>
                <w:rFonts w:ascii="Times New Roman" w:hAnsi="Times New Roman"/>
                <w:sz w:val="20"/>
              </w:rPr>
              <w:t>Pearson r (PHL annual)</w:t>
            </w:r>
          </w:p>
        </w:tc>
        <w:tc>
          <w:tcPr>
            <w:tcW w:type="dxa" w:w="2340"/>
            <w:shd w:val="clear" w:color="auto" w:fill="D9E2F3"/>
          </w:tcPr>
          <w:p>
            <w:pPr>
              <w:jc w:val="center"/>
            </w:pPr>
            <w:r>
              <w:rPr>
                <w:rFonts w:ascii="Times New Roman" w:hAnsi="Times New Roman"/>
                <w:sz w:val="20"/>
              </w:rPr>
              <w:t>r = -0.026</w:t>
            </w:r>
          </w:p>
        </w:tc>
        <w:tc>
          <w:tcPr>
            <w:tcW w:type="dxa" w:w="2340"/>
            <w:shd w:val="clear" w:color="auto" w:fill="D9E2F3"/>
          </w:tcPr>
          <w:p>
            <w:pPr>
              <w:jc w:val="center"/>
            </w:pPr>
            <w:r>
              <w:rPr>
                <w:rFonts w:ascii="Times New Roman" w:hAnsi="Times New Roman"/>
                <w:sz w:val="20"/>
              </w:rPr>
              <w:t>p = 0.83</w:t>
            </w:r>
          </w:p>
        </w:tc>
        <w:tc>
          <w:tcPr>
            <w:tcW w:type="dxa" w:w="2340"/>
            <w:shd w:val="clear" w:color="auto" w:fill="D9E2F3"/>
          </w:tcPr>
          <w:p>
            <w:pPr>
              <w:jc w:val="center"/>
            </w:pPr>
            <w:r>
              <w:rPr>
                <w:rFonts w:ascii="Times New Roman" w:hAnsi="Times New Roman"/>
                <w:sz w:val="20"/>
              </w:rPr>
              <w:t>Not significant</w:t>
            </w:r>
          </w:p>
        </w:tc>
      </w:tr>
      <w:tr>
        <w:tc>
          <w:tcPr>
            <w:tcW w:type="dxa" w:w="2340"/>
            <w:shd w:val="clear" w:color="auto" w:fill="FFFFFF"/>
          </w:tcPr>
          <w:p>
            <w:pPr>
              <w:jc w:val="center"/>
            </w:pPr>
            <w:r>
              <w:rPr>
                <w:rFonts w:ascii="Times New Roman" w:hAnsi="Times New Roman"/>
                <w:sz w:val="20"/>
              </w:rPr>
              <w:t>AIC copula (full sample)</w:t>
            </w:r>
          </w:p>
        </w:tc>
        <w:tc>
          <w:tcPr>
            <w:tcW w:type="dxa" w:w="2340"/>
            <w:shd w:val="clear" w:color="auto" w:fill="FFFFFF"/>
          </w:tcPr>
          <w:p>
            <w:pPr>
              <w:jc w:val="center"/>
            </w:pPr>
            <w:r>
              <w:rPr>
                <w:rFonts w:ascii="Times New Roman" w:hAnsi="Times New Roman"/>
                <w:sz w:val="20"/>
              </w:rPr>
              <w:t>Independence (AIC=0)</w:t>
            </w:r>
          </w:p>
        </w:tc>
        <w:tc>
          <w:tcPr>
            <w:tcW w:type="dxa" w:w="2340"/>
            <w:shd w:val="clear" w:color="auto" w:fill="FFFFFF"/>
          </w:tcPr>
          <w:p>
            <w:pPr>
              <w:jc w:val="center"/>
            </w:pPr>
            <w:r>
              <w:rPr>
                <w:rFonts w:ascii="Times New Roman" w:hAnsi="Times New Roman"/>
                <w:sz w:val="20"/>
              </w:rPr>
              <w:t>ΔAIC = 0</w:t>
            </w:r>
          </w:p>
        </w:tc>
        <w:tc>
          <w:tcPr>
            <w:tcW w:type="dxa" w:w="2340"/>
            <w:shd w:val="clear" w:color="auto" w:fill="FFFFFF"/>
          </w:tcPr>
          <w:p>
            <w:pPr>
              <w:jc w:val="center"/>
            </w:pPr>
            <w:r>
              <w:rPr>
                <w:rFonts w:ascii="Times New Roman" w:hAnsi="Times New Roman"/>
                <w:sz w:val="20"/>
              </w:rPr>
              <w:t>Preferred vs Clayton, Gumbel</w:t>
            </w:r>
          </w:p>
        </w:tc>
      </w:tr>
      <w:tr>
        <w:tc>
          <w:tcPr>
            <w:tcW w:type="dxa" w:w="2340"/>
            <w:shd w:val="clear" w:color="auto" w:fill="D9E2F3"/>
          </w:tcPr>
          <w:p>
            <w:pPr>
              <w:jc w:val="center"/>
            </w:pPr>
            <w:r>
              <w:rPr>
                <w:rFonts w:ascii="Times New Roman" w:hAnsi="Times New Roman"/>
                <w:sz w:val="20"/>
              </w:rPr>
              <w:t>Clayton lower-tail</w:t>
            </w:r>
          </w:p>
        </w:tc>
        <w:tc>
          <w:tcPr>
            <w:tcW w:type="dxa" w:w="2340"/>
            <w:shd w:val="clear" w:color="auto" w:fill="D9E2F3"/>
          </w:tcPr>
          <w:p>
            <w:pPr>
              <w:jc w:val="center"/>
            </w:pPr>
            <w:r>
              <w:rPr>
                <w:rFonts w:ascii="Times New Roman" w:hAnsi="Times New Roman"/>
                <w:sz w:val="20"/>
              </w:rPr>
              <w:t>theta = 0.0081</w:t>
            </w:r>
          </w:p>
        </w:tc>
        <w:tc>
          <w:tcPr>
            <w:tcW w:type="dxa" w:w="2340"/>
            <w:shd w:val="clear" w:color="auto" w:fill="D9E2F3"/>
          </w:tcPr>
          <w:p>
            <w:pPr>
              <w:jc w:val="center"/>
            </w:pPr>
            <w:r>
              <w:rPr>
                <w:rFonts w:ascii="Times New Roman" w:hAnsi="Times New Roman"/>
                <w:sz w:val="20"/>
              </w:rPr>
              <w:t>λL → 0</w:t>
            </w:r>
          </w:p>
        </w:tc>
        <w:tc>
          <w:tcPr>
            <w:tcW w:type="dxa" w:w="2340"/>
            <w:shd w:val="clear" w:color="auto" w:fill="D9E2F3"/>
          </w:tcPr>
          <w:p>
            <w:pPr>
              <w:jc w:val="center"/>
            </w:pPr>
            <w:r>
              <w:rPr>
                <w:rFonts w:ascii="Times New Roman" w:hAnsi="Times New Roman"/>
                <w:sz w:val="20"/>
              </w:rPr>
              <w:t>Near-zero lower-tail dependence</w:t>
            </w:r>
          </w:p>
        </w:tc>
      </w:tr>
      <w:tr>
        <w:tc>
          <w:tcPr>
            <w:tcW w:type="dxa" w:w="2340"/>
            <w:shd w:val="clear" w:color="auto" w:fill="FFFFFF"/>
          </w:tcPr>
          <w:p>
            <w:pPr>
              <w:jc w:val="center"/>
            </w:pPr>
            <w:r>
              <w:rPr>
                <w:rFonts w:ascii="Times New Roman" w:hAnsi="Times New Roman"/>
                <w:sz w:val="20"/>
              </w:rPr>
              <w:t>Kendall tau – La Niña</w:t>
            </w:r>
          </w:p>
        </w:tc>
        <w:tc>
          <w:tcPr>
            <w:tcW w:type="dxa" w:w="2340"/>
            <w:shd w:val="clear" w:color="auto" w:fill="FFFFFF"/>
          </w:tcPr>
          <w:p>
            <w:pPr>
              <w:jc w:val="center"/>
            </w:pPr>
            <w:r>
              <w:rPr>
                <w:rFonts w:ascii="Times New Roman" w:hAnsi="Times New Roman"/>
                <w:sz w:val="20"/>
              </w:rPr>
              <w:t>tau = +0.209</w:t>
            </w:r>
          </w:p>
        </w:tc>
        <w:tc>
          <w:tcPr>
            <w:tcW w:type="dxa" w:w="2340"/>
            <w:shd w:val="clear" w:color="auto" w:fill="FFFFFF"/>
          </w:tcPr>
          <w:p>
            <w:pPr>
              <w:jc w:val="center"/>
            </w:pPr>
            <w:r>
              <w:rPr>
                <w:rFonts w:ascii="Times New Roman" w:hAnsi="Times New Roman"/>
                <w:sz w:val="20"/>
              </w:rPr>
              <w:t>n = 14</w:t>
            </w:r>
          </w:p>
        </w:tc>
        <w:tc>
          <w:tcPr>
            <w:tcW w:type="dxa" w:w="2340"/>
            <w:shd w:val="clear" w:color="auto" w:fill="FFFFFF"/>
          </w:tcPr>
          <w:p>
            <w:pPr>
              <w:jc w:val="center"/>
            </w:pPr>
            <w:r>
              <w:rPr>
                <w:rFonts w:ascii="Times New Roman" w:hAnsi="Times New Roman"/>
                <w:sz w:val="20"/>
              </w:rPr>
              <w:t>Weak positive, sub-sample only</w:t>
            </w:r>
          </w:p>
        </w:tc>
      </w:tr>
      <w:tr>
        <w:tc>
          <w:tcPr>
            <w:tcW w:type="dxa" w:w="2340"/>
            <w:shd w:val="clear" w:color="auto" w:fill="D9E2F3"/>
          </w:tcPr>
          <w:p>
            <w:pPr>
              <w:jc w:val="center"/>
            </w:pPr>
            <w:r>
              <w:rPr>
                <w:rFonts w:ascii="Times New Roman" w:hAnsi="Times New Roman"/>
                <w:sz w:val="20"/>
              </w:rPr>
              <w:t>Gaussian rho – La Niña</w:t>
            </w:r>
          </w:p>
        </w:tc>
        <w:tc>
          <w:tcPr>
            <w:tcW w:type="dxa" w:w="2340"/>
            <w:shd w:val="clear" w:color="auto" w:fill="D9E2F3"/>
          </w:tcPr>
          <w:p>
            <w:pPr>
              <w:jc w:val="center"/>
            </w:pPr>
            <w:r>
              <w:rPr>
                <w:rFonts w:ascii="Times New Roman" w:hAnsi="Times New Roman"/>
                <w:sz w:val="20"/>
              </w:rPr>
              <w:t>rho = +0.322</w:t>
            </w:r>
          </w:p>
        </w:tc>
        <w:tc>
          <w:tcPr>
            <w:tcW w:type="dxa" w:w="2340"/>
            <w:shd w:val="clear" w:color="auto" w:fill="D9E2F3"/>
          </w:tcPr>
          <w:p>
            <w:pPr>
              <w:jc w:val="center"/>
            </w:pPr>
            <w:r>
              <w:rPr>
                <w:rFonts w:ascii="Times New Roman" w:hAnsi="Times New Roman"/>
                <w:sz w:val="20"/>
              </w:rPr>
              <w:t>n = 14</w:t>
            </w:r>
          </w:p>
        </w:tc>
        <w:tc>
          <w:tcPr>
            <w:tcW w:type="dxa" w:w="2340"/>
            <w:shd w:val="clear" w:color="auto" w:fill="D9E2F3"/>
          </w:tcPr>
          <w:p>
            <w:pPr>
              <w:jc w:val="center"/>
            </w:pPr>
            <w:r>
              <w:rPr>
                <w:rFonts w:ascii="Times New Roman" w:hAnsi="Times New Roman"/>
                <w:sz w:val="20"/>
              </w:rPr>
              <w:t>p99 combined gap: +USD 25.9M</w:t>
            </w:r>
          </w:p>
        </w:tc>
      </w:tr>
    </w:tbl>
    <w:p>
      <w:pPr>
        <w:spacing w:before="0" w:after="160"/>
        <w:jc w:val="center"/>
      </w:pPr>
      <w:r>
        <w:rPr>
          <w:rFonts w:ascii="Times New Roman" w:hAnsi="Times New Roman" w:cs="Times New Roman"/>
          <w:rFonts w:ascii="Times New Roman" w:hAnsi="Times New Roman"/>
          <w:b w:val="0"/>
          <w:i/>
          <w:sz w:val="20"/>
        </w:rPr>
        <w:t>Table 5 – ENSO dependence and copula analysis results.</w:t>
      </w:r>
    </w:p>
    <w:p>
      <w:pPr>
        <w:spacing w:before="0" w:after="120"/>
        <w:jc w:val="both"/>
      </w:pPr>
      <w:r>
        <w:rPr>
          <w:rFonts w:ascii="Times New Roman" w:hAnsi="Times New Roman" w:cs="Times New Roman"/>
          <w:rFonts w:ascii="Times New Roman" w:hAnsi="Times New Roman"/>
          <w:b w:val="0"/>
          <w:i/>
          <w:sz w:val="24"/>
        </w:rPr>
        <w:t>ENSO is NOT a pricing variable (annual r indistinguishable from zero, p=0.83–0.93). However, La Niña years (n=14) show weak positive dependence (rho=0.32) creating a p99 industry-wide gap of +USD 25.9M (HRe 10% share = +USD 2.59M/yr). R3 designates NOAA OND La Niña onset (ONI ≤ -0.5°C) as an AUDIT TRIGGER only.</w:t>
      </w:r>
    </w:p>
    <w:p>
      <w:pPr>
        <w:spacing w:before="240" w:after="120"/>
        <w:jc w:val="left"/>
      </w:pPr>
      <w:r>
        <w:rPr>
          <w:rFonts w:ascii="Times New Roman" w:hAnsi="Times New Roman" w:cs="Times New Roman"/>
          <w:rFonts w:ascii="Times New Roman" w:hAnsi="Times New Roman"/>
          <w:b/>
          <w:i w:val="0"/>
          <w:color w:val="1F497D"/>
          <w:sz w:val="24"/>
        </w:rPr>
        <w:t>5.2 MYS vs PHL Structural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3168" w:type="dxa"/>
          </w:tcPr>
          <w:p>
            <w:pPr>
              <w:jc w:val="center"/>
            </w:pPr>
            <w:r>
              <w:rPr>
                <w:rFonts w:ascii="Times New Roman" w:hAnsi="Times New Roman"/>
                <w:b/>
                <w:color w:val="FFFFFF"/>
                <w:sz w:val="20"/>
              </w:rPr>
              <w:t>Metric</w:t>
            </w:r>
          </w:p>
        </w:tc>
        <w:tc>
          <w:tcPr>
            <w:tcW w:type="dxa" w:w="3120"/>
            <w:shd w:val="clear" w:color="auto" w:fill="1F497D"/>
            <w:tcW w:w="2880" w:type="dxa"/>
          </w:tcPr>
          <w:p>
            <w:pPr>
              <w:jc w:val="center"/>
            </w:pPr>
            <w:r>
              <w:rPr>
                <w:rFonts w:ascii="Times New Roman" w:hAnsi="Times New Roman"/>
                <w:b/>
                <w:color w:val="FFFFFF"/>
                <w:sz w:val="20"/>
              </w:rPr>
              <w:t>Malaysia</w:t>
            </w:r>
          </w:p>
        </w:tc>
        <w:tc>
          <w:tcPr>
            <w:tcW w:type="dxa" w:w="3120"/>
            <w:shd w:val="clear" w:color="auto" w:fill="1F497D"/>
            <w:tcW w:w="3024" w:type="dxa"/>
          </w:tcPr>
          <w:p>
            <w:pPr>
              <w:jc w:val="center"/>
            </w:pPr>
            <w:r>
              <w:rPr>
                <w:rFonts w:ascii="Times New Roman" w:hAnsi="Times New Roman"/>
                <w:b/>
                <w:color w:val="FFFFFF"/>
                <w:sz w:val="20"/>
              </w:rPr>
              <w:t>Philippines</w:t>
            </w:r>
          </w:p>
        </w:tc>
      </w:tr>
      <w:tr>
        <w:tc>
          <w:tcPr>
            <w:tcW w:type="dxa" w:w="3120"/>
            <w:shd w:val="clear" w:color="auto" w:fill="D9E2F3"/>
          </w:tcPr>
          <w:p>
            <w:pPr>
              <w:jc w:val="center"/>
            </w:pPr>
            <w:r>
              <w:rPr>
                <w:rFonts w:ascii="Times New Roman" w:hAnsi="Times New Roman"/>
                <w:sz w:val="20"/>
              </w:rPr>
              <w:t>Total EM-DAT events 1990–2023</w:t>
            </w:r>
          </w:p>
        </w:tc>
        <w:tc>
          <w:tcPr>
            <w:tcW w:type="dxa" w:w="3120"/>
            <w:shd w:val="clear" w:color="auto" w:fill="D9E2F3"/>
          </w:tcPr>
          <w:p>
            <w:pPr>
              <w:jc w:val="center"/>
            </w:pPr>
            <w:r>
              <w:rPr>
                <w:rFonts w:ascii="Times New Roman" w:hAnsi="Times New Roman"/>
                <w:sz w:val="20"/>
              </w:rPr>
              <w:t>89 (81 flood, 8 storm)</w:t>
            </w:r>
          </w:p>
        </w:tc>
        <w:tc>
          <w:tcPr>
            <w:tcW w:type="dxa" w:w="3120"/>
            <w:shd w:val="clear" w:color="auto" w:fill="D9E2F3"/>
          </w:tcPr>
          <w:p>
            <w:pPr>
              <w:jc w:val="center"/>
            </w:pPr>
            <w:r>
              <w:rPr>
                <w:rFonts w:ascii="Times New Roman" w:hAnsi="Times New Roman"/>
                <w:sz w:val="20"/>
              </w:rPr>
              <w:t>579 (414 storm, 165 flood)</w:t>
            </w:r>
          </w:p>
        </w:tc>
      </w:tr>
      <w:tr>
        <w:tc>
          <w:tcPr>
            <w:tcW w:type="dxa" w:w="3120"/>
            <w:shd w:val="clear" w:color="auto" w:fill="FFFFFF"/>
          </w:tcPr>
          <w:p>
            <w:pPr>
              <w:jc w:val="center"/>
            </w:pPr>
            <w:r>
              <w:rPr>
                <w:rFonts w:ascii="Times New Roman" w:hAnsi="Times New Roman"/>
                <w:sz w:val="20"/>
              </w:rPr>
              <w:t>Mean annual insured EAL</w:t>
            </w:r>
          </w:p>
        </w:tc>
        <w:tc>
          <w:tcPr>
            <w:tcW w:type="dxa" w:w="3120"/>
            <w:shd w:val="clear" w:color="auto" w:fill="FFFFFF"/>
          </w:tcPr>
          <w:p>
            <w:pPr>
              <w:jc w:val="center"/>
            </w:pPr>
            <w:r>
              <w:rPr>
                <w:rFonts w:ascii="Times New Roman" w:hAnsi="Times New Roman"/>
                <w:sz w:val="20"/>
              </w:rPr>
              <w:t>USD 110.8M</w:t>
            </w:r>
          </w:p>
        </w:tc>
        <w:tc>
          <w:tcPr>
            <w:tcW w:type="dxa" w:w="3120"/>
            <w:shd w:val="clear" w:color="auto" w:fill="FFFFFF"/>
          </w:tcPr>
          <w:p>
            <w:pPr>
              <w:jc w:val="center"/>
            </w:pPr>
            <w:r>
              <w:rPr>
                <w:rFonts w:ascii="Times New Roman" w:hAnsi="Times New Roman"/>
                <w:sz w:val="20"/>
              </w:rPr>
              <w:t>USD 926.5M</w:t>
            </w:r>
          </w:p>
        </w:tc>
      </w:tr>
      <w:tr>
        <w:tc>
          <w:tcPr>
            <w:tcW w:type="dxa" w:w="3120"/>
            <w:shd w:val="clear" w:color="auto" w:fill="D9E2F3"/>
          </w:tcPr>
          <w:p>
            <w:pPr>
              <w:jc w:val="center"/>
            </w:pPr>
            <w:r>
              <w:rPr>
                <w:rFonts w:ascii="Times New Roman" w:hAnsi="Times New Roman"/>
                <w:sz w:val="20"/>
              </w:rPr>
              <w:t>Insurance penetration</w:t>
            </w:r>
          </w:p>
        </w:tc>
        <w:tc>
          <w:tcPr>
            <w:tcW w:type="dxa" w:w="3120"/>
            <w:shd w:val="clear" w:color="auto" w:fill="D9E2F3"/>
          </w:tcPr>
          <w:p>
            <w:pPr>
              <w:jc w:val="center"/>
            </w:pPr>
            <w:r>
              <w:rPr>
                <w:rFonts w:ascii="Times New Roman" w:hAnsi="Times New Roman"/>
                <w:sz w:val="20"/>
              </w:rPr>
              <w:t>~15% of economic loss</w:t>
            </w:r>
          </w:p>
        </w:tc>
        <w:tc>
          <w:tcPr>
            <w:tcW w:type="dxa" w:w="3120"/>
            <w:shd w:val="clear" w:color="auto" w:fill="D9E2F3"/>
          </w:tcPr>
          <w:p>
            <w:pPr>
              <w:jc w:val="center"/>
            </w:pPr>
            <w:r>
              <w:rPr>
                <w:rFonts w:ascii="Times New Roman" w:hAnsi="Times New Roman"/>
                <w:sz w:val="20"/>
              </w:rPr>
              <w:t>~8% of economic loss</w:t>
            </w:r>
          </w:p>
        </w:tc>
      </w:tr>
      <w:tr>
        <w:tc>
          <w:tcPr>
            <w:tcW w:type="dxa" w:w="3120"/>
            <w:shd w:val="clear" w:color="auto" w:fill="FFFFFF"/>
          </w:tcPr>
          <w:p>
            <w:pPr>
              <w:jc w:val="center"/>
            </w:pPr>
            <w:r>
              <w:rPr>
                <w:rFonts w:ascii="Times New Roman" w:hAnsi="Times New Roman"/>
                <w:sz w:val="20"/>
              </w:rPr>
              <w:t>Annual penetration gap</w:t>
            </w:r>
          </w:p>
        </w:tc>
        <w:tc>
          <w:tcPr>
            <w:tcW w:type="dxa" w:w="3120"/>
            <w:shd w:val="clear" w:color="auto" w:fill="FFFFFF"/>
          </w:tcPr>
          <w:p>
            <w:pPr>
              <w:jc w:val="center"/>
            </w:pPr>
            <w:r>
              <w:rPr>
                <w:rFonts w:ascii="Times New Roman" w:hAnsi="Times New Roman"/>
                <w:sz w:val="20"/>
              </w:rPr>
              <w:t>USD 6.5M</w:t>
            </w:r>
          </w:p>
        </w:tc>
        <w:tc>
          <w:tcPr>
            <w:tcW w:type="dxa" w:w="3120"/>
            <w:shd w:val="clear" w:color="auto" w:fill="FFFFFF"/>
          </w:tcPr>
          <w:p>
            <w:pPr>
              <w:jc w:val="center"/>
            </w:pPr>
            <w:r>
              <w:rPr>
                <w:rFonts w:ascii="Times New Roman" w:hAnsi="Times New Roman"/>
                <w:sz w:val="20"/>
              </w:rPr>
              <w:t>USD 11.9M</w:t>
            </w:r>
          </w:p>
        </w:tc>
      </w:tr>
      <w:tr>
        <w:tc>
          <w:tcPr>
            <w:tcW w:type="dxa" w:w="3120"/>
            <w:shd w:val="clear" w:color="auto" w:fill="D9E2F3"/>
          </w:tcPr>
          <w:p>
            <w:pPr>
              <w:jc w:val="center"/>
            </w:pPr>
            <w:r>
              <w:rPr>
                <w:rFonts w:ascii="Times New Roman" w:hAnsi="Times New Roman"/>
                <w:sz w:val="20"/>
              </w:rPr>
              <w:t>Primary peril season</w:t>
            </w:r>
          </w:p>
        </w:tc>
        <w:tc>
          <w:tcPr>
            <w:tcW w:type="dxa" w:w="3120"/>
            <w:shd w:val="clear" w:color="auto" w:fill="D9E2F3"/>
          </w:tcPr>
          <w:p>
            <w:pPr>
              <w:jc w:val="center"/>
            </w:pPr>
            <w:r>
              <w:rPr>
                <w:rFonts w:ascii="Times New Roman" w:hAnsi="Times New Roman"/>
                <w:sz w:val="20"/>
              </w:rPr>
              <w:t>Monsoon floods (Oct–Jan)</w:t>
            </w:r>
          </w:p>
        </w:tc>
        <w:tc>
          <w:tcPr>
            <w:tcW w:type="dxa" w:w="3120"/>
            <w:shd w:val="clear" w:color="auto" w:fill="D9E2F3"/>
          </w:tcPr>
          <w:p>
            <w:pPr>
              <w:jc w:val="center"/>
            </w:pPr>
            <w:r>
              <w:rPr>
                <w:rFonts w:ascii="Times New Roman" w:hAnsi="Times New Roman"/>
                <w:sz w:val="20"/>
              </w:rPr>
              <w:t>Typhoons (Jun–Dec)</w:t>
            </w:r>
          </w:p>
        </w:tc>
      </w:tr>
      <w:tr>
        <w:tc>
          <w:tcPr>
            <w:tcW w:type="dxa" w:w="3120"/>
            <w:shd w:val="clear" w:color="auto" w:fill="FFFFFF"/>
          </w:tcPr>
          <w:p>
            <w:pPr>
              <w:jc w:val="center"/>
            </w:pPr>
            <w:r>
              <w:rPr>
                <w:rFonts w:ascii="Times New Roman" w:hAnsi="Times New Roman"/>
                <w:sz w:val="20"/>
              </w:rPr>
              <w:t>LULUCF regulatory status</w:t>
            </w:r>
          </w:p>
        </w:tc>
        <w:tc>
          <w:tcPr>
            <w:tcW w:type="dxa" w:w="3120"/>
            <w:shd w:val="clear" w:color="auto" w:fill="FFFFFF"/>
          </w:tcPr>
          <w:p>
            <w:pPr>
              <w:jc w:val="center"/>
            </w:pPr>
            <w:r>
              <w:rPr>
                <w:rFonts w:ascii="Times New Roman" w:hAnsi="Times New Roman"/>
                <w:sz w:val="20"/>
              </w:rPr>
              <w:t>Net EMITTER +63.3 MtCO₂e</w:t>
            </w:r>
          </w:p>
        </w:tc>
        <w:tc>
          <w:tcPr>
            <w:tcW w:type="dxa" w:w="3120"/>
            <w:shd w:val="clear" w:color="auto" w:fill="FFFFFF"/>
          </w:tcPr>
          <w:p>
            <w:pPr>
              <w:jc w:val="center"/>
            </w:pPr>
            <w:r>
              <w:rPr>
                <w:rFonts w:ascii="Times New Roman" w:hAnsi="Times New Roman"/>
                <w:sz w:val="20"/>
              </w:rPr>
              <w:t>Net SINK -26.9 MtCO₂e</w:t>
            </w:r>
          </w:p>
        </w:tc>
      </w:tr>
      <w:tr>
        <w:tc>
          <w:tcPr>
            <w:tcW w:type="dxa" w:w="3120"/>
            <w:shd w:val="clear" w:color="auto" w:fill="D9E2F3"/>
          </w:tcPr>
          <w:p>
            <w:pPr>
              <w:jc w:val="center"/>
            </w:pPr>
            <w:r>
              <w:rPr>
                <w:rFonts w:ascii="Times New Roman" w:hAnsi="Times New Roman"/>
                <w:sz w:val="20"/>
              </w:rPr>
              <w:t>Carbon regulatory driver</w:t>
            </w:r>
          </w:p>
        </w:tc>
        <w:tc>
          <w:tcPr>
            <w:tcW w:type="dxa" w:w="3120"/>
            <w:shd w:val="clear" w:color="auto" w:fill="D9E2F3"/>
          </w:tcPr>
          <w:p>
            <w:pPr>
              <w:jc w:val="center"/>
            </w:pPr>
            <w:r>
              <w:rPr>
                <w:rFonts w:ascii="Times New Roman" w:hAnsi="Times New Roman"/>
                <w:sz w:val="20"/>
              </w:rPr>
              <w:t>BNM CCPT C3/C4</w:t>
            </w:r>
          </w:p>
        </w:tc>
        <w:tc>
          <w:tcPr>
            <w:tcW w:type="dxa" w:w="3120"/>
            <w:shd w:val="clear" w:color="auto" w:fill="D9E2F3"/>
          </w:tcPr>
          <w:p>
            <w:pPr>
              <w:jc w:val="center"/>
            </w:pPr>
            <w:r>
              <w:rPr>
                <w:rFonts w:ascii="Times New Roman" w:hAnsi="Times New Roman"/>
                <w:sz w:val="20"/>
              </w:rPr>
              <w:t>BSP Circular 1085</w:t>
            </w:r>
          </w:p>
        </w:tc>
      </w:tr>
    </w:tbl>
    <w:p>
      <w:pPr>
        <w:spacing w:before="0" w:after="120"/>
        <w:jc w:val="both"/>
      </w:pPr>
    </w:p>
    <w:p>
      <w:r>
        <w:br w:type="page"/>
      </w:r>
    </w:p>
    <w:p>
      <w:pPr>
        <w:spacing w:before="240" w:after="120"/>
        <w:jc w:val="left"/>
      </w:pPr>
      <w:r>
        <w:rPr>
          <w:rFonts w:ascii="Times New Roman" w:hAnsi="Times New Roman" w:cs="Times New Roman"/>
          <w:rFonts w:ascii="Times New Roman" w:hAnsi="Times New Roman"/>
          <w:b/>
          <w:i w:val="0"/>
          <w:color w:val="1F497D"/>
          <w:sz w:val="28"/>
        </w:rPr>
        <w:t>6. Transition Risk – NGFS GCAM 6.0 Assessment</w:t>
      </w:r>
    </w:p>
    <w:p>
      <w:pPr>
        <w:spacing w:before="0" w:after="120"/>
        <w:jc w:val="both"/>
      </w:pPr>
      <w:r>
        <w:rPr>
          <w:rFonts w:ascii="Times New Roman" w:hAnsi="Times New Roman" w:cs="Times New Roman"/>
          <w:rFonts w:ascii="Times New Roman" w:hAnsi="Times New Roman"/>
          <w:b w:val="0"/>
          <w:i w:val="0"/>
          <w:sz w:val="24"/>
        </w:rPr>
        <w:t>Transition cost = NGFS GCAM 6.0 NZ2050 vs Current Policies gap: USD 55.578/t (2024) × Climate Watch 2023 sector GHG. Critical asymmetry: MYS = net LULUCF emitter (+63.3 MtCO₂e, Sabah/Sarawak palm oil), subject to EUDR Art. 8 + BNM CCPT Pillar 2. PHL = net sink (-26.9 MtCO₂e via REDD+), earning Art. 6.2 ITMO credits offsetting ~18% of burden. A uniform SEA LULUCF factor overstates PHL ~18% and understates MYS.</w:t>
      </w:r>
    </w:p>
    <w:p>
      <w:pPr>
        <w:spacing w:before="0" w:after="120"/>
        <w:jc w:val="both"/>
      </w:pPr>
      <w:r>
        <w:rPr>
          <w:rFonts w:ascii="Times New Roman" w:hAnsi="Times New Roman" w:cs="Times New Roman"/>
          <w:rFonts w:ascii="Times New Roman" w:hAnsi="Times New Roman"/>
          <w:b w:val="0"/>
          <w:i w:val="0"/>
          <w:sz w:val="24"/>
        </w:rPr>
        <w:t>PHL agriculture (rice paddy methane, 65.85 MtCO₂e — 6× MYS) follows methane credit schemes vs MYS land-use rules, embedded in R2’s country-specific structure.</w:t>
      </w:r>
    </w:p>
    <w:p>
      <w:pPr>
        <w:spacing w:before="240" w:after="120"/>
        <w:jc w:val="left"/>
      </w:pPr>
      <w:r>
        <w:rPr>
          <w:rFonts w:ascii="Times New Roman" w:hAnsi="Times New Roman" w:cs="Times New Roman"/>
          <w:rFonts w:ascii="Times New Roman" w:hAnsi="Times New Roman"/>
          <w:b/>
          <w:i w:val="0"/>
          <w:color w:val="1F497D"/>
          <w:sz w:val="24"/>
        </w:rPr>
        <w:t>6.1 MYS Sector Decomposition &amp; Country Comparison</w:t>
      </w:r>
    </w:p>
    <w:p>
      <w:pPr>
        <w:jc w:val="center"/>
      </w:pPr>
      <w:r>
        <w:drawing>
          <wp:inline xmlns:a="http://schemas.openxmlformats.org/drawingml/2006/main" xmlns:pic="http://schemas.openxmlformats.org/drawingml/2006/picture">
            <wp:extent cx="5852160" cy="2377352"/>
            <wp:docPr id="10" name="Picture 10"/>
            <wp:cNvGraphicFramePr>
              <a:graphicFrameLocks noChangeAspect="1"/>
            </wp:cNvGraphicFramePr>
            <a:graphic>
              <a:graphicData uri="http://schemas.openxmlformats.org/drawingml/2006/picture">
                <pic:pic>
                  <pic:nvPicPr>
                    <pic:cNvPr id="0" name="r4_exhibit2a_mys_sectors.png"/>
                    <pic:cNvPicPr/>
                  </pic:nvPicPr>
                  <pic:blipFill>
                    <a:blip r:embed="rId18"/>
                    <a:stretch>
                      <a:fillRect/>
                    </a:stretch>
                  </pic:blipFill>
                  <pic:spPr>
                    <a:xfrm>
                      <a:off x="0" y="0"/>
                      <a:ext cx="5852160" cy="2377352"/>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6a – MYS sector decomposition at NGFS NZ2050 USD 55.578/t.</w:t>
      </w:r>
    </w:p>
    <w:p>
      <w:pPr>
        <w:jc w:val="center"/>
      </w:pPr>
      <w:r>
        <w:drawing>
          <wp:inline xmlns:a="http://schemas.openxmlformats.org/drawingml/2006/main" xmlns:pic="http://schemas.openxmlformats.org/drawingml/2006/picture">
            <wp:extent cx="5852160" cy="2417880"/>
            <wp:docPr id="11" name="Picture 11"/>
            <wp:cNvGraphicFramePr>
              <a:graphicFrameLocks noChangeAspect="1"/>
            </wp:cNvGraphicFramePr>
            <a:graphic>
              <a:graphicData uri="http://schemas.openxmlformats.org/drawingml/2006/picture">
                <pic:pic>
                  <pic:nvPicPr>
                    <pic:cNvPr id="0" name="r4_exhibit2b_mys_vs_phl.png"/>
                    <pic:cNvPicPr/>
                  </pic:nvPicPr>
                  <pic:blipFill>
                    <a:blip r:embed="rId19"/>
                    <a:stretch>
                      <a:fillRect/>
                    </a:stretch>
                  </pic:blipFill>
                  <pic:spPr>
                    <a:xfrm>
                      <a:off x="0" y="0"/>
                      <a:ext cx="5852160" cy="2417880"/>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6b – Country comparison: MYS incl. LULUCF emitter vs PHL excl. LULUCF sink.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W w:w="2592" w:type="dxa"/>
          </w:tcPr>
          <w:p>
            <w:pPr>
              <w:jc w:val="center"/>
            </w:pPr>
            <w:r>
              <w:rPr>
                <w:rFonts w:ascii="Times New Roman" w:hAnsi="Times New Roman"/>
                <w:b/>
                <w:color w:val="FFFFFF"/>
                <w:sz w:val="20"/>
              </w:rPr>
              <w:t>Sector</w:t>
            </w:r>
          </w:p>
        </w:tc>
        <w:tc>
          <w:tcPr>
            <w:tcW w:type="dxa" w:w="1872"/>
            <w:shd w:val="clear" w:color="auto" w:fill="1F497D"/>
            <w:tcW w:w="1872" w:type="dxa"/>
          </w:tcPr>
          <w:p>
            <w:pPr>
              <w:jc w:val="center"/>
            </w:pPr>
            <w:r>
              <w:rPr>
                <w:rFonts w:ascii="Times New Roman" w:hAnsi="Times New Roman"/>
                <w:b/>
                <w:color w:val="FFFFFF"/>
                <w:sz w:val="20"/>
              </w:rPr>
              <w:t>MYS GHG (MtCO₂e)</w:t>
            </w:r>
          </w:p>
        </w:tc>
        <w:tc>
          <w:tcPr>
            <w:tcW w:type="dxa" w:w="1872"/>
            <w:shd w:val="clear" w:color="auto" w:fill="1F497D"/>
            <w:tcW w:w="1872" w:type="dxa"/>
          </w:tcPr>
          <w:p>
            <w:pPr>
              <w:jc w:val="center"/>
            </w:pPr>
            <w:r>
              <w:rPr>
                <w:rFonts w:ascii="Times New Roman" w:hAnsi="Times New Roman"/>
                <w:b/>
                <w:color w:val="FFFFFF"/>
                <w:sz w:val="20"/>
              </w:rPr>
              <w:t>MYS Cost (USD M)</w:t>
            </w:r>
          </w:p>
        </w:tc>
        <w:tc>
          <w:tcPr>
            <w:tcW w:type="dxa" w:w="1872"/>
            <w:shd w:val="clear" w:color="auto" w:fill="1F497D"/>
            <w:tcW w:w="1152" w:type="dxa"/>
          </w:tcPr>
          <w:p>
            <w:pPr>
              <w:jc w:val="center"/>
            </w:pPr>
            <w:r>
              <w:rPr>
                <w:rFonts w:ascii="Times New Roman" w:hAnsi="Times New Roman"/>
                <w:b/>
                <w:color w:val="FFFFFF"/>
                <w:sz w:val="20"/>
              </w:rPr>
              <w:t>% Total</w:t>
            </w:r>
          </w:p>
        </w:tc>
        <w:tc>
          <w:tcPr>
            <w:tcW w:type="dxa" w:w="1872"/>
            <w:shd w:val="clear" w:color="auto" w:fill="1F497D"/>
            <w:tcW w:w="2304" w:type="dxa"/>
          </w:tcPr>
          <w:p>
            <w:pPr>
              <w:jc w:val="center"/>
            </w:pPr>
            <w:r>
              <w:rPr>
                <w:rFonts w:ascii="Times New Roman" w:hAnsi="Times New Roman"/>
                <w:b/>
                <w:color w:val="FFFFFF"/>
                <w:sz w:val="20"/>
              </w:rPr>
              <w:t>PHL Cost (USD M)</w:t>
            </w:r>
          </w:p>
        </w:tc>
      </w:tr>
      <w:tr>
        <w:tc>
          <w:tcPr>
            <w:tcW w:type="dxa" w:w="1872"/>
            <w:shd w:val="clear" w:color="auto" w:fill="D9E2F3"/>
          </w:tcPr>
          <w:p>
            <w:pPr>
              <w:jc w:val="center"/>
            </w:pPr>
            <w:r>
              <w:rPr>
                <w:rFonts w:ascii="Times New Roman" w:hAnsi="Times New Roman"/>
                <w:sz w:val="20"/>
              </w:rPr>
              <w:t>Energy</w:t>
            </w:r>
          </w:p>
        </w:tc>
        <w:tc>
          <w:tcPr>
            <w:tcW w:type="dxa" w:w="1872"/>
            <w:shd w:val="clear" w:color="auto" w:fill="D9E2F3"/>
          </w:tcPr>
          <w:p>
            <w:pPr>
              <w:jc w:val="center"/>
            </w:pPr>
            <w:r>
              <w:rPr>
                <w:rFonts w:ascii="Times New Roman" w:hAnsi="Times New Roman"/>
                <w:sz w:val="20"/>
              </w:rPr>
              <w:t>279.85</w:t>
            </w:r>
          </w:p>
        </w:tc>
        <w:tc>
          <w:tcPr>
            <w:tcW w:type="dxa" w:w="1872"/>
            <w:shd w:val="clear" w:color="auto" w:fill="D9E2F3"/>
          </w:tcPr>
          <w:p>
            <w:pPr>
              <w:jc w:val="center"/>
            </w:pPr>
            <w:r>
              <w:rPr>
                <w:rFonts w:ascii="Times New Roman" w:hAnsi="Times New Roman"/>
                <w:sz w:val="20"/>
              </w:rPr>
              <w:t>15,554</w:t>
            </w:r>
          </w:p>
        </w:tc>
        <w:tc>
          <w:tcPr>
            <w:tcW w:type="dxa" w:w="1872"/>
            <w:shd w:val="clear" w:color="auto" w:fill="D9E2F3"/>
          </w:tcPr>
          <w:p>
            <w:pPr>
              <w:jc w:val="center"/>
            </w:pPr>
            <w:r>
              <w:rPr>
                <w:rFonts w:ascii="Times New Roman" w:hAnsi="Times New Roman"/>
                <w:sz w:val="20"/>
              </w:rPr>
              <w:t>69.5%</w:t>
            </w:r>
          </w:p>
        </w:tc>
        <w:tc>
          <w:tcPr>
            <w:tcW w:type="dxa" w:w="1872"/>
            <w:shd w:val="clear" w:color="auto" w:fill="D9E2F3"/>
          </w:tcPr>
          <w:p>
            <w:pPr>
              <w:jc w:val="center"/>
            </w:pPr>
            <w:r>
              <w:rPr>
                <w:rFonts w:ascii="Times New Roman" w:hAnsi="Times New Roman"/>
                <w:sz w:val="20"/>
              </w:rPr>
              <w:t>8,935</w:t>
            </w:r>
          </w:p>
        </w:tc>
      </w:tr>
      <w:tr>
        <w:tc>
          <w:tcPr>
            <w:tcW w:type="dxa" w:w="1872"/>
            <w:shd w:val="clear" w:color="auto" w:fill="FFFFFF"/>
          </w:tcPr>
          <w:p>
            <w:pPr>
              <w:jc w:val="center"/>
            </w:pPr>
            <w:r>
              <w:rPr>
                <w:rFonts w:ascii="Times New Roman" w:hAnsi="Times New Roman"/>
                <w:sz w:val="20"/>
              </w:rPr>
              <w:t>LULUCF (MYS emitter only)</w:t>
            </w:r>
          </w:p>
        </w:tc>
        <w:tc>
          <w:tcPr>
            <w:tcW w:type="dxa" w:w="1872"/>
            <w:shd w:val="clear" w:color="auto" w:fill="FFFFFF"/>
          </w:tcPr>
          <w:p>
            <w:pPr>
              <w:jc w:val="center"/>
            </w:pPr>
            <w:r>
              <w:rPr>
                <w:rFonts w:ascii="Times New Roman" w:hAnsi="Times New Roman"/>
                <w:sz w:val="20"/>
              </w:rPr>
              <w:t>63.29</w:t>
            </w:r>
          </w:p>
        </w:tc>
        <w:tc>
          <w:tcPr>
            <w:tcW w:type="dxa" w:w="1872"/>
            <w:shd w:val="clear" w:color="auto" w:fill="FFFFFF"/>
          </w:tcPr>
          <w:p>
            <w:pPr>
              <w:jc w:val="center"/>
            </w:pPr>
            <w:r>
              <w:rPr>
                <w:rFonts w:ascii="Times New Roman" w:hAnsi="Times New Roman"/>
                <w:sz w:val="20"/>
              </w:rPr>
              <w:t>3,518</w:t>
            </w:r>
          </w:p>
        </w:tc>
        <w:tc>
          <w:tcPr>
            <w:tcW w:type="dxa" w:w="1872"/>
            <w:shd w:val="clear" w:color="auto" w:fill="FFFFFF"/>
          </w:tcPr>
          <w:p>
            <w:pPr>
              <w:jc w:val="center"/>
            </w:pPr>
            <w:r>
              <w:rPr>
                <w:rFonts w:ascii="Times New Roman" w:hAnsi="Times New Roman"/>
                <w:sz w:val="20"/>
              </w:rPr>
              <w:t>15.7%</w:t>
            </w:r>
          </w:p>
        </w:tc>
        <w:tc>
          <w:tcPr>
            <w:tcW w:type="dxa" w:w="1872"/>
            <w:shd w:val="clear" w:color="auto" w:fill="FFFFFF"/>
          </w:tcPr>
          <w:p>
            <w:pPr>
              <w:jc w:val="center"/>
            </w:pPr>
            <w:r>
              <w:rPr>
                <w:rFonts w:ascii="Times New Roman" w:hAnsi="Times New Roman"/>
                <w:sz w:val="20"/>
              </w:rPr>
              <w:t>N/A – net sink</w:t>
            </w:r>
          </w:p>
        </w:tc>
      </w:tr>
      <w:tr>
        <w:tc>
          <w:tcPr>
            <w:tcW w:type="dxa" w:w="1872"/>
            <w:shd w:val="clear" w:color="auto" w:fill="D9E2F3"/>
          </w:tcPr>
          <w:p>
            <w:pPr>
              <w:jc w:val="center"/>
            </w:pPr>
            <w:r>
              <w:rPr>
                <w:rFonts w:ascii="Times New Roman" w:hAnsi="Times New Roman"/>
                <w:sz w:val="20"/>
              </w:rPr>
              <w:t>Industrial Processes</w:t>
            </w:r>
          </w:p>
        </w:tc>
        <w:tc>
          <w:tcPr>
            <w:tcW w:type="dxa" w:w="1872"/>
            <w:shd w:val="clear" w:color="auto" w:fill="D9E2F3"/>
          </w:tcPr>
          <w:p>
            <w:pPr>
              <w:jc w:val="center"/>
            </w:pPr>
            <w:r>
              <w:rPr>
                <w:rFonts w:ascii="Times New Roman" w:hAnsi="Times New Roman"/>
                <w:sz w:val="20"/>
              </w:rPr>
              <w:t>29.87</w:t>
            </w:r>
          </w:p>
        </w:tc>
        <w:tc>
          <w:tcPr>
            <w:tcW w:type="dxa" w:w="1872"/>
            <w:shd w:val="clear" w:color="auto" w:fill="D9E2F3"/>
          </w:tcPr>
          <w:p>
            <w:pPr>
              <w:jc w:val="center"/>
            </w:pPr>
            <w:r>
              <w:rPr>
                <w:rFonts w:ascii="Times New Roman" w:hAnsi="Times New Roman"/>
                <w:sz w:val="20"/>
              </w:rPr>
              <w:t>1,660</w:t>
            </w:r>
          </w:p>
        </w:tc>
        <w:tc>
          <w:tcPr>
            <w:tcW w:type="dxa" w:w="1872"/>
            <w:shd w:val="clear" w:color="auto" w:fill="D9E2F3"/>
          </w:tcPr>
          <w:p>
            <w:pPr>
              <w:jc w:val="center"/>
            </w:pPr>
            <w:r>
              <w:rPr>
                <w:rFonts w:ascii="Times New Roman" w:hAnsi="Times New Roman"/>
                <w:sz w:val="20"/>
              </w:rPr>
              <w:t>7.4%</w:t>
            </w:r>
          </w:p>
        </w:tc>
        <w:tc>
          <w:tcPr>
            <w:tcW w:type="dxa" w:w="1872"/>
            <w:shd w:val="clear" w:color="auto" w:fill="D9E2F3"/>
          </w:tcPr>
          <w:p>
            <w:pPr>
              <w:jc w:val="center"/>
            </w:pPr>
            <w:r>
              <w:rPr>
                <w:rFonts w:ascii="Times New Roman" w:hAnsi="Times New Roman"/>
                <w:sz w:val="20"/>
              </w:rPr>
              <w:t>931</w:t>
            </w:r>
          </w:p>
        </w:tc>
      </w:tr>
      <w:tr>
        <w:tc>
          <w:tcPr>
            <w:tcW w:type="dxa" w:w="1872"/>
            <w:shd w:val="clear" w:color="auto" w:fill="FFFFFF"/>
          </w:tcPr>
          <w:p>
            <w:pPr>
              <w:jc w:val="center"/>
            </w:pPr>
            <w:r>
              <w:rPr>
                <w:rFonts w:ascii="Times New Roman" w:hAnsi="Times New Roman"/>
                <w:sz w:val="20"/>
              </w:rPr>
              <w:t>Waste</w:t>
            </w:r>
          </w:p>
        </w:tc>
        <w:tc>
          <w:tcPr>
            <w:tcW w:type="dxa" w:w="1872"/>
            <w:shd w:val="clear" w:color="auto" w:fill="FFFFFF"/>
          </w:tcPr>
          <w:p>
            <w:pPr>
              <w:jc w:val="center"/>
            </w:pPr>
            <w:r>
              <w:rPr>
                <w:rFonts w:ascii="Times New Roman" w:hAnsi="Times New Roman"/>
                <w:sz w:val="20"/>
              </w:rPr>
              <w:t>19.49</w:t>
            </w:r>
          </w:p>
        </w:tc>
        <w:tc>
          <w:tcPr>
            <w:tcW w:type="dxa" w:w="1872"/>
            <w:shd w:val="clear" w:color="auto" w:fill="FFFFFF"/>
          </w:tcPr>
          <w:p>
            <w:pPr>
              <w:jc w:val="center"/>
            </w:pPr>
            <w:r>
              <w:rPr>
                <w:rFonts w:ascii="Times New Roman" w:hAnsi="Times New Roman"/>
                <w:sz w:val="20"/>
              </w:rPr>
              <w:t>1,083</w:t>
            </w:r>
          </w:p>
        </w:tc>
        <w:tc>
          <w:tcPr>
            <w:tcW w:type="dxa" w:w="1872"/>
            <w:shd w:val="clear" w:color="auto" w:fill="FFFFFF"/>
          </w:tcPr>
          <w:p>
            <w:pPr>
              <w:jc w:val="center"/>
            </w:pPr>
            <w:r>
              <w:rPr>
                <w:rFonts w:ascii="Times New Roman" w:hAnsi="Times New Roman"/>
                <w:sz w:val="20"/>
              </w:rPr>
              <w:t>4.8%</w:t>
            </w:r>
          </w:p>
        </w:tc>
        <w:tc>
          <w:tcPr>
            <w:tcW w:type="dxa" w:w="1872"/>
            <w:shd w:val="clear" w:color="auto" w:fill="FFFFFF"/>
          </w:tcPr>
          <w:p>
            <w:pPr>
              <w:jc w:val="center"/>
            </w:pPr>
            <w:r>
              <w:rPr>
                <w:rFonts w:ascii="Times New Roman" w:hAnsi="Times New Roman"/>
                <w:sz w:val="20"/>
              </w:rPr>
              <w:t>1,276</w:t>
            </w:r>
          </w:p>
        </w:tc>
      </w:tr>
      <w:tr>
        <w:tc>
          <w:tcPr>
            <w:tcW w:type="dxa" w:w="1872"/>
            <w:shd w:val="clear" w:color="auto" w:fill="D9E2F3"/>
          </w:tcPr>
          <w:p>
            <w:pPr>
              <w:jc w:val="center"/>
            </w:pPr>
            <w:r>
              <w:rPr>
                <w:rFonts w:ascii="Times New Roman" w:hAnsi="Times New Roman"/>
                <w:sz w:val="20"/>
              </w:rPr>
              <w:t>Agriculture</w:t>
            </w:r>
          </w:p>
        </w:tc>
        <w:tc>
          <w:tcPr>
            <w:tcW w:type="dxa" w:w="1872"/>
            <w:shd w:val="clear" w:color="auto" w:fill="D9E2F3"/>
          </w:tcPr>
          <w:p>
            <w:pPr>
              <w:jc w:val="center"/>
            </w:pPr>
            <w:r>
              <w:rPr>
                <w:rFonts w:ascii="Times New Roman" w:hAnsi="Times New Roman"/>
                <w:sz w:val="20"/>
              </w:rPr>
              <w:t>10.11</w:t>
            </w:r>
          </w:p>
        </w:tc>
        <w:tc>
          <w:tcPr>
            <w:tcW w:type="dxa" w:w="1872"/>
            <w:shd w:val="clear" w:color="auto" w:fill="D9E2F3"/>
          </w:tcPr>
          <w:p>
            <w:pPr>
              <w:jc w:val="center"/>
            </w:pPr>
            <w:r>
              <w:rPr>
                <w:rFonts w:ascii="Times New Roman" w:hAnsi="Times New Roman"/>
                <w:sz w:val="20"/>
              </w:rPr>
              <w:t>562</w:t>
            </w:r>
          </w:p>
        </w:tc>
        <w:tc>
          <w:tcPr>
            <w:tcW w:type="dxa" w:w="1872"/>
            <w:shd w:val="clear" w:color="auto" w:fill="D9E2F3"/>
          </w:tcPr>
          <w:p>
            <w:pPr>
              <w:jc w:val="center"/>
            </w:pPr>
            <w:r>
              <w:rPr>
                <w:rFonts w:ascii="Times New Roman" w:hAnsi="Times New Roman"/>
                <w:sz w:val="20"/>
              </w:rPr>
              <w:t>2.5%</w:t>
            </w:r>
          </w:p>
        </w:tc>
        <w:tc>
          <w:tcPr>
            <w:tcW w:type="dxa" w:w="1872"/>
            <w:shd w:val="clear" w:color="auto" w:fill="D9E2F3"/>
          </w:tcPr>
          <w:p>
            <w:pPr>
              <w:jc w:val="center"/>
            </w:pPr>
            <w:r>
              <w:rPr>
                <w:rFonts w:ascii="Times New Roman" w:hAnsi="Times New Roman"/>
                <w:sz w:val="20"/>
              </w:rPr>
              <w:t>3,661 (rice methane)</w:t>
            </w:r>
          </w:p>
        </w:tc>
      </w:tr>
      <w:tr>
        <w:tc>
          <w:tcPr>
            <w:tcW w:type="dxa" w:w="1872"/>
            <w:shd w:val="clear" w:color="auto" w:fill="FFFFFF"/>
          </w:tcPr>
          <w:p>
            <w:pPr>
              <w:jc w:val="center"/>
            </w:pPr>
            <w:r>
              <w:rPr>
                <w:rFonts w:ascii="Times New Roman" w:hAnsi="Times New Roman"/>
                <w:sz w:val="20"/>
              </w:rPr>
              <w:t>TOTAL</w:t>
            </w:r>
          </w:p>
        </w:tc>
        <w:tc>
          <w:tcPr>
            <w:tcW w:type="dxa" w:w="1872"/>
            <w:shd w:val="clear" w:color="auto" w:fill="FFFFFF"/>
          </w:tcPr>
          <w:p>
            <w:pPr>
              <w:jc w:val="center"/>
            </w:pPr>
            <w:r>
              <w:rPr>
                <w:rFonts w:ascii="Times New Roman" w:hAnsi="Times New Roman"/>
                <w:sz w:val="20"/>
              </w:rPr>
              <w:t>402.61</w:t>
            </w:r>
          </w:p>
        </w:tc>
        <w:tc>
          <w:tcPr>
            <w:tcW w:type="dxa" w:w="1872"/>
            <w:shd w:val="clear" w:color="auto" w:fill="FFFFFF"/>
          </w:tcPr>
          <w:p>
            <w:pPr>
              <w:jc w:val="center"/>
            </w:pPr>
            <w:r>
              <w:rPr>
                <w:rFonts w:ascii="Times New Roman" w:hAnsi="Times New Roman"/>
                <w:sz w:val="20"/>
              </w:rPr>
              <w:t>22,376</w:t>
            </w:r>
          </w:p>
        </w:tc>
        <w:tc>
          <w:tcPr>
            <w:tcW w:type="dxa" w:w="1872"/>
            <w:shd w:val="clear" w:color="auto" w:fill="FFFFFF"/>
          </w:tcPr>
          <w:p>
            <w:pPr>
              <w:jc w:val="center"/>
            </w:pPr>
            <w:r>
              <w:rPr>
                <w:rFonts w:ascii="Times New Roman" w:hAnsi="Times New Roman"/>
                <w:sz w:val="20"/>
              </w:rPr>
              <w:t>100%</w:t>
            </w:r>
          </w:p>
        </w:tc>
        <w:tc>
          <w:tcPr>
            <w:tcW w:type="dxa" w:w="1872"/>
            <w:shd w:val="clear" w:color="auto" w:fill="FFFFFF"/>
          </w:tcPr>
          <w:p>
            <w:pPr>
              <w:jc w:val="center"/>
            </w:pPr>
            <w:r>
              <w:rPr>
                <w:rFonts w:ascii="Times New Roman" w:hAnsi="Times New Roman"/>
                <w:sz w:val="20"/>
              </w:rPr>
              <w:t>14,803</w:t>
            </w:r>
          </w:p>
        </w:tc>
      </w:tr>
    </w:tbl>
    <w:p>
      <w:pPr>
        <w:spacing w:before="0" w:after="160"/>
        <w:jc w:val="center"/>
      </w:pPr>
      <w:r>
        <w:rPr>
          <w:rFonts w:ascii="Times New Roman" w:hAnsi="Times New Roman" w:cs="Times New Roman"/>
          <w:rFonts w:ascii="Times New Roman" w:hAnsi="Times New Roman"/>
          <w:b w:val="0"/>
          <w:i/>
          <w:sz w:val="20"/>
        </w:rPr>
        <w:t>Table 6 – MYS sector GHG at NZ2050 (USD 55.578/t). Total MYS: USD 22.4bn/yr (5.5% GDP). PHL excl. LULUCF sink: USD 14.8bn/yr (3.3% GDP).</w:t>
      </w:r>
    </w:p>
    <w:p>
      <w:pPr>
        <w:spacing w:before="240" w:after="120"/>
        <w:jc w:val="left"/>
      </w:pPr>
      <w:r>
        <w:rPr>
          <w:rFonts w:ascii="Times New Roman" w:hAnsi="Times New Roman" w:cs="Times New Roman"/>
          <w:rFonts w:ascii="Times New Roman" w:hAnsi="Times New Roman"/>
          <w:b/>
          <w:i w:val="0"/>
          <w:color w:val="1F497D"/>
          <w:sz w:val="24"/>
        </w:rPr>
        <w:t>6.2 Pass-Through to SEA Treaty Pool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W w:w="2592" w:type="dxa"/>
          </w:tcPr>
          <w:p>
            <w:pPr>
              <w:jc w:val="center"/>
            </w:pPr>
            <w:r>
              <w:rPr>
                <w:rFonts w:ascii="Times New Roman" w:hAnsi="Times New Roman"/>
                <w:b/>
                <w:color w:val="FFFFFF"/>
                <w:sz w:val="20"/>
              </w:rPr>
              <w:t>Scenario</w:t>
            </w:r>
          </w:p>
        </w:tc>
        <w:tc>
          <w:tcPr>
            <w:tcW w:type="dxa" w:w="1560"/>
            <w:shd w:val="clear" w:color="auto" w:fill="1F497D"/>
            <w:tcW w:w="1728" w:type="dxa"/>
          </w:tcPr>
          <w:p>
            <w:pPr>
              <w:jc w:val="center"/>
            </w:pPr>
            <w:r>
              <w:rPr>
                <w:rFonts w:ascii="Times New Roman" w:hAnsi="Times New Roman"/>
                <w:b/>
                <w:color w:val="FFFFFF"/>
                <w:sz w:val="20"/>
              </w:rPr>
              <w:t>Carbon Price</w:t>
            </w:r>
          </w:p>
        </w:tc>
        <w:tc>
          <w:tcPr>
            <w:tcW w:type="dxa" w:w="1560"/>
            <w:shd w:val="clear" w:color="auto" w:fill="1F497D"/>
            <w:tcW w:w="1440" w:type="dxa"/>
          </w:tcPr>
          <w:p>
            <w:pPr>
              <w:jc w:val="center"/>
            </w:pPr>
            <w:r>
              <w:rPr>
                <w:rFonts w:ascii="Times New Roman" w:hAnsi="Times New Roman"/>
                <w:b/>
                <w:color w:val="FFFFFF"/>
                <w:sz w:val="20"/>
              </w:rPr>
              <w:t>GHG Basis</w:t>
            </w:r>
          </w:p>
        </w:tc>
        <w:tc>
          <w:tcPr>
            <w:tcW w:type="dxa" w:w="1560"/>
            <w:shd w:val="clear" w:color="auto" w:fill="1F497D"/>
            <w:tcW w:w="1296" w:type="dxa"/>
          </w:tcPr>
          <w:p>
            <w:pPr>
              <w:jc w:val="center"/>
            </w:pPr>
            <w:r>
              <w:rPr>
                <w:rFonts w:ascii="Times New Roman" w:hAnsi="Times New Roman"/>
                <w:b/>
                <w:color w:val="FFFFFF"/>
                <w:sz w:val="20"/>
              </w:rPr>
              <w:t>MYS Pool</w:t>
            </w:r>
          </w:p>
        </w:tc>
        <w:tc>
          <w:tcPr>
            <w:tcW w:type="dxa" w:w="1560"/>
            <w:shd w:val="clear" w:color="auto" w:fill="1F497D"/>
            <w:tcW w:w="1296" w:type="dxa"/>
          </w:tcPr>
          <w:p>
            <w:pPr>
              <w:jc w:val="center"/>
            </w:pPr>
            <w:r>
              <w:rPr>
                <w:rFonts w:ascii="Times New Roman" w:hAnsi="Times New Roman"/>
                <w:b/>
                <w:color w:val="FFFFFF"/>
                <w:sz w:val="20"/>
              </w:rPr>
              <w:t>PHL Pool</w:t>
            </w:r>
          </w:p>
        </w:tc>
        <w:tc>
          <w:tcPr>
            <w:tcW w:type="dxa" w:w="1560"/>
            <w:shd w:val="clear" w:color="auto" w:fill="1F497D"/>
            <w:tcW w:w="1296" w:type="dxa"/>
          </w:tcPr>
          <w:p>
            <w:pPr>
              <w:jc w:val="center"/>
            </w:pPr>
            <w:r>
              <w:rPr>
                <w:rFonts w:ascii="Times New Roman" w:hAnsi="Times New Roman"/>
                <w:b/>
                <w:color w:val="FFFFFF"/>
                <w:sz w:val="20"/>
              </w:rPr>
              <w:t>SEA Total</w:t>
            </w:r>
          </w:p>
        </w:tc>
      </w:tr>
      <w:tr>
        <w:tc>
          <w:tcPr>
            <w:tcW w:type="dxa" w:w="1560"/>
            <w:shd w:val="clear" w:color="auto" w:fill="D9E2F3"/>
          </w:tcPr>
          <w:p>
            <w:pPr>
              <w:jc w:val="center"/>
            </w:pPr>
            <w:r>
              <w:rPr>
                <w:rFonts w:ascii="Times New Roman" w:hAnsi="Times New Roman"/>
                <w:sz w:val="20"/>
              </w:rPr>
              <w:t>Current Policies</w:t>
            </w:r>
          </w:p>
        </w:tc>
        <w:tc>
          <w:tcPr>
            <w:tcW w:type="dxa" w:w="1560"/>
            <w:shd w:val="clear" w:color="auto" w:fill="D9E2F3"/>
          </w:tcPr>
          <w:p>
            <w:pPr>
              <w:jc w:val="center"/>
            </w:pPr>
            <w:r>
              <w:rPr>
                <w:rFonts w:ascii="Times New Roman" w:hAnsi="Times New Roman"/>
                <w:sz w:val="20"/>
              </w:rPr>
              <w:t>USD 0/t</w:t>
            </w:r>
          </w:p>
        </w:tc>
        <w:tc>
          <w:tcPr>
            <w:tcW w:type="dxa" w:w="1560"/>
            <w:shd w:val="clear" w:color="auto" w:fill="D9E2F3"/>
          </w:tcPr>
          <w:p>
            <w:pPr>
              <w:jc w:val="center"/>
            </w:pPr>
            <w:r>
              <w:rPr>
                <w:rFonts w:ascii="Times New Roman" w:hAnsi="Times New Roman"/>
                <w:sz w:val="20"/>
              </w:rPr>
              <w:t>—</w:t>
            </w:r>
          </w:p>
        </w:tc>
        <w:tc>
          <w:tcPr>
            <w:tcW w:type="dxa" w:w="1560"/>
            <w:shd w:val="clear" w:color="auto" w:fill="D9E2F3"/>
          </w:tcPr>
          <w:p>
            <w:pPr>
              <w:jc w:val="center"/>
            </w:pPr>
            <w:r>
              <w:rPr>
                <w:rFonts w:ascii="Times New Roman" w:hAnsi="Times New Roman"/>
                <w:sz w:val="20"/>
              </w:rPr>
              <w:t>USD 0</w:t>
            </w:r>
          </w:p>
        </w:tc>
        <w:tc>
          <w:tcPr>
            <w:tcW w:type="dxa" w:w="1560"/>
            <w:shd w:val="clear" w:color="auto" w:fill="D9E2F3"/>
          </w:tcPr>
          <w:p>
            <w:pPr>
              <w:jc w:val="center"/>
            </w:pPr>
            <w:r>
              <w:rPr>
                <w:rFonts w:ascii="Times New Roman" w:hAnsi="Times New Roman"/>
                <w:sz w:val="20"/>
              </w:rPr>
              <w:t>USD 0</w:t>
            </w:r>
          </w:p>
        </w:tc>
        <w:tc>
          <w:tcPr>
            <w:tcW w:type="dxa" w:w="1560"/>
            <w:shd w:val="clear" w:color="auto" w:fill="D9E2F3"/>
          </w:tcPr>
          <w:p>
            <w:pPr>
              <w:jc w:val="center"/>
            </w:pPr>
            <w:r>
              <w:rPr>
                <w:rFonts w:ascii="Times New Roman" w:hAnsi="Times New Roman"/>
                <w:sz w:val="20"/>
              </w:rPr>
              <w:t>USD 0</w:t>
            </w:r>
          </w:p>
        </w:tc>
      </w:tr>
      <w:tr>
        <w:tc>
          <w:tcPr>
            <w:tcW w:type="dxa" w:w="1560"/>
            <w:shd w:val="clear" w:color="auto" w:fill="FFFFFF"/>
          </w:tcPr>
          <w:p>
            <w:pPr>
              <w:jc w:val="center"/>
            </w:pPr>
            <w:r>
              <w:rPr>
                <w:rFonts w:ascii="Times New Roman" w:hAnsi="Times New Roman"/>
                <w:sz w:val="20"/>
              </w:rPr>
              <w:t>NGFS NZ2050 baseline</w:t>
            </w:r>
          </w:p>
        </w:tc>
        <w:tc>
          <w:tcPr>
            <w:tcW w:type="dxa" w:w="1560"/>
            <w:shd w:val="clear" w:color="auto" w:fill="FFFFFF"/>
          </w:tcPr>
          <w:p>
            <w:pPr>
              <w:jc w:val="center"/>
            </w:pPr>
            <w:r>
              <w:rPr>
                <w:rFonts w:ascii="Times New Roman" w:hAnsi="Times New Roman"/>
                <w:sz w:val="20"/>
              </w:rPr>
              <w:t>USD 55.578/t</w:t>
            </w:r>
          </w:p>
        </w:tc>
        <w:tc>
          <w:tcPr>
            <w:tcW w:type="dxa" w:w="1560"/>
            <w:shd w:val="clear" w:color="auto" w:fill="FFFFFF"/>
          </w:tcPr>
          <w:p>
            <w:pPr>
              <w:jc w:val="center"/>
            </w:pPr>
            <w:r>
              <w:rPr>
                <w:rFonts w:ascii="Times New Roman" w:hAnsi="Times New Roman"/>
                <w:sz w:val="20"/>
              </w:rPr>
              <w:t>2024 ARIMA</w:t>
            </w:r>
          </w:p>
        </w:tc>
        <w:tc>
          <w:tcPr>
            <w:tcW w:type="dxa" w:w="1560"/>
            <w:shd w:val="clear" w:color="auto" w:fill="FFFFFF"/>
          </w:tcPr>
          <w:p>
            <w:pPr>
              <w:jc w:val="center"/>
            </w:pPr>
            <w:r>
              <w:rPr>
                <w:rFonts w:ascii="Times New Roman" w:hAnsi="Times New Roman"/>
                <w:sz w:val="20"/>
              </w:rPr>
              <w:t>USD 672M</w:t>
            </w:r>
          </w:p>
        </w:tc>
        <w:tc>
          <w:tcPr>
            <w:tcW w:type="dxa" w:w="1560"/>
            <w:shd w:val="clear" w:color="auto" w:fill="FFFFFF"/>
          </w:tcPr>
          <w:p>
            <w:pPr>
              <w:jc w:val="center"/>
            </w:pPr>
            <w:r>
              <w:rPr>
                <w:rFonts w:ascii="Times New Roman" w:hAnsi="Times New Roman"/>
                <w:sz w:val="20"/>
              </w:rPr>
              <w:t>USD 444M</w:t>
            </w:r>
          </w:p>
        </w:tc>
        <w:tc>
          <w:tcPr>
            <w:tcW w:type="dxa" w:w="1560"/>
            <w:shd w:val="clear" w:color="auto" w:fill="FFFFFF"/>
          </w:tcPr>
          <w:p>
            <w:pPr>
              <w:jc w:val="center"/>
            </w:pPr>
            <w:r>
              <w:rPr>
                <w:rFonts w:ascii="Times New Roman" w:hAnsi="Times New Roman"/>
                <w:sz w:val="20"/>
              </w:rPr>
              <w:t>USD 1,115M</w:t>
            </w:r>
          </w:p>
        </w:tc>
      </w:tr>
      <w:tr>
        <w:tc>
          <w:tcPr>
            <w:tcW w:type="dxa" w:w="1560"/>
            <w:shd w:val="clear" w:color="auto" w:fill="D9E2F3"/>
          </w:tcPr>
          <w:p>
            <w:pPr>
              <w:jc w:val="center"/>
            </w:pPr>
            <w:r>
              <w:rPr>
                <w:rFonts w:ascii="Times New Roman" w:hAnsi="Times New Roman"/>
                <w:sz w:val="20"/>
              </w:rPr>
              <w:t>NGFS NZ2050 — 2030</w:t>
            </w:r>
          </w:p>
        </w:tc>
        <w:tc>
          <w:tcPr>
            <w:tcW w:type="dxa" w:w="1560"/>
            <w:shd w:val="clear" w:color="auto" w:fill="D9E2F3"/>
          </w:tcPr>
          <w:p>
            <w:pPr>
              <w:jc w:val="center"/>
            </w:pPr>
            <w:r>
              <w:rPr>
                <w:rFonts w:ascii="Times New Roman" w:hAnsi="Times New Roman"/>
                <w:sz w:val="20"/>
              </w:rPr>
              <w:t>USD 55.578/t</w:t>
            </w:r>
          </w:p>
        </w:tc>
        <w:tc>
          <w:tcPr>
            <w:tcW w:type="dxa" w:w="1560"/>
            <w:shd w:val="clear" w:color="auto" w:fill="D9E2F3"/>
          </w:tcPr>
          <w:p>
            <w:pPr>
              <w:jc w:val="center"/>
            </w:pPr>
            <w:r>
              <w:rPr>
                <w:rFonts w:ascii="Times New Roman" w:hAnsi="Times New Roman"/>
                <w:sz w:val="20"/>
              </w:rPr>
              <w:t>2030 ARIMA</w:t>
            </w:r>
          </w:p>
        </w:tc>
        <w:tc>
          <w:tcPr>
            <w:tcW w:type="dxa" w:w="1560"/>
            <w:shd w:val="clear" w:color="auto" w:fill="D9E2F3"/>
          </w:tcPr>
          <w:p>
            <w:pPr>
              <w:jc w:val="center"/>
            </w:pPr>
            <w:r>
              <w:rPr>
                <w:rFonts w:ascii="Times New Roman" w:hAnsi="Times New Roman"/>
                <w:sz w:val="20"/>
              </w:rPr>
              <w:t>USD 714M</w:t>
            </w:r>
          </w:p>
        </w:tc>
        <w:tc>
          <w:tcPr>
            <w:tcW w:type="dxa" w:w="1560"/>
            <w:shd w:val="clear" w:color="auto" w:fill="D9E2F3"/>
          </w:tcPr>
          <w:p>
            <w:pPr>
              <w:jc w:val="center"/>
            </w:pPr>
            <w:r>
              <w:rPr>
                <w:rFonts w:ascii="Times New Roman" w:hAnsi="Times New Roman"/>
                <w:sz w:val="20"/>
              </w:rPr>
              <w:t>USD 476M</w:t>
            </w:r>
          </w:p>
        </w:tc>
        <w:tc>
          <w:tcPr>
            <w:tcW w:type="dxa" w:w="1560"/>
            <w:shd w:val="clear" w:color="auto" w:fill="D9E2F3"/>
          </w:tcPr>
          <w:p>
            <w:pPr>
              <w:jc w:val="center"/>
            </w:pPr>
            <w:r>
              <w:rPr>
                <w:rFonts w:ascii="Times New Roman" w:hAnsi="Times New Roman"/>
                <w:sz w:val="20"/>
              </w:rPr>
              <w:t>USD 1,191M</w:t>
            </w:r>
          </w:p>
        </w:tc>
      </w:tr>
      <w:tr>
        <w:tc>
          <w:tcPr>
            <w:tcW w:type="dxa" w:w="1560"/>
            <w:shd w:val="clear" w:color="auto" w:fill="FFFFFF"/>
          </w:tcPr>
          <w:p>
            <w:pPr>
              <w:jc w:val="center"/>
            </w:pPr>
            <w:r>
              <w:rPr>
                <w:rFonts w:ascii="Times New Roman" w:hAnsi="Times New Roman"/>
                <w:sz w:val="20"/>
              </w:rPr>
              <w:t>NZ2050 × 2 stress (2024)</w:t>
            </w:r>
          </w:p>
        </w:tc>
        <w:tc>
          <w:tcPr>
            <w:tcW w:type="dxa" w:w="1560"/>
            <w:shd w:val="clear" w:color="auto" w:fill="FFFFFF"/>
          </w:tcPr>
          <w:p>
            <w:pPr>
              <w:jc w:val="center"/>
            </w:pPr>
            <w:r>
              <w:rPr>
                <w:rFonts w:ascii="Times New Roman" w:hAnsi="Times New Roman"/>
                <w:sz w:val="20"/>
              </w:rPr>
              <w:t>USD 111/t</w:t>
            </w:r>
          </w:p>
        </w:tc>
        <w:tc>
          <w:tcPr>
            <w:tcW w:type="dxa" w:w="1560"/>
            <w:shd w:val="clear" w:color="auto" w:fill="FFFFFF"/>
          </w:tcPr>
          <w:p>
            <w:pPr>
              <w:jc w:val="center"/>
            </w:pPr>
            <w:r>
              <w:rPr>
                <w:rFonts w:ascii="Times New Roman" w:hAnsi="Times New Roman"/>
                <w:sz w:val="20"/>
              </w:rPr>
              <w:t>2024 ARIMA</w:t>
            </w:r>
          </w:p>
        </w:tc>
        <w:tc>
          <w:tcPr>
            <w:tcW w:type="dxa" w:w="1560"/>
            <w:shd w:val="clear" w:color="auto" w:fill="FFFFFF"/>
          </w:tcPr>
          <w:p>
            <w:pPr>
              <w:jc w:val="center"/>
            </w:pPr>
            <w:r>
              <w:rPr>
                <w:rFonts w:ascii="Times New Roman" w:hAnsi="Times New Roman"/>
                <w:sz w:val="20"/>
              </w:rPr>
              <w:t>USD 1,295M</w:t>
            </w:r>
          </w:p>
        </w:tc>
        <w:tc>
          <w:tcPr>
            <w:tcW w:type="dxa" w:w="1560"/>
            <w:shd w:val="clear" w:color="auto" w:fill="FFFFFF"/>
          </w:tcPr>
          <w:p>
            <w:pPr>
              <w:jc w:val="center"/>
            </w:pPr>
            <w:r>
              <w:rPr>
                <w:rFonts w:ascii="Times New Roman" w:hAnsi="Times New Roman"/>
                <w:sz w:val="20"/>
              </w:rPr>
              <w:t>USD 888M</w:t>
            </w:r>
          </w:p>
        </w:tc>
        <w:tc>
          <w:tcPr>
            <w:tcW w:type="dxa" w:w="1560"/>
            <w:shd w:val="clear" w:color="auto" w:fill="FFFFFF"/>
          </w:tcPr>
          <w:p>
            <w:pPr>
              <w:jc w:val="center"/>
            </w:pPr>
            <w:r>
              <w:rPr>
                <w:rFonts w:ascii="Times New Roman" w:hAnsi="Times New Roman"/>
                <w:sz w:val="20"/>
              </w:rPr>
              <w:t>USD 2,230M</w:t>
            </w:r>
          </w:p>
        </w:tc>
      </w:tr>
      <w:tr>
        <w:tc>
          <w:tcPr>
            <w:tcW w:type="dxa" w:w="1560"/>
            <w:shd w:val="clear" w:color="auto" w:fill="D9E2F3"/>
          </w:tcPr>
          <w:p>
            <w:pPr>
              <w:jc w:val="center"/>
            </w:pPr>
            <w:r>
              <w:rPr>
                <w:rFonts w:ascii="Times New Roman" w:hAnsi="Times New Roman"/>
                <w:sz w:val="20"/>
              </w:rPr>
              <w:t>NZ2050 × 2 stress (2030)</w:t>
            </w:r>
          </w:p>
        </w:tc>
        <w:tc>
          <w:tcPr>
            <w:tcW w:type="dxa" w:w="1560"/>
            <w:shd w:val="clear" w:color="auto" w:fill="D9E2F3"/>
          </w:tcPr>
          <w:p>
            <w:pPr>
              <w:jc w:val="center"/>
            </w:pPr>
            <w:r>
              <w:rPr>
                <w:rFonts w:ascii="Times New Roman" w:hAnsi="Times New Roman"/>
                <w:sz w:val="20"/>
              </w:rPr>
              <w:t>USD 111/t</w:t>
            </w:r>
          </w:p>
        </w:tc>
        <w:tc>
          <w:tcPr>
            <w:tcW w:type="dxa" w:w="1560"/>
            <w:shd w:val="clear" w:color="auto" w:fill="D9E2F3"/>
          </w:tcPr>
          <w:p>
            <w:pPr>
              <w:jc w:val="center"/>
            </w:pPr>
            <w:r>
              <w:rPr>
                <w:rFonts w:ascii="Times New Roman" w:hAnsi="Times New Roman"/>
                <w:sz w:val="20"/>
              </w:rPr>
              <w:t>2030 ARIMA</w:t>
            </w:r>
          </w:p>
        </w:tc>
        <w:tc>
          <w:tcPr>
            <w:tcW w:type="dxa" w:w="1560"/>
            <w:shd w:val="clear" w:color="auto" w:fill="D9E2F3"/>
          </w:tcPr>
          <w:p>
            <w:pPr>
              <w:jc w:val="center"/>
            </w:pPr>
            <w:r>
              <w:rPr>
                <w:rFonts w:ascii="Times New Roman" w:hAnsi="Times New Roman"/>
                <w:sz w:val="20"/>
              </w:rPr>
              <w:t>USD 1,430M</w:t>
            </w:r>
          </w:p>
        </w:tc>
        <w:tc>
          <w:tcPr>
            <w:tcW w:type="dxa" w:w="1560"/>
            <w:shd w:val="clear" w:color="auto" w:fill="D9E2F3"/>
          </w:tcPr>
          <w:p>
            <w:pPr>
              <w:jc w:val="center"/>
            </w:pPr>
            <w:r>
              <w:rPr>
                <w:rFonts w:ascii="Times New Roman" w:hAnsi="Times New Roman"/>
                <w:sz w:val="20"/>
              </w:rPr>
              <w:t>USD 952M</w:t>
            </w:r>
          </w:p>
        </w:tc>
        <w:tc>
          <w:tcPr>
            <w:tcW w:type="dxa" w:w="1560"/>
            <w:shd w:val="clear" w:color="auto" w:fill="D9E2F3"/>
          </w:tcPr>
          <w:p>
            <w:pPr>
              <w:jc w:val="center"/>
            </w:pPr>
            <w:r>
              <w:rPr>
                <w:rFonts w:ascii="Times New Roman" w:hAnsi="Times New Roman"/>
                <w:sz w:val="20"/>
              </w:rPr>
              <w:t>USD 2,382M</w:t>
            </w:r>
          </w:p>
        </w:tc>
      </w:tr>
    </w:tbl>
    <w:p>
      <w:pPr>
        <w:spacing w:before="0" w:after="160"/>
        <w:jc w:val="center"/>
      </w:pPr>
      <w:r>
        <w:rPr>
          <w:rFonts w:ascii="Times New Roman" w:hAnsi="Times New Roman" w:cs="Times New Roman"/>
          <w:rFonts w:ascii="Times New Roman" w:hAnsi="Times New Roman"/>
          <w:b w:val="0"/>
          <w:i/>
          <w:sz w:val="20"/>
        </w:rPr>
        <w:t>Table 7 – Annual transition pass-through to SEA treaty pool (3% rate, 50% treaty attachment). 2030 rows use ARIMA 7-step forecast GHG (MYS: 365.5 + 63.3 LULUCF = 428.8 MtCO₂e; PHL: 285.4 MtCO₂e). Pass-through rate sensitivity 1–5% drives 5× HRe reserve variance.</w:t>
      </w:r>
    </w:p>
    <w:p>
      <w:r>
        <w:br w:type="page"/>
      </w:r>
    </w:p>
    <w:p>
      <w:pPr>
        <w:spacing w:before="240" w:after="120"/>
        <w:jc w:val="left"/>
      </w:pPr>
      <w:r>
        <w:rPr>
          <w:rFonts w:ascii="Times New Roman" w:hAnsi="Times New Roman" w:cs="Times New Roman"/>
          <w:rFonts w:ascii="Times New Roman" w:hAnsi="Times New Roman"/>
          <w:b/>
          <w:i w:val="0"/>
          <w:color w:val="1F497D"/>
          <w:sz w:val="28"/>
        </w:rPr>
        <w:t>7. Stress Testing &amp; 2030 Projections</w:t>
      </w:r>
    </w:p>
    <w:p>
      <w:pPr>
        <w:spacing w:before="0" w:after="120"/>
        <w:jc w:val="both"/>
      </w:pPr>
      <w:r>
        <w:rPr>
          <w:rFonts w:ascii="Times New Roman" w:hAnsi="Times New Roman" w:cs="Times New Roman"/>
          <w:rFonts w:ascii="Times New Roman" w:hAnsi="Times New Roman"/>
          <w:b w:val="0"/>
          <w:i w:val="0"/>
          <w:sz w:val="24"/>
        </w:rPr>
        <w:t>From ARIMA 2024 baseline (extended to 2030 — 7-step horizon), NZ2050 costs are projected across the full 2024–2030 window. The carbon price ramps from USD 28.2/t (2024) to USD 55.6/t (2030) under NGFS NZ2050, while the 2× stress reaches USD 111/t. Cost rises despite emission decline (price outpaces abatement) — peak capital exposure window: 2026–2028. Trigger year (~2027), not terminal quantum, is the actionable output.</w:t>
      </w:r>
    </w:p>
    <w:p>
      <w:pPr>
        <w:spacing w:before="0" w:after="120"/>
        <w:jc w:val="both"/>
      </w:pPr>
      <w:r>
        <w:rPr>
          <w:rFonts w:ascii="Times New Roman" w:hAnsi="Times New Roman" w:cs="Times New Roman"/>
          <w:rFonts w:ascii="Times New Roman" w:hAnsi="Times New Roman"/>
          <w:b/>
          <w:i w:val="0"/>
          <w:sz w:val="24"/>
        </w:rPr>
        <w:t>By 2030, MYS faces USD 23.8bn/yr and PHL USD 15.9bn/yr in NZ2050 transition compliance costs (combined USD 39.7bn/yr), with the 2× stress scenario reaching USD 47.7bn (MYS) and USD 31.7bn (PHL) — making 2027 the actionable treaty repricing trigger year before the binding capital constraint is crossed.</w:t>
      </w:r>
    </w:p>
    <w:p>
      <w:pPr>
        <w:jc w:val="center"/>
      </w:pPr>
      <w:r>
        <w:drawing>
          <wp:inline xmlns:a="http://schemas.openxmlformats.org/drawingml/2006/main" xmlns:pic="http://schemas.openxmlformats.org/drawingml/2006/picture">
            <wp:extent cx="5852160" cy="2246161"/>
            <wp:docPr id="12" name="Picture 12"/>
            <wp:cNvGraphicFramePr>
              <a:graphicFrameLocks noChangeAspect="1"/>
            </wp:cNvGraphicFramePr>
            <a:graphic>
              <a:graphicData uri="http://schemas.openxmlformats.org/drawingml/2006/picture">
                <pic:pic>
                  <pic:nvPicPr>
                    <pic:cNvPr id="0" name="r4_carbon_price_trajectory.png"/>
                    <pic:cNvPicPr/>
                  </pic:nvPicPr>
                  <pic:blipFill>
                    <a:blip r:embed="rId20"/>
                    <a:stretch>
                      <a:fillRect/>
                    </a:stretch>
                  </pic:blipFill>
                  <pic:spPr>
                    <a:xfrm>
                      <a:off x="0" y="0"/>
                      <a:ext cx="5852160" cy="2246161"/>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7a – NGFS GCAM 6.0 NZ2050 carbon price trajectory: baseline ramp $28/t (2024) → $56/t (2030) → $110/t (2050). 2× stress doubles this path. Capital constraint trigger ~2027 marked.</w:t>
      </w:r>
    </w:p>
    <w:p>
      <w:pPr>
        <w:jc w:val="center"/>
      </w:pPr>
      <w:r>
        <w:drawing>
          <wp:inline xmlns:a="http://schemas.openxmlformats.org/drawingml/2006/main" xmlns:pic="http://schemas.openxmlformats.org/drawingml/2006/picture">
            <wp:extent cx="5852160" cy="2049941"/>
            <wp:docPr id="13" name="Picture 13"/>
            <wp:cNvGraphicFramePr>
              <a:graphicFrameLocks noChangeAspect="1"/>
            </wp:cNvGraphicFramePr>
            <a:graphic>
              <a:graphicData uri="http://schemas.openxmlformats.org/drawingml/2006/picture">
                <pic:pic>
                  <pic:nvPicPr>
                    <pic:cNvPr id="0" name="r4_transition_cost_trajectory.png"/>
                    <pic:cNvPicPr/>
                  </pic:nvPicPr>
                  <pic:blipFill>
                    <a:blip r:embed="rId21"/>
                    <a:stretch>
                      <a:fillRect/>
                    </a:stretch>
                  </pic:blipFill>
                  <pic:spPr>
                    <a:xfrm>
                      <a:off x="0" y="0"/>
                      <a:ext cx="5852160" cy="2049941"/>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7b – Transition cost 2024–2030 (NGFS NZ2050): combined MYS+PHL reaches USD 26.6bn/yr by 2030 (HRe trajectory). Full compliance cost (without pass-through): combined USD 39.7bn/yr baseline, USD 79.4bn/yr stress at 2030.</w:t>
      </w:r>
    </w:p>
    <w:p>
      <w:pPr>
        <w:spacing w:before="240" w:after="120"/>
        <w:jc w:val="left"/>
      </w:pPr>
      <w:r>
        <w:rPr>
          <w:rFonts w:ascii="Times New Roman" w:hAnsi="Times New Roman" w:cs="Times New Roman"/>
          <w:rFonts w:ascii="Times New Roman" w:hAnsi="Times New Roman"/>
          <w:b/>
          <w:i w:val="0"/>
          <w:color w:val="1F497D"/>
          <w:sz w:val="24"/>
        </w:rPr>
        <w:t>7.1 Trajectory &amp; HRe Reserve Projections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W w:w="864" w:type="dxa"/>
          </w:tcPr>
          <w:p>
            <w:pPr>
              <w:jc w:val="center"/>
            </w:pPr>
            <w:r>
              <w:rPr>
                <w:rFonts w:ascii="Times New Roman" w:hAnsi="Times New Roman"/>
                <w:b/>
                <w:color w:val="FFFFFF"/>
                <w:sz w:val="20"/>
              </w:rPr>
              <w:t>Year</w:t>
            </w:r>
          </w:p>
        </w:tc>
        <w:tc>
          <w:tcPr>
            <w:tcW w:type="dxa" w:w="1337"/>
            <w:shd w:val="clear" w:color="auto" w:fill="1F497D"/>
            <w:tcW w:w="1296" w:type="dxa"/>
          </w:tcPr>
          <w:p>
            <w:pPr>
              <w:jc w:val="center"/>
            </w:pPr>
            <w:r>
              <w:rPr>
                <w:rFonts w:ascii="Times New Roman" w:hAnsi="Times New Roman"/>
                <w:b/>
                <w:color w:val="FFFFFF"/>
                <w:sz w:val="20"/>
              </w:rPr>
              <w:t>C-Price ($/t)</w:t>
            </w:r>
          </w:p>
        </w:tc>
        <w:tc>
          <w:tcPr>
            <w:tcW w:type="dxa" w:w="1337"/>
            <w:shd w:val="clear" w:color="auto" w:fill="1F497D"/>
            <w:tcW w:w="1440" w:type="dxa"/>
          </w:tcPr>
          <w:p>
            <w:pPr>
              <w:jc w:val="center"/>
            </w:pPr>
            <w:r>
              <w:rPr>
                <w:rFonts w:ascii="Times New Roman" w:hAnsi="Times New Roman"/>
                <w:b/>
                <w:color w:val="FFFFFF"/>
                <w:sz w:val="20"/>
              </w:rPr>
              <w:t>MYS (USDbn)</w:t>
            </w:r>
          </w:p>
        </w:tc>
        <w:tc>
          <w:tcPr>
            <w:tcW w:type="dxa" w:w="1337"/>
            <w:shd w:val="clear" w:color="auto" w:fill="1F497D"/>
            <w:tcW w:w="1440" w:type="dxa"/>
          </w:tcPr>
          <w:p>
            <w:pPr>
              <w:jc w:val="center"/>
            </w:pPr>
            <w:r>
              <w:rPr>
                <w:rFonts w:ascii="Times New Roman" w:hAnsi="Times New Roman"/>
                <w:b/>
                <w:color w:val="FFFFFF"/>
                <w:sz w:val="20"/>
              </w:rPr>
              <w:t>PHL (USDbn)</w:t>
            </w:r>
          </w:p>
        </w:tc>
        <w:tc>
          <w:tcPr>
            <w:tcW w:type="dxa" w:w="1337"/>
            <w:shd w:val="clear" w:color="auto" w:fill="1F497D"/>
            <w:tcW w:w="1728" w:type="dxa"/>
          </w:tcPr>
          <w:p>
            <w:pPr>
              <w:jc w:val="center"/>
            </w:pPr>
            <w:r>
              <w:rPr>
                <w:rFonts w:ascii="Times New Roman" w:hAnsi="Times New Roman"/>
                <w:b/>
                <w:color w:val="FFFFFF"/>
                <w:sz w:val="20"/>
              </w:rPr>
              <w:t>Combined (USDbn)</w:t>
            </w:r>
          </w:p>
        </w:tc>
        <w:tc>
          <w:tcPr>
            <w:tcW w:type="dxa" w:w="1337"/>
            <w:shd w:val="clear" w:color="auto" w:fill="1F497D"/>
            <w:tcW w:w="1440" w:type="dxa"/>
          </w:tcPr>
          <w:p>
            <w:pPr>
              <w:jc w:val="center"/>
            </w:pPr>
            <w:r>
              <w:rPr>
                <w:rFonts w:ascii="Times New Roman" w:hAnsi="Times New Roman"/>
                <w:b/>
                <w:color w:val="FFFFFF"/>
                <w:sz w:val="20"/>
              </w:rPr>
              <w:t>HRe Floor</w:t>
            </w:r>
          </w:p>
        </w:tc>
        <w:tc>
          <w:tcPr>
            <w:tcW w:type="dxa" w:w="1337"/>
            <w:shd w:val="clear" w:color="auto" w:fill="1F497D"/>
            <w:tcW w:w="1440" w:type="dxa"/>
          </w:tcPr>
          <w:p>
            <w:pPr>
              <w:jc w:val="center"/>
            </w:pPr>
            <w:r>
              <w:rPr>
                <w:rFonts w:ascii="Times New Roman" w:hAnsi="Times New Roman"/>
                <w:b/>
                <w:color w:val="FFFFFF"/>
                <w:sz w:val="20"/>
              </w:rPr>
              <w:t>HRe Base</w:t>
            </w:r>
          </w:p>
        </w:tc>
      </w:tr>
      <w:tr>
        <w:tc>
          <w:tcPr>
            <w:tcW w:type="dxa" w:w="1337"/>
            <w:shd w:val="clear" w:color="auto" w:fill="D9E2F3"/>
          </w:tcPr>
          <w:p>
            <w:pPr>
              <w:jc w:val="center"/>
            </w:pPr>
            <w:r>
              <w:rPr>
                <w:rFonts w:ascii="Times New Roman" w:hAnsi="Times New Roman"/>
                <w:sz w:val="20"/>
              </w:rPr>
              <w:t>2024</w:t>
            </w:r>
          </w:p>
        </w:tc>
        <w:tc>
          <w:tcPr>
            <w:tcW w:type="dxa" w:w="1337"/>
            <w:shd w:val="clear" w:color="auto" w:fill="D9E2F3"/>
          </w:tcPr>
          <w:p>
            <w:pPr>
              <w:jc w:val="center"/>
            </w:pPr>
            <w:r>
              <w:rPr>
                <w:rFonts w:ascii="Times New Roman" w:hAnsi="Times New Roman"/>
                <w:sz w:val="20"/>
              </w:rPr>
              <w:t>28.23</w:t>
            </w:r>
          </w:p>
        </w:tc>
        <w:tc>
          <w:tcPr>
            <w:tcW w:type="dxa" w:w="1337"/>
            <w:shd w:val="clear" w:color="auto" w:fill="D9E2F3"/>
          </w:tcPr>
          <w:p>
            <w:pPr>
              <w:jc w:val="center"/>
            </w:pPr>
            <w:r>
              <w:rPr>
                <w:rFonts w:ascii="Times New Roman" w:hAnsi="Times New Roman"/>
                <w:sz w:val="20"/>
              </w:rPr>
              <w:t>10.75</w:t>
            </w:r>
          </w:p>
        </w:tc>
        <w:tc>
          <w:tcPr>
            <w:tcW w:type="dxa" w:w="1337"/>
            <w:shd w:val="clear" w:color="auto" w:fill="D9E2F3"/>
          </w:tcPr>
          <w:p>
            <w:pPr>
              <w:jc w:val="center"/>
            </w:pPr>
            <w:r>
              <w:rPr>
                <w:rFonts w:ascii="Times New Roman" w:hAnsi="Times New Roman"/>
                <w:sz w:val="20"/>
              </w:rPr>
              <w:t>5.49</w:t>
            </w:r>
          </w:p>
        </w:tc>
        <w:tc>
          <w:tcPr>
            <w:tcW w:type="dxa" w:w="1337"/>
            <w:shd w:val="clear" w:color="auto" w:fill="D9E2F3"/>
          </w:tcPr>
          <w:p>
            <w:pPr>
              <w:jc w:val="center"/>
            </w:pPr>
            <w:r>
              <w:rPr>
                <w:rFonts w:ascii="Times New Roman" w:hAnsi="Times New Roman"/>
                <w:sz w:val="20"/>
              </w:rPr>
              <w:t>16.24</w:t>
            </w:r>
          </w:p>
        </w:tc>
        <w:tc>
          <w:tcPr>
            <w:tcW w:type="dxa" w:w="1337"/>
            <w:shd w:val="clear" w:color="auto" w:fill="D9E2F3"/>
          </w:tcPr>
          <w:p>
            <w:pPr>
              <w:jc w:val="center"/>
            </w:pPr>
            <w:r>
              <w:rPr>
                <w:rFonts w:ascii="Times New Roman" w:hAnsi="Times New Roman"/>
                <w:sz w:val="20"/>
              </w:rPr>
              <w:t>USD 0.49bn</w:t>
            </w:r>
          </w:p>
        </w:tc>
        <w:tc>
          <w:tcPr>
            <w:tcW w:type="dxa" w:w="1337"/>
            <w:shd w:val="clear" w:color="auto" w:fill="D9E2F3"/>
          </w:tcPr>
          <w:p>
            <w:pPr>
              <w:jc w:val="center"/>
            </w:pPr>
            <w:r>
              <w:rPr>
                <w:rFonts w:ascii="Times New Roman" w:hAnsi="Times New Roman"/>
                <w:sz w:val="20"/>
              </w:rPr>
              <w:t>USD 1.30bn</w:t>
            </w:r>
          </w:p>
        </w:tc>
      </w:tr>
      <w:tr>
        <w:tc>
          <w:tcPr>
            <w:tcW w:type="dxa" w:w="1337"/>
            <w:shd w:val="clear" w:color="auto" w:fill="FFFFFF"/>
          </w:tcPr>
          <w:p>
            <w:pPr>
              <w:jc w:val="center"/>
            </w:pPr>
            <w:r>
              <w:rPr>
                <w:rFonts w:ascii="Times New Roman" w:hAnsi="Times New Roman"/>
                <w:sz w:val="20"/>
              </w:rPr>
              <w:t>2025</w:t>
            </w:r>
          </w:p>
        </w:tc>
        <w:tc>
          <w:tcPr>
            <w:tcW w:type="dxa" w:w="1337"/>
            <w:shd w:val="clear" w:color="auto" w:fill="FFFFFF"/>
          </w:tcPr>
          <w:p>
            <w:pPr>
              <w:jc w:val="center"/>
            </w:pPr>
            <w:r>
              <w:rPr>
                <w:rFonts w:ascii="Times New Roman" w:hAnsi="Times New Roman"/>
                <w:sz w:val="20"/>
              </w:rPr>
              <w:t>32.79</w:t>
            </w:r>
          </w:p>
        </w:tc>
        <w:tc>
          <w:tcPr>
            <w:tcW w:type="dxa" w:w="1337"/>
            <w:shd w:val="clear" w:color="auto" w:fill="FFFFFF"/>
          </w:tcPr>
          <w:p>
            <w:pPr>
              <w:jc w:val="center"/>
            </w:pPr>
            <w:r>
              <w:rPr>
                <w:rFonts w:ascii="Times New Roman" w:hAnsi="Times New Roman"/>
                <w:sz w:val="20"/>
              </w:rPr>
              <w:t>12.11</w:t>
            </w:r>
          </w:p>
        </w:tc>
        <w:tc>
          <w:tcPr>
            <w:tcW w:type="dxa" w:w="1337"/>
            <w:shd w:val="clear" w:color="auto" w:fill="FFFFFF"/>
          </w:tcPr>
          <w:p>
            <w:pPr>
              <w:jc w:val="center"/>
            </w:pPr>
            <w:r>
              <w:rPr>
                <w:rFonts w:ascii="Times New Roman" w:hAnsi="Times New Roman"/>
                <w:sz w:val="20"/>
              </w:rPr>
              <w:t>6.18</w:t>
            </w:r>
          </w:p>
        </w:tc>
        <w:tc>
          <w:tcPr>
            <w:tcW w:type="dxa" w:w="1337"/>
            <w:shd w:val="clear" w:color="auto" w:fill="FFFFFF"/>
          </w:tcPr>
          <w:p>
            <w:pPr>
              <w:jc w:val="center"/>
            </w:pPr>
            <w:r>
              <w:rPr>
                <w:rFonts w:ascii="Times New Roman" w:hAnsi="Times New Roman"/>
                <w:sz w:val="20"/>
              </w:rPr>
              <w:t>18.29</w:t>
            </w:r>
          </w:p>
        </w:tc>
        <w:tc>
          <w:tcPr>
            <w:tcW w:type="dxa" w:w="1337"/>
            <w:shd w:val="clear" w:color="auto" w:fill="FFFFFF"/>
          </w:tcPr>
          <w:p>
            <w:pPr>
              <w:jc w:val="center"/>
            </w:pPr>
            <w:r>
              <w:rPr>
                <w:rFonts w:ascii="Times New Roman" w:hAnsi="Times New Roman"/>
                <w:sz w:val="20"/>
              </w:rPr>
              <w:t>USD 0.55bn</w:t>
            </w:r>
          </w:p>
        </w:tc>
        <w:tc>
          <w:tcPr>
            <w:tcW w:type="dxa" w:w="1337"/>
            <w:shd w:val="clear" w:color="auto" w:fill="FFFFFF"/>
          </w:tcPr>
          <w:p>
            <w:pPr>
              <w:jc w:val="center"/>
            </w:pPr>
            <w:r>
              <w:rPr>
                <w:rFonts w:ascii="Times New Roman" w:hAnsi="Times New Roman"/>
                <w:sz w:val="20"/>
              </w:rPr>
              <w:t>USD 1.46bn</w:t>
            </w:r>
          </w:p>
        </w:tc>
      </w:tr>
      <w:tr>
        <w:tc>
          <w:tcPr>
            <w:tcW w:type="dxa" w:w="1337"/>
            <w:shd w:val="clear" w:color="auto" w:fill="D9E2F3"/>
          </w:tcPr>
          <w:p>
            <w:pPr>
              <w:jc w:val="center"/>
            </w:pPr>
            <w:r>
              <w:rPr>
                <w:rFonts w:ascii="Times New Roman" w:hAnsi="Times New Roman"/>
                <w:sz w:val="20"/>
              </w:rPr>
              <w:t>2026</w:t>
            </w:r>
          </w:p>
        </w:tc>
        <w:tc>
          <w:tcPr>
            <w:tcW w:type="dxa" w:w="1337"/>
            <w:shd w:val="clear" w:color="auto" w:fill="D9E2F3"/>
          </w:tcPr>
          <w:p>
            <w:pPr>
              <w:jc w:val="center"/>
            </w:pPr>
            <w:r>
              <w:rPr>
                <w:rFonts w:ascii="Times New Roman" w:hAnsi="Times New Roman"/>
                <w:sz w:val="20"/>
              </w:rPr>
              <w:t>37.35</w:t>
            </w:r>
          </w:p>
        </w:tc>
        <w:tc>
          <w:tcPr>
            <w:tcW w:type="dxa" w:w="1337"/>
            <w:shd w:val="clear" w:color="auto" w:fill="D9E2F3"/>
          </w:tcPr>
          <w:p>
            <w:pPr>
              <w:jc w:val="center"/>
            </w:pPr>
            <w:r>
              <w:rPr>
                <w:rFonts w:ascii="Times New Roman" w:hAnsi="Times New Roman"/>
                <w:sz w:val="20"/>
              </w:rPr>
              <w:t>13.38</w:t>
            </w:r>
          </w:p>
        </w:tc>
        <w:tc>
          <w:tcPr>
            <w:tcW w:type="dxa" w:w="1337"/>
            <w:shd w:val="clear" w:color="auto" w:fill="D9E2F3"/>
          </w:tcPr>
          <w:p>
            <w:pPr>
              <w:jc w:val="center"/>
            </w:pPr>
            <w:r>
              <w:rPr>
                <w:rFonts w:ascii="Times New Roman" w:hAnsi="Times New Roman"/>
                <w:sz w:val="20"/>
              </w:rPr>
              <w:t>6.83</w:t>
            </w:r>
          </w:p>
        </w:tc>
        <w:tc>
          <w:tcPr>
            <w:tcW w:type="dxa" w:w="1337"/>
            <w:shd w:val="clear" w:color="auto" w:fill="D9E2F3"/>
          </w:tcPr>
          <w:p>
            <w:pPr>
              <w:jc w:val="center"/>
            </w:pPr>
            <w:r>
              <w:rPr>
                <w:rFonts w:ascii="Times New Roman" w:hAnsi="Times New Roman"/>
                <w:sz w:val="20"/>
              </w:rPr>
              <w:t>20.21</w:t>
            </w:r>
          </w:p>
        </w:tc>
        <w:tc>
          <w:tcPr>
            <w:tcW w:type="dxa" w:w="1337"/>
            <w:shd w:val="clear" w:color="auto" w:fill="D9E2F3"/>
          </w:tcPr>
          <w:p>
            <w:pPr>
              <w:jc w:val="center"/>
            </w:pPr>
            <w:r>
              <w:rPr>
                <w:rFonts w:ascii="Times New Roman" w:hAnsi="Times New Roman"/>
                <w:sz w:val="20"/>
              </w:rPr>
              <w:t>USD 0.60bn</w:t>
            </w:r>
          </w:p>
        </w:tc>
        <w:tc>
          <w:tcPr>
            <w:tcW w:type="dxa" w:w="1337"/>
            <w:shd w:val="clear" w:color="auto" w:fill="D9E2F3"/>
          </w:tcPr>
          <w:p>
            <w:pPr>
              <w:jc w:val="center"/>
            </w:pPr>
            <w:r>
              <w:rPr>
                <w:rFonts w:ascii="Times New Roman" w:hAnsi="Times New Roman"/>
                <w:sz w:val="20"/>
              </w:rPr>
              <w:t>USD 1.62bn</w:t>
            </w:r>
          </w:p>
        </w:tc>
      </w:tr>
      <w:tr>
        <w:tc>
          <w:tcPr>
            <w:tcW w:type="dxa" w:w="1337"/>
            <w:shd w:val="clear" w:color="auto" w:fill="FFFFFF"/>
          </w:tcPr>
          <w:p>
            <w:pPr>
              <w:jc w:val="center"/>
            </w:pPr>
            <w:r>
              <w:rPr>
                <w:rFonts w:ascii="Times New Roman" w:hAnsi="Times New Roman"/>
                <w:sz w:val="20"/>
              </w:rPr>
              <w:t>2027</w:t>
            </w:r>
          </w:p>
        </w:tc>
        <w:tc>
          <w:tcPr>
            <w:tcW w:type="dxa" w:w="1337"/>
            <w:shd w:val="clear" w:color="auto" w:fill="FFFFFF"/>
          </w:tcPr>
          <w:p>
            <w:pPr>
              <w:jc w:val="center"/>
            </w:pPr>
            <w:r>
              <w:rPr>
                <w:rFonts w:ascii="Times New Roman" w:hAnsi="Times New Roman"/>
                <w:sz w:val="20"/>
              </w:rPr>
              <w:t>41.90</w:t>
            </w:r>
          </w:p>
        </w:tc>
        <w:tc>
          <w:tcPr>
            <w:tcW w:type="dxa" w:w="1337"/>
            <w:shd w:val="clear" w:color="auto" w:fill="FFFFFF"/>
          </w:tcPr>
          <w:p>
            <w:pPr>
              <w:jc w:val="center"/>
            </w:pPr>
            <w:r>
              <w:rPr>
                <w:rFonts w:ascii="Times New Roman" w:hAnsi="Times New Roman"/>
                <w:sz w:val="20"/>
              </w:rPr>
              <w:t>14.56</w:t>
            </w:r>
          </w:p>
        </w:tc>
        <w:tc>
          <w:tcPr>
            <w:tcW w:type="dxa" w:w="1337"/>
            <w:shd w:val="clear" w:color="auto" w:fill="FFFFFF"/>
          </w:tcPr>
          <w:p>
            <w:pPr>
              <w:jc w:val="center"/>
            </w:pPr>
            <w:r>
              <w:rPr>
                <w:rFonts w:ascii="Times New Roman" w:hAnsi="Times New Roman"/>
                <w:sz w:val="20"/>
              </w:rPr>
              <w:t>7.44</w:t>
            </w:r>
          </w:p>
        </w:tc>
        <w:tc>
          <w:tcPr>
            <w:tcW w:type="dxa" w:w="1337"/>
            <w:shd w:val="clear" w:color="auto" w:fill="FFFFFF"/>
          </w:tcPr>
          <w:p>
            <w:pPr>
              <w:jc w:val="center"/>
            </w:pPr>
            <w:r>
              <w:rPr>
                <w:rFonts w:ascii="Times New Roman" w:hAnsi="Times New Roman"/>
                <w:sz w:val="20"/>
              </w:rPr>
              <w:t>22.00</w:t>
            </w:r>
          </w:p>
        </w:tc>
        <w:tc>
          <w:tcPr>
            <w:tcW w:type="dxa" w:w="1337"/>
            <w:shd w:val="clear" w:color="auto" w:fill="FFFFFF"/>
          </w:tcPr>
          <w:p>
            <w:pPr>
              <w:jc w:val="center"/>
            </w:pPr>
            <w:r>
              <w:rPr>
                <w:rFonts w:ascii="Times New Roman" w:hAnsi="Times New Roman"/>
                <w:sz w:val="20"/>
              </w:rPr>
              <w:t>USD 0.66bn</w:t>
            </w:r>
          </w:p>
        </w:tc>
        <w:tc>
          <w:tcPr>
            <w:tcW w:type="dxa" w:w="1337"/>
            <w:shd w:val="clear" w:color="auto" w:fill="FFFFFF"/>
          </w:tcPr>
          <w:p>
            <w:pPr>
              <w:jc w:val="center"/>
            </w:pPr>
            <w:r>
              <w:rPr>
                <w:rFonts w:ascii="Times New Roman" w:hAnsi="Times New Roman"/>
                <w:sz w:val="20"/>
              </w:rPr>
              <w:t>USD 1.76bn</w:t>
            </w:r>
          </w:p>
        </w:tc>
      </w:tr>
      <w:tr>
        <w:tc>
          <w:tcPr>
            <w:tcW w:type="dxa" w:w="1337"/>
            <w:shd w:val="clear" w:color="auto" w:fill="D9E2F3"/>
          </w:tcPr>
          <w:p>
            <w:pPr>
              <w:jc w:val="center"/>
            </w:pPr>
            <w:r>
              <w:rPr>
                <w:rFonts w:ascii="Times New Roman" w:hAnsi="Times New Roman"/>
                <w:sz w:val="20"/>
              </w:rPr>
              <w:t>2028</w:t>
            </w:r>
          </w:p>
        </w:tc>
        <w:tc>
          <w:tcPr>
            <w:tcW w:type="dxa" w:w="1337"/>
            <w:shd w:val="clear" w:color="auto" w:fill="D9E2F3"/>
          </w:tcPr>
          <w:p>
            <w:pPr>
              <w:jc w:val="center"/>
            </w:pPr>
            <w:r>
              <w:rPr>
                <w:rFonts w:ascii="Times New Roman" w:hAnsi="Times New Roman"/>
                <w:sz w:val="20"/>
              </w:rPr>
              <w:t>46.46</w:t>
            </w:r>
          </w:p>
        </w:tc>
        <w:tc>
          <w:tcPr>
            <w:tcW w:type="dxa" w:w="1337"/>
            <w:shd w:val="clear" w:color="auto" w:fill="D9E2F3"/>
          </w:tcPr>
          <w:p>
            <w:pPr>
              <w:jc w:val="center"/>
            </w:pPr>
            <w:r>
              <w:rPr>
                <w:rFonts w:ascii="Times New Roman" w:hAnsi="Times New Roman"/>
                <w:sz w:val="20"/>
              </w:rPr>
              <w:t>15.66</w:t>
            </w:r>
          </w:p>
        </w:tc>
        <w:tc>
          <w:tcPr>
            <w:tcW w:type="dxa" w:w="1337"/>
            <w:shd w:val="clear" w:color="auto" w:fill="D9E2F3"/>
          </w:tcPr>
          <w:p>
            <w:pPr>
              <w:jc w:val="center"/>
            </w:pPr>
            <w:r>
              <w:rPr>
                <w:rFonts w:ascii="Times New Roman" w:hAnsi="Times New Roman"/>
                <w:sz w:val="20"/>
              </w:rPr>
              <w:t>8.00</w:t>
            </w:r>
          </w:p>
        </w:tc>
        <w:tc>
          <w:tcPr>
            <w:tcW w:type="dxa" w:w="1337"/>
            <w:shd w:val="clear" w:color="auto" w:fill="D9E2F3"/>
          </w:tcPr>
          <w:p>
            <w:pPr>
              <w:jc w:val="center"/>
            </w:pPr>
            <w:r>
              <w:rPr>
                <w:rFonts w:ascii="Times New Roman" w:hAnsi="Times New Roman"/>
                <w:sz w:val="20"/>
              </w:rPr>
              <w:t>23.66</w:t>
            </w:r>
          </w:p>
        </w:tc>
        <w:tc>
          <w:tcPr>
            <w:tcW w:type="dxa" w:w="1337"/>
            <w:shd w:val="clear" w:color="auto" w:fill="D9E2F3"/>
          </w:tcPr>
          <w:p>
            <w:pPr>
              <w:jc w:val="center"/>
            </w:pPr>
            <w:r>
              <w:rPr>
                <w:rFonts w:ascii="Times New Roman" w:hAnsi="Times New Roman"/>
                <w:sz w:val="20"/>
              </w:rPr>
              <w:t>USD 0.71bn</w:t>
            </w:r>
          </w:p>
        </w:tc>
        <w:tc>
          <w:tcPr>
            <w:tcW w:type="dxa" w:w="1337"/>
            <w:shd w:val="clear" w:color="auto" w:fill="D9E2F3"/>
          </w:tcPr>
          <w:p>
            <w:pPr>
              <w:jc w:val="center"/>
            </w:pPr>
            <w:r>
              <w:rPr>
                <w:rFonts w:ascii="Times New Roman" w:hAnsi="Times New Roman"/>
                <w:sz w:val="20"/>
              </w:rPr>
              <w:t>USD 1.89bn</w:t>
            </w:r>
          </w:p>
        </w:tc>
      </w:tr>
      <w:tr>
        <w:tc>
          <w:tcPr>
            <w:tcW w:type="dxa" w:w="1337"/>
            <w:shd w:val="clear" w:color="auto" w:fill="FFFFFF"/>
          </w:tcPr>
          <w:p>
            <w:pPr>
              <w:jc w:val="center"/>
            </w:pPr>
            <w:r>
              <w:rPr>
                <w:rFonts w:ascii="Times New Roman" w:hAnsi="Times New Roman"/>
                <w:sz w:val="20"/>
              </w:rPr>
              <w:t>2030</w:t>
            </w:r>
          </w:p>
        </w:tc>
        <w:tc>
          <w:tcPr>
            <w:tcW w:type="dxa" w:w="1337"/>
            <w:shd w:val="clear" w:color="auto" w:fill="FFFFFF"/>
          </w:tcPr>
          <w:p>
            <w:pPr>
              <w:jc w:val="center"/>
            </w:pPr>
            <w:r>
              <w:rPr>
                <w:rFonts w:ascii="Times New Roman" w:hAnsi="Times New Roman"/>
                <w:sz w:val="20"/>
              </w:rPr>
              <w:t>55.58</w:t>
            </w:r>
          </w:p>
        </w:tc>
        <w:tc>
          <w:tcPr>
            <w:tcW w:type="dxa" w:w="1337"/>
            <w:shd w:val="clear" w:color="auto" w:fill="FFFFFF"/>
          </w:tcPr>
          <w:p>
            <w:pPr>
              <w:jc w:val="center"/>
            </w:pPr>
            <w:r>
              <w:rPr>
                <w:rFonts w:ascii="Times New Roman" w:hAnsi="Times New Roman"/>
                <w:sz w:val="20"/>
              </w:rPr>
              <w:t>17.63</w:t>
            </w:r>
          </w:p>
        </w:tc>
        <w:tc>
          <w:tcPr>
            <w:tcW w:type="dxa" w:w="1337"/>
            <w:shd w:val="clear" w:color="auto" w:fill="FFFFFF"/>
          </w:tcPr>
          <w:p>
            <w:pPr>
              <w:jc w:val="center"/>
            </w:pPr>
            <w:r>
              <w:rPr>
                <w:rFonts w:ascii="Times New Roman" w:hAnsi="Times New Roman"/>
                <w:sz w:val="20"/>
              </w:rPr>
              <w:t>9.00</w:t>
            </w:r>
          </w:p>
        </w:tc>
        <w:tc>
          <w:tcPr>
            <w:tcW w:type="dxa" w:w="1337"/>
            <w:shd w:val="clear" w:color="auto" w:fill="FFFFFF"/>
          </w:tcPr>
          <w:p>
            <w:pPr>
              <w:jc w:val="center"/>
            </w:pPr>
            <w:r>
              <w:rPr>
                <w:rFonts w:ascii="Times New Roman" w:hAnsi="Times New Roman"/>
                <w:sz w:val="20"/>
              </w:rPr>
              <w:t>26.63</w:t>
            </w:r>
          </w:p>
        </w:tc>
        <w:tc>
          <w:tcPr>
            <w:tcW w:type="dxa" w:w="1337"/>
            <w:shd w:val="clear" w:color="auto" w:fill="FFFFFF"/>
          </w:tcPr>
          <w:p>
            <w:pPr>
              <w:jc w:val="center"/>
            </w:pPr>
            <w:r>
              <w:rPr>
                <w:rFonts w:ascii="Times New Roman" w:hAnsi="Times New Roman"/>
                <w:sz w:val="20"/>
              </w:rPr>
              <w:t>USD 0.81bn</w:t>
            </w:r>
          </w:p>
        </w:tc>
        <w:tc>
          <w:tcPr>
            <w:tcW w:type="dxa" w:w="1337"/>
            <w:shd w:val="clear" w:color="auto" w:fill="FFFFFF"/>
          </w:tcPr>
          <w:p>
            <w:pPr>
              <w:jc w:val="center"/>
            </w:pPr>
            <w:r>
              <w:rPr>
                <w:rFonts w:ascii="Times New Roman" w:hAnsi="Times New Roman"/>
                <w:sz w:val="20"/>
              </w:rPr>
              <w:t>USD 2.13bn</w:t>
            </w:r>
          </w:p>
        </w:tc>
      </w:tr>
    </w:tbl>
    <w:p>
      <w:pPr>
        <w:spacing w:before="0" w:after="160"/>
        <w:jc w:val="center"/>
      </w:pPr>
      <w:r>
        <w:rPr>
          <w:rFonts w:ascii="Times New Roman" w:hAnsi="Times New Roman" w:cs="Times New Roman"/>
          <w:rFonts w:ascii="Times New Roman" w:hAnsi="Times New Roman"/>
          <w:b w:val="0"/>
          <w:i/>
          <w:sz w:val="20"/>
        </w:rPr>
        <w:t>Table 8 – NZ2050 trajectory. HRe: 8% APAC share × 50% attachment × 3%/10% SEA alloc. Trigger year for binding capital constraint: ~2027.</w:t>
      </w:r>
    </w:p>
    <w:p>
      <w:pPr>
        <w:spacing w:before="240" w:after="120"/>
        <w:jc w:val="left"/>
      </w:pPr>
      <w:r>
        <w:rPr>
          <w:rFonts w:ascii="Times New Roman" w:hAnsi="Times New Roman" w:cs="Times New Roman"/>
          <w:rFonts w:ascii="Times New Roman" w:hAnsi="Times New Roman"/>
          <w:b/>
          <w:i w:val="0"/>
          <w:color w:val="1F497D"/>
          <w:sz w:val="24"/>
        </w:rPr>
        <w:t>7.2 Stress Scenario Design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W w:w="2015" w:type="dxa"/>
          </w:tcPr>
          <w:p>
            <w:pPr>
              <w:jc w:val="center"/>
            </w:pPr>
            <w:r>
              <w:rPr>
                <w:rFonts w:ascii="Times New Roman" w:hAnsi="Times New Roman"/>
                <w:b/>
                <w:color w:val="FFFFFF"/>
                <w:sz w:val="20"/>
              </w:rPr>
              <w:t>Scenario</w:t>
            </w:r>
          </w:p>
        </w:tc>
        <w:tc>
          <w:tcPr>
            <w:tcW w:type="dxa" w:w="1560"/>
            <w:shd w:val="clear" w:color="auto" w:fill="1F497D"/>
            <w:tcW w:w="1296" w:type="dxa"/>
          </w:tcPr>
          <w:p>
            <w:pPr>
              <w:jc w:val="center"/>
            </w:pPr>
            <w:r>
              <w:rPr>
                <w:rFonts w:ascii="Times New Roman" w:hAnsi="Times New Roman"/>
                <w:b/>
                <w:color w:val="FFFFFF"/>
                <w:sz w:val="20"/>
              </w:rPr>
              <w:t>GHG Basis</w:t>
            </w:r>
          </w:p>
        </w:tc>
        <w:tc>
          <w:tcPr>
            <w:tcW w:type="dxa" w:w="1560"/>
            <w:shd w:val="clear" w:color="auto" w:fill="1F497D"/>
            <w:tcW w:w="1440" w:type="dxa"/>
          </w:tcPr>
          <w:p>
            <w:pPr>
              <w:jc w:val="center"/>
            </w:pPr>
            <w:r>
              <w:rPr>
                <w:rFonts w:ascii="Times New Roman" w:hAnsi="Times New Roman"/>
                <w:b/>
                <w:color w:val="FFFFFF"/>
                <w:sz w:val="20"/>
              </w:rPr>
              <w:t>Carbon Price</w:t>
            </w:r>
          </w:p>
        </w:tc>
        <w:tc>
          <w:tcPr>
            <w:tcW w:type="dxa" w:w="1560"/>
            <w:shd w:val="clear" w:color="auto" w:fill="1F497D"/>
            <w:tcW w:w="1728" w:type="dxa"/>
          </w:tcPr>
          <w:p>
            <w:pPr>
              <w:jc w:val="center"/>
            </w:pPr>
            <w:r>
              <w:rPr>
                <w:rFonts w:ascii="Times New Roman" w:hAnsi="Times New Roman"/>
                <w:b/>
                <w:color w:val="FFFFFF"/>
                <w:sz w:val="20"/>
              </w:rPr>
              <w:t>MYS Full Cost</w:t>
            </w:r>
          </w:p>
        </w:tc>
        <w:tc>
          <w:tcPr>
            <w:tcW w:type="dxa" w:w="1560"/>
            <w:shd w:val="clear" w:color="auto" w:fill="1F497D"/>
            <w:tcW w:w="1584" w:type="dxa"/>
          </w:tcPr>
          <w:p>
            <w:pPr>
              <w:jc w:val="center"/>
            </w:pPr>
            <w:r>
              <w:rPr>
                <w:rFonts w:ascii="Times New Roman" w:hAnsi="Times New Roman"/>
                <w:b/>
                <w:color w:val="FFFFFF"/>
                <w:sz w:val="20"/>
              </w:rPr>
              <w:t>PHL Full Cost</w:t>
            </w:r>
          </w:p>
        </w:tc>
        <w:tc>
          <w:tcPr>
            <w:tcW w:type="dxa" w:w="1560"/>
            <w:shd w:val="clear" w:color="auto" w:fill="1F497D"/>
            <w:tcW w:w="2448" w:type="dxa"/>
          </w:tcPr>
          <w:p>
            <w:pPr>
              <w:jc w:val="center"/>
            </w:pPr>
            <w:r>
              <w:rPr>
                <w:rFonts w:ascii="Times New Roman" w:hAnsi="Times New Roman"/>
                <w:b/>
                <w:color w:val="FFFFFF"/>
                <w:sz w:val="20"/>
              </w:rPr>
              <w:t>Key Implication</w:t>
            </w:r>
          </w:p>
        </w:tc>
      </w:tr>
      <w:tr>
        <w:tc>
          <w:tcPr>
            <w:tcW w:type="dxa" w:w="1560"/>
            <w:shd w:val="clear" w:color="auto" w:fill="D9E2F3"/>
          </w:tcPr>
          <w:p>
            <w:pPr>
              <w:jc w:val="center"/>
            </w:pPr>
            <w:r>
              <w:rPr>
                <w:rFonts w:ascii="Times New Roman" w:hAnsi="Times New Roman"/>
                <w:sz w:val="20"/>
              </w:rPr>
              <w:t>Current Policies</w:t>
            </w:r>
          </w:p>
        </w:tc>
        <w:tc>
          <w:tcPr>
            <w:tcW w:type="dxa" w:w="1560"/>
            <w:shd w:val="clear" w:color="auto" w:fill="D9E2F3"/>
          </w:tcPr>
          <w:p>
            <w:pPr>
              <w:jc w:val="center"/>
            </w:pPr>
            <w:r>
              <w:rPr>
                <w:rFonts w:ascii="Times New Roman" w:hAnsi="Times New Roman"/>
                <w:sz w:val="20"/>
              </w:rPr>
              <w:t>—</w:t>
            </w:r>
          </w:p>
        </w:tc>
        <w:tc>
          <w:tcPr>
            <w:tcW w:type="dxa" w:w="1560"/>
            <w:shd w:val="clear" w:color="auto" w:fill="D9E2F3"/>
          </w:tcPr>
          <w:p>
            <w:pPr>
              <w:jc w:val="center"/>
            </w:pPr>
            <w:r>
              <w:rPr>
                <w:rFonts w:ascii="Times New Roman" w:hAnsi="Times New Roman"/>
                <w:sz w:val="20"/>
              </w:rPr>
              <w:t>USD 0/t</w:t>
            </w:r>
          </w:p>
        </w:tc>
        <w:tc>
          <w:tcPr>
            <w:tcW w:type="dxa" w:w="1560"/>
            <w:shd w:val="clear" w:color="auto" w:fill="D9E2F3"/>
          </w:tcPr>
          <w:p>
            <w:pPr>
              <w:jc w:val="center"/>
            </w:pPr>
            <w:r>
              <w:rPr>
                <w:rFonts w:ascii="Times New Roman" w:hAnsi="Times New Roman"/>
                <w:sz w:val="20"/>
              </w:rPr>
              <w:t>USD 0</w:t>
            </w:r>
          </w:p>
        </w:tc>
        <w:tc>
          <w:tcPr>
            <w:tcW w:type="dxa" w:w="1560"/>
            <w:shd w:val="clear" w:color="auto" w:fill="D9E2F3"/>
          </w:tcPr>
          <w:p>
            <w:pPr>
              <w:jc w:val="center"/>
            </w:pPr>
            <w:r>
              <w:rPr>
                <w:rFonts w:ascii="Times New Roman" w:hAnsi="Times New Roman"/>
                <w:sz w:val="20"/>
              </w:rPr>
              <w:t>USD 0</w:t>
            </w:r>
          </w:p>
        </w:tc>
        <w:tc>
          <w:tcPr>
            <w:tcW w:type="dxa" w:w="1560"/>
            <w:shd w:val="clear" w:color="auto" w:fill="D9E2F3"/>
          </w:tcPr>
          <w:p>
            <w:pPr>
              <w:jc w:val="center"/>
            </w:pPr>
            <w:r>
              <w:rPr>
                <w:rFonts w:ascii="Times New Roman" w:hAnsi="Times New Roman"/>
                <w:sz w:val="20"/>
              </w:rPr>
              <w:t>Reference</w:t>
            </w:r>
          </w:p>
        </w:tc>
      </w:tr>
      <w:tr>
        <w:tc>
          <w:tcPr>
            <w:tcW w:type="dxa" w:w="1560"/>
            <w:shd w:val="clear" w:color="auto" w:fill="FFFFFF"/>
          </w:tcPr>
          <w:p>
            <w:pPr>
              <w:jc w:val="center"/>
            </w:pPr>
            <w:r>
              <w:rPr>
                <w:rFonts w:ascii="Times New Roman" w:hAnsi="Times New Roman"/>
                <w:sz w:val="20"/>
              </w:rPr>
              <w:t>NZ2050 Baseline</w:t>
            </w:r>
          </w:p>
        </w:tc>
        <w:tc>
          <w:tcPr>
            <w:tcW w:type="dxa" w:w="1560"/>
            <w:shd w:val="clear" w:color="auto" w:fill="FFFFFF"/>
          </w:tcPr>
          <w:p>
            <w:pPr>
              <w:jc w:val="center"/>
            </w:pPr>
            <w:r>
              <w:rPr>
                <w:rFonts w:ascii="Times New Roman" w:hAnsi="Times New Roman"/>
                <w:sz w:val="20"/>
              </w:rPr>
              <w:t>2024 ARIMA</w:t>
            </w:r>
          </w:p>
        </w:tc>
        <w:tc>
          <w:tcPr>
            <w:tcW w:type="dxa" w:w="1560"/>
            <w:shd w:val="clear" w:color="auto" w:fill="FFFFFF"/>
          </w:tcPr>
          <w:p>
            <w:pPr>
              <w:jc w:val="center"/>
            </w:pPr>
            <w:r>
              <w:rPr>
                <w:rFonts w:ascii="Times New Roman" w:hAnsi="Times New Roman"/>
                <w:sz w:val="20"/>
              </w:rPr>
              <w:t>USD 55.578/t</w:t>
            </w:r>
          </w:p>
        </w:tc>
        <w:tc>
          <w:tcPr>
            <w:tcW w:type="dxa" w:w="1560"/>
            <w:shd w:val="clear" w:color="auto" w:fill="FFFFFF"/>
          </w:tcPr>
          <w:p>
            <w:pPr>
              <w:jc w:val="center"/>
            </w:pPr>
            <w:r>
              <w:rPr>
                <w:rFonts w:ascii="Times New Roman" w:hAnsi="Times New Roman"/>
                <w:sz w:val="20"/>
              </w:rPr>
              <w:t>USD 21.6bn/yr</w:t>
            </w:r>
          </w:p>
        </w:tc>
        <w:tc>
          <w:tcPr>
            <w:tcW w:type="dxa" w:w="1560"/>
            <w:shd w:val="clear" w:color="auto" w:fill="FFFFFF"/>
          </w:tcPr>
          <w:p>
            <w:pPr>
              <w:jc w:val="center"/>
            </w:pPr>
            <w:r>
              <w:rPr>
                <w:rFonts w:ascii="Times New Roman" w:hAnsi="Times New Roman"/>
                <w:sz w:val="20"/>
              </w:rPr>
              <w:t>USD 14.5bn/yr</w:t>
            </w:r>
          </w:p>
        </w:tc>
        <w:tc>
          <w:tcPr>
            <w:tcW w:type="dxa" w:w="1560"/>
            <w:shd w:val="clear" w:color="auto" w:fill="FFFFFF"/>
          </w:tcPr>
          <w:p>
            <w:pPr>
              <w:jc w:val="center"/>
            </w:pPr>
            <w:r>
              <w:rPr>
                <w:rFonts w:ascii="Times New Roman" w:hAnsi="Times New Roman"/>
                <w:sz w:val="20"/>
              </w:rPr>
              <w:t>Trigger year ~2027</w:t>
            </w:r>
          </w:p>
        </w:tc>
      </w:tr>
      <w:tr>
        <w:tc>
          <w:tcPr>
            <w:tcW w:type="dxa" w:w="1560"/>
            <w:shd w:val="clear" w:color="auto" w:fill="D9E2F3"/>
          </w:tcPr>
          <w:p>
            <w:pPr>
              <w:jc w:val="center"/>
            </w:pPr>
            <w:r>
              <w:rPr>
                <w:rFonts w:ascii="Times New Roman" w:hAnsi="Times New Roman"/>
                <w:sz w:val="20"/>
              </w:rPr>
              <w:t>NZ2050 Baseline</w:t>
            </w:r>
          </w:p>
        </w:tc>
        <w:tc>
          <w:tcPr>
            <w:tcW w:type="dxa" w:w="1560"/>
            <w:shd w:val="clear" w:color="auto" w:fill="D9E2F3"/>
          </w:tcPr>
          <w:p>
            <w:pPr>
              <w:jc w:val="center"/>
            </w:pPr>
            <w:r>
              <w:rPr>
                <w:rFonts w:ascii="Times New Roman" w:hAnsi="Times New Roman"/>
                <w:sz w:val="20"/>
              </w:rPr>
              <w:t>2030 ARIMA</w:t>
            </w:r>
          </w:p>
        </w:tc>
        <w:tc>
          <w:tcPr>
            <w:tcW w:type="dxa" w:w="1560"/>
            <w:shd w:val="clear" w:color="auto" w:fill="D9E2F3"/>
          </w:tcPr>
          <w:p>
            <w:pPr>
              <w:jc w:val="center"/>
            </w:pPr>
            <w:r>
              <w:rPr>
                <w:rFonts w:ascii="Times New Roman" w:hAnsi="Times New Roman"/>
                <w:sz w:val="20"/>
              </w:rPr>
              <w:t>USD 55.578/t</w:t>
            </w:r>
          </w:p>
        </w:tc>
        <w:tc>
          <w:tcPr>
            <w:tcW w:type="dxa" w:w="1560"/>
            <w:shd w:val="clear" w:color="auto" w:fill="D9E2F3"/>
          </w:tcPr>
          <w:p>
            <w:pPr>
              <w:jc w:val="center"/>
            </w:pPr>
            <w:r>
              <w:rPr>
                <w:rFonts w:ascii="Times New Roman" w:hAnsi="Times New Roman"/>
                <w:sz w:val="20"/>
              </w:rPr>
              <w:t>USD 23.8bn/yr</w:t>
            </w:r>
          </w:p>
        </w:tc>
        <w:tc>
          <w:tcPr>
            <w:tcW w:type="dxa" w:w="1560"/>
            <w:shd w:val="clear" w:color="auto" w:fill="D9E2F3"/>
          </w:tcPr>
          <w:p>
            <w:pPr>
              <w:jc w:val="center"/>
            </w:pPr>
            <w:r>
              <w:rPr>
                <w:rFonts w:ascii="Times New Roman" w:hAnsi="Times New Roman"/>
                <w:sz w:val="20"/>
              </w:rPr>
              <w:t>USD 15.9bn/yr</w:t>
            </w:r>
          </w:p>
        </w:tc>
        <w:tc>
          <w:tcPr>
            <w:tcW w:type="dxa" w:w="1560"/>
            <w:shd w:val="clear" w:color="auto" w:fill="D9E2F3"/>
          </w:tcPr>
          <w:p>
            <w:pPr>
              <w:jc w:val="center"/>
            </w:pPr>
            <w:r>
              <w:rPr>
                <w:rFonts w:ascii="Times New Roman" w:hAnsi="Times New Roman"/>
                <w:sz w:val="20"/>
              </w:rPr>
              <w:t>Forward 2030 exposure</w:t>
            </w:r>
          </w:p>
        </w:tc>
      </w:tr>
      <w:tr>
        <w:tc>
          <w:tcPr>
            <w:tcW w:type="dxa" w:w="1560"/>
            <w:shd w:val="clear" w:color="auto" w:fill="FFFFFF"/>
          </w:tcPr>
          <w:p>
            <w:pPr>
              <w:jc w:val="center"/>
            </w:pPr>
            <w:r>
              <w:rPr>
                <w:rFonts w:ascii="Times New Roman" w:hAnsi="Times New Roman"/>
                <w:sz w:val="20"/>
              </w:rPr>
              <w:t>NZ2050 × 2 Stress</w:t>
            </w:r>
          </w:p>
        </w:tc>
        <w:tc>
          <w:tcPr>
            <w:tcW w:type="dxa" w:w="1560"/>
            <w:shd w:val="clear" w:color="auto" w:fill="FFFFFF"/>
          </w:tcPr>
          <w:p>
            <w:pPr>
              <w:jc w:val="center"/>
            </w:pPr>
            <w:r>
              <w:rPr>
                <w:rFonts w:ascii="Times New Roman" w:hAnsi="Times New Roman"/>
                <w:sz w:val="20"/>
              </w:rPr>
              <w:t>2024 ARIMA</w:t>
            </w:r>
          </w:p>
        </w:tc>
        <w:tc>
          <w:tcPr>
            <w:tcW w:type="dxa" w:w="1560"/>
            <w:shd w:val="clear" w:color="auto" w:fill="FFFFFF"/>
          </w:tcPr>
          <w:p>
            <w:pPr>
              <w:jc w:val="center"/>
            </w:pPr>
            <w:r>
              <w:rPr>
                <w:rFonts w:ascii="Times New Roman" w:hAnsi="Times New Roman"/>
                <w:sz w:val="20"/>
              </w:rPr>
              <w:t>USD 111/t</w:t>
            </w:r>
          </w:p>
        </w:tc>
        <w:tc>
          <w:tcPr>
            <w:tcW w:type="dxa" w:w="1560"/>
            <w:shd w:val="clear" w:color="auto" w:fill="FFFFFF"/>
          </w:tcPr>
          <w:p>
            <w:pPr>
              <w:jc w:val="center"/>
            </w:pPr>
            <w:r>
              <w:rPr>
                <w:rFonts w:ascii="Times New Roman" w:hAnsi="Times New Roman"/>
                <w:sz w:val="20"/>
              </w:rPr>
              <w:t>USD 43.2bn/yr</w:t>
            </w:r>
          </w:p>
        </w:tc>
        <w:tc>
          <w:tcPr>
            <w:tcW w:type="dxa" w:w="1560"/>
            <w:shd w:val="clear" w:color="auto" w:fill="FFFFFF"/>
          </w:tcPr>
          <w:p>
            <w:pPr>
              <w:jc w:val="center"/>
            </w:pPr>
            <w:r>
              <w:rPr>
                <w:rFonts w:ascii="Times New Roman" w:hAnsi="Times New Roman"/>
                <w:sz w:val="20"/>
              </w:rPr>
              <w:t>USD 29.0bn/yr</w:t>
            </w:r>
          </w:p>
        </w:tc>
        <w:tc>
          <w:tcPr>
            <w:tcW w:type="dxa" w:w="1560"/>
            <w:shd w:val="clear" w:color="auto" w:fill="FFFFFF"/>
          </w:tcPr>
          <w:p>
            <w:pPr>
              <w:jc w:val="center"/>
            </w:pPr>
            <w:r>
              <w:rPr>
                <w:rFonts w:ascii="Times New Roman" w:hAnsi="Times New Roman"/>
                <w:sz w:val="20"/>
              </w:rPr>
              <w:t>Binding SEA capital constraint</w:t>
            </w:r>
          </w:p>
        </w:tc>
      </w:tr>
      <w:tr>
        <w:tc>
          <w:tcPr>
            <w:tcW w:type="dxa" w:w="1560"/>
            <w:shd w:val="clear" w:color="auto" w:fill="D9E2F3"/>
          </w:tcPr>
          <w:p>
            <w:pPr>
              <w:jc w:val="center"/>
            </w:pPr>
            <w:r>
              <w:rPr>
                <w:rFonts w:ascii="Times New Roman" w:hAnsi="Times New Roman"/>
                <w:sz w:val="20"/>
              </w:rPr>
              <w:t>NZ2050 × 2 Stress</w:t>
            </w:r>
          </w:p>
        </w:tc>
        <w:tc>
          <w:tcPr>
            <w:tcW w:type="dxa" w:w="1560"/>
            <w:shd w:val="clear" w:color="auto" w:fill="D9E2F3"/>
          </w:tcPr>
          <w:p>
            <w:pPr>
              <w:jc w:val="center"/>
            </w:pPr>
            <w:r>
              <w:rPr>
                <w:rFonts w:ascii="Times New Roman" w:hAnsi="Times New Roman"/>
                <w:sz w:val="20"/>
              </w:rPr>
              <w:t>2030 ARIMA</w:t>
            </w:r>
          </w:p>
        </w:tc>
        <w:tc>
          <w:tcPr>
            <w:tcW w:type="dxa" w:w="1560"/>
            <w:shd w:val="clear" w:color="auto" w:fill="D9E2F3"/>
          </w:tcPr>
          <w:p>
            <w:pPr>
              <w:jc w:val="center"/>
            </w:pPr>
            <w:r>
              <w:rPr>
                <w:rFonts w:ascii="Times New Roman" w:hAnsi="Times New Roman"/>
                <w:sz w:val="20"/>
              </w:rPr>
              <w:t>USD 111/t</w:t>
            </w:r>
          </w:p>
        </w:tc>
        <w:tc>
          <w:tcPr>
            <w:tcW w:type="dxa" w:w="1560"/>
            <w:shd w:val="clear" w:color="auto" w:fill="D9E2F3"/>
          </w:tcPr>
          <w:p>
            <w:pPr>
              <w:jc w:val="center"/>
            </w:pPr>
            <w:r>
              <w:rPr>
                <w:rFonts w:ascii="Times New Roman" w:hAnsi="Times New Roman"/>
                <w:sz w:val="20"/>
              </w:rPr>
              <w:t>USD 47.7bn/yr</w:t>
            </w:r>
          </w:p>
        </w:tc>
        <w:tc>
          <w:tcPr>
            <w:tcW w:type="dxa" w:w="1560"/>
            <w:shd w:val="clear" w:color="auto" w:fill="D9E2F3"/>
          </w:tcPr>
          <w:p>
            <w:pPr>
              <w:jc w:val="center"/>
            </w:pPr>
            <w:r>
              <w:rPr>
                <w:rFonts w:ascii="Times New Roman" w:hAnsi="Times New Roman"/>
                <w:sz w:val="20"/>
              </w:rPr>
              <w:t>USD 31.7bn/yr</w:t>
            </w:r>
          </w:p>
        </w:tc>
        <w:tc>
          <w:tcPr>
            <w:tcW w:type="dxa" w:w="1560"/>
            <w:shd w:val="clear" w:color="auto" w:fill="D9E2F3"/>
          </w:tcPr>
          <w:p>
            <w:pPr>
              <w:jc w:val="center"/>
            </w:pPr>
            <w:r>
              <w:rPr>
                <w:rFonts w:ascii="Times New Roman" w:hAnsi="Times New Roman"/>
                <w:sz w:val="20"/>
              </w:rPr>
              <w:t>Worst-case 2030 exposure</w:t>
            </w:r>
          </w:p>
        </w:tc>
      </w:tr>
      <w:tr>
        <w:tc>
          <w:tcPr>
            <w:tcW w:type="dxa" w:w="1560"/>
            <w:shd w:val="clear" w:color="auto" w:fill="FFFFFF"/>
          </w:tcPr>
          <w:p>
            <w:pPr>
              <w:jc w:val="center"/>
            </w:pPr>
            <w:r>
              <w:rPr>
                <w:rFonts w:ascii="Times New Roman" w:hAnsi="Times New Roman"/>
                <w:sz w:val="20"/>
              </w:rPr>
              <w:t>PELT uplift (additive)</w:t>
            </w:r>
          </w:p>
        </w:tc>
        <w:tc>
          <w:tcPr>
            <w:tcW w:type="dxa" w:w="1560"/>
            <w:shd w:val="clear" w:color="auto" w:fill="FFFFFF"/>
          </w:tcPr>
          <w:p>
            <w:pPr>
              <w:jc w:val="center"/>
            </w:pPr>
            <w:r>
              <w:rPr>
                <w:rFonts w:ascii="Times New Roman" w:hAnsi="Times New Roman"/>
                <w:sz w:val="20"/>
              </w:rPr>
              <w:t>—</w:t>
            </w:r>
          </w:p>
        </w:tc>
        <w:tc>
          <w:tcPr>
            <w:tcW w:type="dxa" w:w="1560"/>
            <w:shd w:val="clear" w:color="auto" w:fill="FFFFFF"/>
          </w:tcPr>
          <w:p>
            <w:pPr>
              <w:jc w:val="center"/>
            </w:pPr>
            <w:r>
              <w:rPr>
                <w:rFonts w:ascii="Times New Roman" w:hAnsi="Times New Roman"/>
                <w:sz w:val="20"/>
              </w:rPr>
              <w:t>—</w:t>
            </w:r>
          </w:p>
        </w:tc>
        <w:tc>
          <w:tcPr>
            <w:tcW w:type="dxa" w:w="1560"/>
            <w:shd w:val="clear" w:color="auto" w:fill="FFFFFF"/>
          </w:tcPr>
          <w:p>
            <w:pPr>
              <w:jc w:val="center"/>
            </w:pPr>
            <w:r>
              <w:rPr>
                <w:rFonts w:ascii="Times New Roman" w:hAnsi="Times New Roman"/>
                <w:sz w:val="20"/>
              </w:rPr>
              <w:t>+USD 1.3M/yr EAL</w:t>
            </w:r>
          </w:p>
        </w:tc>
        <w:tc>
          <w:tcPr>
            <w:tcW w:type="dxa" w:w="1560"/>
            <w:shd w:val="clear" w:color="auto" w:fill="FFFFFF"/>
          </w:tcPr>
          <w:p>
            <w:pPr>
              <w:jc w:val="center"/>
            </w:pPr>
            <w:r>
              <w:rPr>
                <w:rFonts w:ascii="Times New Roman" w:hAnsi="Times New Roman"/>
                <w:sz w:val="20"/>
              </w:rPr>
              <w:t>+USD 1.3M/yr EAL</w:t>
            </w:r>
          </w:p>
        </w:tc>
        <w:tc>
          <w:tcPr>
            <w:tcW w:type="dxa" w:w="1560"/>
            <w:shd w:val="clear" w:color="auto" w:fill="FFFFFF"/>
          </w:tcPr>
          <w:p>
            <w:pPr>
              <w:jc w:val="center"/>
            </w:pPr>
            <w:r>
              <w:rPr>
                <w:rFonts w:ascii="Times New Roman" w:hAnsi="Times New Roman"/>
                <w:sz w:val="20"/>
              </w:rPr>
              <w:t>Physical-only layer</w:t>
            </w:r>
          </w:p>
        </w:tc>
      </w:tr>
      <w:tr>
        <w:tc>
          <w:tcPr>
            <w:tcW w:type="dxa" w:w="1560"/>
            <w:shd w:val="clear" w:color="auto" w:fill="D9E2F3"/>
          </w:tcPr>
          <w:p>
            <w:pPr>
              <w:jc w:val="center"/>
            </w:pPr>
            <w:r>
              <w:rPr>
                <w:rFonts w:ascii="Times New Roman" w:hAnsi="Times New Roman"/>
                <w:sz w:val="20"/>
              </w:rPr>
              <w:t>La Niña copula (p99)</w:t>
            </w:r>
          </w:p>
        </w:tc>
        <w:tc>
          <w:tcPr>
            <w:tcW w:type="dxa" w:w="1560"/>
            <w:shd w:val="clear" w:color="auto" w:fill="D9E2F3"/>
          </w:tcPr>
          <w:p>
            <w:pPr>
              <w:jc w:val="center"/>
            </w:pPr>
            <w:r>
              <w:rPr>
                <w:rFonts w:ascii="Times New Roman" w:hAnsi="Times New Roman"/>
                <w:sz w:val="20"/>
              </w:rPr>
              <w:t>Gaussian rho=0.32</w:t>
            </w:r>
          </w:p>
        </w:tc>
        <w:tc>
          <w:tcPr>
            <w:tcW w:type="dxa" w:w="1560"/>
            <w:shd w:val="clear" w:color="auto" w:fill="D9E2F3"/>
          </w:tcPr>
          <w:p>
            <w:pPr>
              <w:jc w:val="center"/>
            </w:pPr>
            <w:r>
              <w:rPr>
                <w:rFonts w:ascii="Times New Roman" w:hAnsi="Times New Roman"/>
                <w:sz w:val="20"/>
              </w:rPr>
              <w:t>—</w:t>
            </w:r>
          </w:p>
        </w:tc>
        <w:tc>
          <w:tcPr>
            <w:tcW w:type="dxa" w:w="1560"/>
            <w:shd w:val="clear" w:color="auto" w:fill="D9E2F3"/>
          </w:tcPr>
          <w:p>
            <w:pPr>
              <w:jc w:val="center"/>
            </w:pPr>
            <w:r>
              <w:rPr>
                <w:rFonts w:ascii="Times New Roman" w:hAnsi="Times New Roman"/>
                <w:sz w:val="20"/>
              </w:rPr>
              <w:t>+USD 2.59M/yr</w:t>
            </w:r>
          </w:p>
        </w:tc>
        <w:tc>
          <w:tcPr>
            <w:tcW w:type="dxa" w:w="1560"/>
            <w:shd w:val="clear" w:color="auto" w:fill="D9E2F3"/>
          </w:tcPr>
          <w:p>
            <w:pPr>
              <w:jc w:val="center"/>
            </w:pPr>
            <w:r>
              <w:rPr>
                <w:rFonts w:ascii="Times New Roman" w:hAnsi="Times New Roman"/>
                <w:sz w:val="20"/>
              </w:rPr>
              <w:t>+USD 2.59M/yr</w:t>
            </w:r>
          </w:p>
        </w:tc>
        <w:tc>
          <w:tcPr>
            <w:tcW w:type="dxa" w:w="1560"/>
            <w:shd w:val="clear" w:color="auto" w:fill="D9E2F3"/>
          </w:tcPr>
          <w:p>
            <w:pPr>
              <w:jc w:val="center"/>
            </w:pPr>
            <w:r>
              <w:rPr>
                <w:rFonts w:ascii="Times New Roman" w:hAnsi="Times New Roman"/>
                <w:sz w:val="20"/>
              </w:rPr>
              <w:t>Audit trigger activated</w:t>
            </w:r>
          </w:p>
        </w:tc>
      </w:tr>
    </w:tbl>
    <w:p>
      <w:pPr>
        <w:spacing w:before="0" w:after="120"/>
        <w:jc w:val="both"/>
      </w:pPr>
    </w:p>
    <w:p>
      <w:pPr>
        <w:pStyle w:val="ListBullet"/>
        <w:spacing w:after="60"/>
        <w:jc w:val="both"/>
      </w:pPr>
      <w:r>
        <w:rPr>
          <w:rFonts w:ascii="Times New Roman" w:hAnsi="Times New Roman" w:cs="Times New Roman"/>
          <w:rFonts w:ascii="Times New Roman" w:hAnsi="Times New Roman"/>
          <w:b w:val="0"/>
          <w:i w:val="0"/>
          <w:sz w:val="24"/>
        </w:rPr>
        <w:t>Combined cost reaches USD 26.6bn/yr by 2030 — driven by price escalation, not emission growth.</w:t>
      </w:r>
    </w:p>
    <w:p>
      <w:pPr>
        <w:pStyle w:val="ListBullet"/>
        <w:spacing w:after="60"/>
        <w:jc w:val="both"/>
      </w:pPr>
      <w:r>
        <w:rPr>
          <w:rFonts w:ascii="Times New Roman" w:hAnsi="Times New Roman" w:cs="Times New Roman"/>
          <w:rFonts w:ascii="Times New Roman" w:hAnsi="Times New Roman"/>
          <w:b w:val="0"/>
          <w:i w:val="0"/>
          <w:sz w:val="24"/>
        </w:rPr>
        <w:t>HRe base-case gap (10% alloc.): USD 2.13bn/yr by 2030 vs USD 9.7M today — 220× amplification under unchanged pricing; trigger year ~2027.</w:t>
      </w:r>
    </w:p>
    <w:p>
      <w:pPr>
        <w:pStyle w:val="ListBullet"/>
        <w:spacing w:after="60"/>
        <w:jc w:val="both"/>
      </w:pPr>
      <w:r>
        <w:rPr>
          <w:rFonts w:ascii="Times New Roman" w:hAnsi="Times New Roman" w:cs="Times New Roman"/>
          <w:rFonts w:ascii="Times New Roman" w:hAnsi="Times New Roman"/>
          <w:b w:val="0"/>
          <w:i w:val="0"/>
          <w:sz w:val="24"/>
        </w:rPr>
        <w:t>2× carbon stress (USD 4.25bn/yr) triggers R4 Climate Warranty Clause; PELT layer (+USD 1.3M/yr) is additive.</w:t>
      </w:r>
    </w:p>
    <w:p>
      <w:r>
        <w:br w:type="page"/>
      </w:r>
    </w:p>
    <w:p>
      <w:pPr>
        <w:spacing w:before="240" w:after="120"/>
        <w:jc w:val="left"/>
      </w:pPr>
      <w:r>
        <w:rPr>
          <w:rFonts w:ascii="Times New Roman" w:hAnsi="Times New Roman" w:cs="Times New Roman"/>
          <w:rFonts w:ascii="Times New Roman" w:hAnsi="Times New Roman"/>
          <w:b/>
          <w:i w:val="0"/>
          <w:color w:val="1F497D"/>
          <w:sz w:val="28"/>
        </w:rPr>
        <w:t>8. Financial Impact – Hannover Re Reserve Implications</w:t>
      </w:r>
    </w:p>
    <w:p>
      <w:pPr>
        <w:spacing w:before="0" w:after="120"/>
        <w:jc w:val="both"/>
      </w:pPr>
      <w:r>
        <w:rPr>
          <w:rFonts w:ascii="Times New Roman" w:hAnsi="Times New Roman" w:cs="Times New Roman"/>
          <w:rFonts w:ascii="Times New Roman" w:hAnsi="Times New Roman"/>
          <w:b w:val="0"/>
          <w:i w:val="0"/>
          <w:sz w:val="24"/>
        </w:rPr>
        <w:t>Reserve estimates are calibrated from HRe 2023 Annual Report (8% APAC share), Swiss Re Sigma 1/2024 (50% SEA attachment), and BNM/BSP data (3–10% sub-book alloc.). Range USD 3.4M (floor) – USD 9.7M (central) – USD 18.6M (stress) is driven by PT rate (+/-2pp) and GEV CI (+/-44.5pp PHL). The width is the quantitative case for R5: cedant triangles + CHIRPS grids are estimated to narrow the range ~60% within 12 months.</w:t>
      </w:r>
    </w:p>
    <w:p>
      <w:pPr>
        <w:spacing w:before="240" w:after="120"/>
        <w:jc w:val="left"/>
      </w:pPr>
      <w:r>
        <w:rPr>
          <w:rFonts w:ascii="Times New Roman" w:hAnsi="Times New Roman" w:cs="Times New Roman"/>
          <w:rFonts w:ascii="Times New Roman" w:hAnsi="Times New Roman"/>
          <w:b/>
          <w:i w:val="0"/>
          <w:color w:val="1F497D"/>
          <w:sz w:val="24"/>
        </w:rPr>
        <w:t>8.1 HRe Reserve Gap – Three-Tier Framing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3168" w:type="dxa"/>
          </w:tcPr>
          <w:p>
            <w:pPr>
              <w:jc w:val="center"/>
            </w:pPr>
            <w:r>
              <w:rPr>
                <w:rFonts w:ascii="Times New Roman" w:hAnsi="Times New Roman"/>
                <w:b/>
                <w:color w:val="FFFFFF"/>
                <w:sz w:val="20"/>
              </w:rPr>
              <w:t>Reserve Tier</w:t>
            </w:r>
          </w:p>
        </w:tc>
        <w:tc>
          <w:tcPr>
            <w:tcW w:type="dxa" w:w="3120"/>
            <w:shd w:val="clear" w:color="auto" w:fill="1F497D"/>
            <w:tcW w:w="1872" w:type="dxa"/>
          </w:tcPr>
          <w:p>
            <w:pPr>
              <w:jc w:val="center"/>
            </w:pPr>
            <w:r>
              <w:rPr>
                <w:rFonts w:ascii="Times New Roman" w:hAnsi="Times New Roman"/>
                <w:b/>
                <w:color w:val="FFFFFF"/>
                <w:sz w:val="20"/>
              </w:rPr>
              <w:t>Annual Estimate</w:t>
            </w:r>
          </w:p>
        </w:tc>
        <w:tc>
          <w:tcPr>
            <w:tcW w:type="dxa" w:w="3120"/>
            <w:shd w:val="clear" w:color="auto" w:fill="1F497D"/>
            <w:tcW w:w="4031" w:type="dxa"/>
          </w:tcPr>
          <w:p>
            <w:pPr>
              <w:jc w:val="center"/>
            </w:pPr>
            <w:r>
              <w:rPr>
                <w:rFonts w:ascii="Times New Roman" w:hAnsi="Times New Roman"/>
                <w:b/>
                <w:color w:val="FFFFFF"/>
                <w:sz w:val="20"/>
              </w:rPr>
              <w:t>Key Drivers</w:t>
            </w:r>
          </w:p>
        </w:tc>
      </w:tr>
      <w:tr>
        <w:tc>
          <w:tcPr>
            <w:tcW w:type="dxa" w:w="3120"/>
            <w:shd w:val="clear" w:color="auto" w:fill="D9E2F3"/>
          </w:tcPr>
          <w:p>
            <w:pPr>
              <w:jc w:val="center"/>
            </w:pPr>
            <w:r>
              <w:rPr>
                <w:rFonts w:ascii="Times New Roman" w:hAnsi="Times New Roman"/>
                <w:sz w:val="20"/>
              </w:rPr>
              <w:t>FLOOR (3% SEA alloc., baseline C)</w:t>
            </w:r>
          </w:p>
        </w:tc>
        <w:tc>
          <w:tcPr>
            <w:tcW w:type="dxa" w:w="3120"/>
            <w:shd w:val="clear" w:color="auto" w:fill="D9E2F3"/>
          </w:tcPr>
          <w:p>
            <w:pPr>
              <w:jc w:val="center"/>
            </w:pPr>
            <w:r>
              <w:rPr>
                <w:rFonts w:ascii="Times New Roman" w:hAnsi="Times New Roman"/>
                <w:sz w:val="20"/>
              </w:rPr>
              <w:t>USD 3.4M/yr</w:t>
            </w:r>
          </w:p>
        </w:tc>
        <w:tc>
          <w:tcPr>
            <w:tcW w:type="dxa" w:w="3120"/>
            <w:shd w:val="clear" w:color="auto" w:fill="D9E2F3"/>
          </w:tcPr>
          <w:p>
            <w:pPr>
              <w:jc w:val="center"/>
            </w:pPr>
            <w:r>
              <w:rPr>
                <w:rFonts w:ascii="Times New Roman" w:hAnsi="Times New Roman"/>
                <w:sz w:val="20"/>
              </w:rPr>
              <w:t>Conservative: 3% alloc. × 3% PT × baseline carbon; physical EAL floor only</w:t>
            </w:r>
          </w:p>
        </w:tc>
      </w:tr>
      <w:tr>
        <w:tc>
          <w:tcPr>
            <w:tcW w:type="dxa" w:w="3120"/>
            <w:shd w:val="clear" w:color="auto" w:fill="FFFFFF"/>
          </w:tcPr>
          <w:p>
            <w:pPr>
              <w:jc w:val="center"/>
            </w:pPr>
            <w:r>
              <w:rPr>
                <w:rFonts w:ascii="Times New Roman" w:hAnsi="Times New Roman"/>
                <w:sz w:val="20"/>
              </w:rPr>
              <w:t>CENTRAL ESTIMATE (10% alloc.)</w:t>
            </w:r>
          </w:p>
        </w:tc>
        <w:tc>
          <w:tcPr>
            <w:tcW w:type="dxa" w:w="3120"/>
            <w:shd w:val="clear" w:color="auto" w:fill="FFFFFF"/>
          </w:tcPr>
          <w:p>
            <w:pPr>
              <w:jc w:val="center"/>
            </w:pPr>
            <w:r>
              <w:rPr>
                <w:rFonts w:ascii="Times New Roman" w:hAnsi="Times New Roman"/>
                <w:sz w:val="20"/>
              </w:rPr>
              <w:t>USD 9.7M/yr</w:t>
            </w:r>
          </w:p>
        </w:tc>
        <w:tc>
          <w:tcPr>
            <w:tcW w:type="dxa" w:w="3120"/>
            <w:shd w:val="clear" w:color="auto" w:fill="FFFFFF"/>
          </w:tcPr>
          <w:p>
            <w:pPr>
              <w:jc w:val="center"/>
            </w:pPr>
            <w:r>
              <w:rPr>
                <w:rFonts w:ascii="Times New Roman" w:hAnsi="Times New Roman"/>
                <w:sz w:val="20"/>
              </w:rPr>
              <w:t>Base case: 10% alloc. × 3% PT × NZ2050 baseline; primary HRe planning figure</w:t>
            </w:r>
          </w:p>
        </w:tc>
      </w:tr>
      <w:tr>
        <w:tc>
          <w:tcPr>
            <w:tcW w:type="dxa" w:w="3120"/>
            <w:shd w:val="clear" w:color="auto" w:fill="D9E2F3"/>
          </w:tcPr>
          <w:p>
            <w:pPr>
              <w:jc w:val="center"/>
            </w:pPr>
            <w:r>
              <w:rPr>
                <w:rFonts w:ascii="Times New Roman" w:hAnsi="Times New Roman"/>
                <w:sz w:val="20"/>
              </w:rPr>
              <w:t>STRESS (10% alloc., 2× carbon)</w:t>
            </w:r>
          </w:p>
        </w:tc>
        <w:tc>
          <w:tcPr>
            <w:tcW w:type="dxa" w:w="3120"/>
            <w:shd w:val="clear" w:color="auto" w:fill="D9E2F3"/>
          </w:tcPr>
          <w:p>
            <w:pPr>
              <w:jc w:val="center"/>
            </w:pPr>
            <w:r>
              <w:rPr>
                <w:rFonts w:ascii="Times New Roman" w:hAnsi="Times New Roman"/>
                <w:sz w:val="20"/>
              </w:rPr>
              <w:t>USD 18.6M/yr</w:t>
            </w:r>
          </w:p>
        </w:tc>
        <w:tc>
          <w:tcPr>
            <w:tcW w:type="dxa" w:w="3120"/>
            <w:shd w:val="clear" w:color="auto" w:fill="D9E2F3"/>
          </w:tcPr>
          <w:p>
            <w:pPr>
              <w:jc w:val="center"/>
            </w:pPr>
            <w:r>
              <w:rPr>
                <w:rFonts w:ascii="Times New Roman" w:hAnsi="Times New Roman"/>
                <w:sz w:val="20"/>
              </w:rPr>
              <w:t>2× carbon price; triggers mandatory treaty repricing and R4 clause activation</w:t>
            </w:r>
          </w:p>
        </w:tc>
      </w:tr>
      <w:tr>
        <w:tc>
          <w:tcPr>
            <w:tcW w:type="dxa" w:w="3120"/>
            <w:shd w:val="clear" w:color="auto" w:fill="FFFFFF"/>
          </w:tcPr>
          <w:p>
            <w:pPr>
              <w:jc w:val="center"/>
            </w:pPr>
            <w:r>
              <w:rPr>
                <w:rFonts w:ascii="Times New Roman" w:hAnsi="Times New Roman"/>
                <w:sz w:val="20"/>
              </w:rPr>
              <w:t>p99 La Niña gap (additive)</w:t>
            </w:r>
          </w:p>
        </w:tc>
        <w:tc>
          <w:tcPr>
            <w:tcW w:type="dxa" w:w="3120"/>
            <w:shd w:val="clear" w:color="auto" w:fill="FFFFFF"/>
          </w:tcPr>
          <w:p>
            <w:pPr>
              <w:jc w:val="center"/>
            </w:pPr>
            <w:r>
              <w:rPr>
                <w:rFonts w:ascii="Times New Roman" w:hAnsi="Times New Roman"/>
                <w:sz w:val="20"/>
              </w:rPr>
              <w:t>+USD 2.6M/yr</w:t>
            </w:r>
          </w:p>
        </w:tc>
        <w:tc>
          <w:tcPr>
            <w:tcW w:type="dxa" w:w="3120"/>
            <w:shd w:val="clear" w:color="auto" w:fill="FFFFFF"/>
          </w:tcPr>
          <w:p>
            <w:pPr>
              <w:jc w:val="center"/>
            </w:pPr>
            <w:r>
              <w:rPr>
                <w:rFonts w:ascii="Times New Roman" w:hAnsi="Times New Roman"/>
                <w:sz w:val="20"/>
              </w:rPr>
              <w:t>Gaussian copula rho=0.32 activated; added to central estimate in stress budget</w:t>
            </w:r>
          </w:p>
        </w:tc>
      </w:tr>
      <w:tr>
        <w:tc>
          <w:tcPr>
            <w:tcW w:type="dxa" w:w="3120"/>
            <w:shd w:val="clear" w:color="auto" w:fill="D9E2F3"/>
          </w:tcPr>
          <w:p>
            <w:pPr>
              <w:jc w:val="center"/>
            </w:pPr>
            <w:r>
              <w:rPr>
                <w:rFonts w:ascii="Times New Roman" w:hAnsi="Times New Roman"/>
                <w:sz w:val="20"/>
              </w:rPr>
              <w:t>Physical EAL component (constant)</w:t>
            </w:r>
          </w:p>
        </w:tc>
        <w:tc>
          <w:tcPr>
            <w:tcW w:type="dxa" w:w="3120"/>
            <w:shd w:val="clear" w:color="auto" w:fill="D9E2F3"/>
          </w:tcPr>
          <w:p>
            <w:pPr>
              <w:jc w:val="center"/>
            </w:pPr>
            <w:r>
              <w:rPr>
                <w:rFonts w:ascii="Times New Roman" w:hAnsi="Times New Roman"/>
                <w:sz w:val="20"/>
              </w:rPr>
              <w:t>USD 0.74M/yr</w:t>
            </w:r>
          </w:p>
        </w:tc>
        <w:tc>
          <w:tcPr>
            <w:tcW w:type="dxa" w:w="3120"/>
            <w:shd w:val="clear" w:color="auto" w:fill="D9E2F3"/>
          </w:tcPr>
          <w:p>
            <w:pPr>
              <w:jc w:val="center"/>
            </w:pPr>
            <w:r>
              <w:rPr>
                <w:rFonts w:ascii="Times New Roman" w:hAnsi="Times New Roman"/>
                <w:sz w:val="20"/>
              </w:rPr>
              <w:t>GEV-PELT uplift across MYS+PHL; independent of carbon price trajectory</w:t>
            </w:r>
          </w:p>
        </w:tc>
      </w:tr>
      <w:tr>
        <w:tc>
          <w:tcPr>
            <w:tcW w:type="dxa" w:w="3120"/>
            <w:shd w:val="clear" w:color="auto" w:fill="FFFFFF"/>
          </w:tcPr>
          <w:p>
            <w:pPr>
              <w:jc w:val="center"/>
            </w:pPr>
            <w:r>
              <w:rPr>
                <w:rFonts w:ascii="Times New Roman" w:hAnsi="Times New Roman"/>
                <w:sz w:val="20"/>
              </w:rPr>
              <w:t>R5 target range (post-procurement)</w:t>
            </w:r>
          </w:p>
        </w:tc>
        <w:tc>
          <w:tcPr>
            <w:tcW w:type="dxa" w:w="3120"/>
            <w:shd w:val="clear" w:color="auto" w:fill="FFFFFF"/>
          </w:tcPr>
          <w:p>
            <w:pPr>
              <w:jc w:val="center"/>
            </w:pPr>
            <w:r>
              <w:rPr>
                <w:rFonts w:ascii="Times New Roman" w:hAnsi="Times New Roman"/>
                <w:sz w:val="20"/>
              </w:rPr>
              <w:t>USD 7.5–11.8M/yr</w:t>
            </w:r>
          </w:p>
        </w:tc>
        <w:tc>
          <w:tcPr>
            <w:tcW w:type="dxa" w:w="3120"/>
            <w:shd w:val="clear" w:color="auto" w:fill="FFFFFF"/>
          </w:tcPr>
          <w:p>
            <w:pPr>
              <w:jc w:val="center"/>
            </w:pPr>
            <w:r>
              <w:rPr>
                <w:rFonts w:ascii="Times New Roman" w:hAnsi="Times New Roman"/>
                <w:sz w:val="20"/>
              </w:rPr>
              <w:t>After cedant triangles + CHIRPS grids narrow GEV CI by ~60%</w:t>
            </w:r>
          </w:p>
        </w:tc>
      </w:tr>
    </w:tbl>
    <w:p>
      <w:pPr>
        <w:spacing w:before="0" w:after="160"/>
        <w:jc w:val="center"/>
      </w:pPr>
      <w:r>
        <w:rPr>
          <w:rFonts w:ascii="Times New Roman" w:hAnsi="Times New Roman" w:cs="Times New Roman"/>
          <w:rFonts w:ascii="Times New Roman" w:hAnsi="Times New Roman"/>
          <w:b w:val="0"/>
          <w:i/>
          <w:sz w:val="20"/>
        </w:rPr>
        <w:t>Table 9 – HRe annual reserve gap: three-tier framing. The width of the range is the quantitative case for R5.</w:t>
      </w:r>
    </w:p>
    <w:p>
      <w:pPr>
        <w:spacing w:before="240" w:after="120"/>
        <w:jc w:val="left"/>
      </w:pPr>
      <w:r>
        <w:rPr>
          <w:rFonts w:ascii="Times New Roman" w:hAnsi="Times New Roman" w:cs="Times New Roman"/>
          <w:rFonts w:ascii="Times New Roman" w:hAnsi="Times New Roman"/>
          <w:b/>
          <w:i w:val="0"/>
          <w:color w:val="1F497D"/>
          <w:sz w:val="24"/>
        </w:rPr>
        <w:t>8.2 Reserve Gap Sensitivity Heatmap</w:t>
      </w:r>
    </w:p>
    <w:p>
      <w:pPr>
        <w:jc w:val="center"/>
      </w:pPr>
      <w:r>
        <w:drawing>
          <wp:inline xmlns:a="http://schemas.openxmlformats.org/drawingml/2006/main" xmlns:pic="http://schemas.openxmlformats.org/drawingml/2006/picture">
            <wp:extent cx="5852160" cy="4125615"/>
            <wp:docPr id="14" name="Picture 14"/>
            <wp:cNvGraphicFramePr>
              <a:graphicFrameLocks noChangeAspect="1"/>
            </wp:cNvGraphicFramePr>
            <a:graphic>
              <a:graphicData uri="http://schemas.openxmlformats.org/drawingml/2006/picture">
                <pic:pic>
                  <pic:nvPicPr>
                    <pic:cNvPr id="0" name="r_heatmap_reserve_gap.png"/>
                    <pic:cNvPicPr/>
                  </pic:nvPicPr>
                  <pic:blipFill>
                    <a:blip r:embed="rId22"/>
                    <a:stretch>
                      <a:fillRect/>
                    </a:stretch>
                  </pic:blipFill>
                  <pic:spPr>
                    <a:xfrm>
                      <a:off x="0" y="0"/>
                      <a:ext cx="5852160" cy="4125615"/>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8 – HRe SEA reserve gap as a function of carbon price and pass-through rate. Dashed contours: Floor $3.4M / Central $9.7M / Stress $18.6M. Red zone: binding capital constraint (&gt;$18.6M). Trigger point ~2027 marked.</w:t>
      </w:r>
    </w:p>
    <w:p>
      <w:pPr>
        <w:spacing w:before="0" w:after="120"/>
        <w:jc w:val="both"/>
      </w:pPr>
      <w:r>
        <w:rPr>
          <w:rFonts w:ascii="Times New Roman" w:hAnsi="Times New Roman" w:cs="Times New Roman"/>
          <w:rFonts w:ascii="Times New Roman" w:hAnsi="Times New Roman"/>
          <w:b w:val="0"/>
          <w:i w:val="0"/>
          <w:sz w:val="24"/>
        </w:rPr>
        <w:t>The trigger point (~2027) marks where the NZ2050 path at 3% PT crosses the stress threshold (USD 102/t) — two years before 2030, making treaty repricing inevitable.</w:t>
      </w:r>
    </w:p>
    <w:p>
      <w:pPr>
        <w:spacing w:before="240" w:after="120"/>
        <w:jc w:val="left"/>
      </w:pPr>
      <w:r>
        <w:rPr>
          <w:rFonts w:ascii="Times New Roman" w:hAnsi="Times New Roman" w:cs="Times New Roman"/>
          <w:rFonts w:ascii="Times New Roman" w:hAnsi="Times New Roman"/>
          <w:b/>
          <w:i w:val="0"/>
          <w:color w:val="1F497D"/>
          <w:sz w:val="24"/>
        </w:rPr>
        <w:t>8.3 Insurance Penetration Gap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W w:w="1440" w:type="dxa"/>
          </w:tcPr>
          <w:p>
            <w:pPr>
              <w:jc w:val="center"/>
            </w:pPr>
            <w:r>
              <w:rPr>
                <w:rFonts w:ascii="Times New Roman" w:hAnsi="Times New Roman"/>
                <w:b/>
                <w:color w:val="FFFFFF"/>
                <w:sz w:val="20"/>
              </w:rPr>
              <w:t>Country</w:t>
            </w:r>
          </w:p>
        </w:tc>
        <w:tc>
          <w:tcPr>
            <w:tcW w:type="dxa" w:w="1872"/>
            <w:shd w:val="clear" w:color="auto" w:fill="1F497D"/>
            <w:tcW w:w="1296" w:type="dxa"/>
          </w:tcPr>
          <w:p>
            <w:pPr>
              <w:jc w:val="center"/>
            </w:pPr>
            <w:r>
              <w:rPr>
                <w:rFonts w:ascii="Times New Roman" w:hAnsi="Times New Roman"/>
                <w:b/>
                <w:color w:val="FFFFFF"/>
                <w:sz w:val="20"/>
              </w:rPr>
              <w:t>Penetration</w:t>
            </w:r>
          </w:p>
        </w:tc>
        <w:tc>
          <w:tcPr>
            <w:tcW w:type="dxa" w:w="1872"/>
            <w:shd w:val="clear" w:color="auto" w:fill="1F497D"/>
            <w:tcW w:w="1584" w:type="dxa"/>
          </w:tcPr>
          <w:p>
            <w:pPr>
              <w:jc w:val="center"/>
            </w:pPr>
            <w:r>
              <w:rPr>
                <w:rFonts w:ascii="Times New Roman" w:hAnsi="Times New Roman"/>
                <w:b/>
                <w:color w:val="FFFFFF"/>
                <w:sz w:val="20"/>
              </w:rPr>
              <w:t>Economic Gap/yr</w:t>
            </w:r>
          </w:p>
        </w:tc>
        <w:tc>
          <w:tcPr>
            <w:tcW w:type="dxa" w:w="1872"/>
            <w:shd w:val="clear" w:color="auto" w:fill="1F497D"/>
            <w:tcW w:w="1872" w:type="dxa"/>
          </w:tcPr>
          <w:p>
            <w:pPr>
              <w:jc w:val="center"/>
            </w:pPr>
            <w:r>
              <w:rPr>
                <w:rFonts w:ascii="Times New Roman" w:hAnsi="Times New Roman"/>
                <w:b/>
                <w:color w:val="FFFFFF"/>
                <w:sz w:val="20"/>
              </w:rPr>
              <w:t>Insured Gap Range</w:t>
            </w:r>
          </w:p>
        </w:tc>
        <w:tc>
          <w:tcPr>
            <w:tcW w:type="dxa" w:w="1872"/>
            <w:shd w:val="clear" w:color="auto" w:fill="1F497D"/>
            <w:tcW w:w="2880" w:type="dxa"/>
          </w:tcPr>
          <w:p>
            <w:pPr>
              <w:jc w:val="center"/>
            </w:pPr>
            <w:r>
              <w:rPr>
                <w:rFonts w:ascii="Times New Roman" w:hAnsi="Times New Roman"/>
                <w:b/>
                <w:color w:val="FFFFFF"/>
                <w:sz w:val="20"/>
              </w:rPr>
              <w:t>Treaty Implication</w:t>
            </w:r>
          </w:p>
        </w:tc>
      </w:tr>
      <w:tr>
        <w:tc>
          <w:tcPr>
            <w:tcW w:type="dxa" w:w="1872"/>
            <w:shd w:val="clear" w:color="auto" w:fill="D9E2F3"/>
          </w:tcPr>
          <w:p>
            <w:pPr>
              <w:jc w:val="center"/>
            </w:pPr>
            <w:r>
              <w:rPr>
                <w:rFonts w:ascii="Times New Roman" w:hAnsi="Times New Roman"/>
                <w:sz w:val="20"/>
              </w:rPr>
              <w:t>Malaysia</w:t>
            </w:r>
          </w:p>
        </w:tc>
        <w:tc>
          <w:tcPr>
            <w:tcW w:type="dxa" w:w="1872"/>
            <w:shd w:val="clear" w:color="auto" w:fill="D9E2F3"/>
          </w:tcPr>
          <w:p>
            <w:pPr>
              <w:jc w:val="center"/>
            </w:pPr>
            <w:r>
              <w:rPr>
                <w:rFonts w:ascii="Times New Roman" w:hAnsi="Times New Roman"/>
                <w:sz w:val="20"/>
              </w:rPr>
              <w:t>~15%</w:t>
            </w:r>
          </w:p>
        </w:tc>
        <w:tc>
          <w:tcPr>
            <w:tcW w:type="dxa" w:w="1872"/>
            <w:shd w:val="clear" w:color="auto" w:fill="D9E2F3"/>
          </w:tcPr>
          <w:p>
            <w:pPr>
              <w:jc w:val="center"/>
            </w:pPr>
            <w:r>
              <w:rPr>
                <w:rFonts w:ascii="Times New Roman" w:hAnsi="Times New Roman"/>
                <w:sz w:val="20"/>
              </w:rPr>
              <w:t>USD 6.5M</w:t>
            </w:r>
          </w:p>
        </w:tc>
        <w:tc>
          <w:tcPr>
            <w:tcW w:type="dxa" w:w="1872"/>
            <w:shd w:val="clear" w:color="auto" w:fill="D9E2F3"/>
          </w:tcPr>
          <w:p>
            <w:pPr>
              <w:jc w:val="center"/>
            </w:pPr>
            <w:r>
              <w:rPr>
                <w:rFonts w:ascii="Times New Roman" w:hAnsi="Times New Roman"/>
                <w:sz w:val="20"/>
              </w:rPr>
              <w:t>USD 0.65–1.30M</w:t>
            </w:r>
          </w:p>
        </w:tc>
        <w:tc>
          <w:tcPr>
            <w:tcW w:type="dxa" w:w="1872"/>
            <w:shd w:val="clear" w:color="auto" w:fill="D9E2F3"/>
          </w:tcPr>
          <w:p>
            <w:pPr>
              <w:jc w:val="center"/>
            </w:pPr>
            <w:r>
              <w:rPr>
                <w:rFonts w:ascii="Times New Roman" w:hAnsi="Times New Roman"/>
                <w:sz w:val="20"/>
              </w:rPr>
              <w:t>EAL understated +5.87%</w:t>
            </w:r>
          </w:p>
        </w:tc>
      </w:tr>
      <w:tr>
        <w:tc>
          <w:tcPr>
            <w:tcW w:type="dxa" w:w="1872"/>
            <w:shd w:val="clear" w:color="auto" w:fill="FFFFFF"/>
          </w:tcPr>
          <w:p>
            <w:pPr>
              <w:jc w:val="center"/>
            </w:pPr>
            <w:r>
              <w:rPr>
                <w:rFonts w:ascii="Times New Roman" w:hAnsi="Times New Roman"/>
                <w:sz w:val="20"/>
              </w:rPr>
              <w:t>Philippines</w:t>
            </w:r>
          </w:p>
        </w:tc>
        <w:tc>
          <w:tcPr>
            <w:tcW w:type="dxa" w:w="1872"/>
            <w:shd w:val="clear" w:color="auto" w:fill="FFFFFF"/>
          </w:tcPr>
          <w:p>
            <w:pPr>
              <w:jc w:val="center"/>
            </w:pPr>
            <w:r>
              <w:rPr>
                <w:rFonts w:ascii="Times New Roman" w:hAnsi="Times New Roman"/>
                <w:sz w:val="20"/>
              </w:rPr>
              <w:t>~8%</w:t>
            </w:r>
          </w:p>
        </w:tc>
        <w:tc>
          <w:tcPr>
            <w:tcW w:type="dxa" w:w="1872"/>
            <w:shd w:val="clear" w:color="auto" w:fill="FFFFFF"/>
          </w:tcPr>
          <w:p>
            <w:pPr>
              <w:jc w:val="center"/>
            </w:pPr>
            <w:r>
              <w:rPr>
                <w:rFonts w:ascii="Times New Roman" w:hAnsi="Times New Roman"/>
                <w:sz w:val="20"/>
              </w:rPr>
              <w:t>USD 11.9M</w:t>
            </w:r>
          </w:p>
        </w:tc>
        <w:tc>
          <w:tcPr>
            <w:tcW w:type="dxa" w:w="1872"/>
            <w:shd w:val="clear" w:color="auto" w:fill="FFFFFF"/>
          </w:tcPr>
          <w:p>
            <w:pPr>
              <w:jc w:val="center"/>
            </w:pPr>
            <w:r>
              <w:rPr>
                <w:rFonts w:ascii="Times New Roman" w:hAnsi="Times New Roman"/>
                <w:sz w:val="20"/>
              </w:rPr>
              <w:t>USD 0.59–1.78M</w:t>
            </w:r>
          </w:p>
        </w:tc>
        <w:tc>
          <w:tcPr>
            <w:tcW w:type="dxa" w:w="1872"/>
            <w:shd w:val="clear" w:color="auto" w:fill="FFFFFF"/>
          </w:tcPr>
          <w:p>
            <w:pPr>
              <w:jc w:val="center"/>
            </w:pPr>
            <w:r>
              <w:rPr>
                <w:rFonts w:ascii="Times New Roman" w:hAnsi="Times New Roman"/>
                <w:sz w:val="20"/>
              </w:rPr>
              <w:t>EAL understated +1.28%</w:t>
            </w:r>
          </w:p>
        </w:tc>
      </w:tr>
    </w:tbl>
    <w:p>
      <w:pPr>
        <w:spacing w:before="0" w:after="120"/>
        <w:jc w:val="both"/>
      </w:pPr>
    </w:p>
    <w:p>
      <w:r>
        <w:br w:type="page"/>
      </w:r>
    </w:p>
    <w:p>
      <w:pPr>
        <w:spacing w:before="240" w:after="120"/>
        <w:jc w:val="left"/>
      </w:pPr>
      <w:r>
        <w:rPr>
          <w:rFonts w:ascii="Times New Roman" w:hAnsi="Times New Roman" w:cs="Times New Roman"/>
          <w:rFonts w:ascii="Times New Roman" w:hAnsi="Times New Roman"/>
          <w:b/>
          <w:i w:val="0"/>
          <w:color w:val="1F497D"/>
          <w:sz w:val="28"/>
        </w:rPr>
        <w:t>9. Strategic Risk Management Recommendations</w:t>
      </w:r>
    </w:p>
    <w:p>
      <w:pPr>
        <w:spacing w:before="0" w:after="120"/>
        <w:jc w:val="both"/>
      </w:pPr>
      <w:r>
        <w:rPr>
          <w:rFonts w:ascii="Times New Roman" w:hAnsi="Times New Roman" w:cs="Times New Roman"/>
          <w:rFonts w:ascii="Times New Roman" w:hAnsi="Times New Roman"/>
          <w:b w:val="0"/>
          <w:i w:val="0"/>
          <w:sz w:val="24"/>
        </w:rPr>
        <w:t>Five recommendations ordered by immediacy: R1, R2 at next renewal; R3 NOAA monitoring; R4 clause drafting; R5 (12 mo) narrows reserve band USD 15.2M → USD 6.1M (subject to triangle structure).</w:t>
      </w:r>
    </w:p>
    <w:p>
      <w:pPr>
        <w:spacing w:before="240" w:after="120"/>
        <w:jc w:val="left"/>
      </w:pPr>
      <w:r>
        <w:rPr>
          <w:rFonts w:ascii="Times New Roman" w:hAnsi="Times New Roman" w:cs="Times New Roman"/>
          <w:rFonts w:ascii="Times New Roman" w:hAnsi="Times New Roman"/>
          <w:b/>
          <w:i w:val="0"/>
          <w:color w:val="C00000"/>
          <w:sz w:val="24"/>
        </w:rPr>
        <w:t>R1 – EAL-Calibrated Flood Loading (Implement at next renewal)</w:t>
      </w:r>
    </w:p>
    <w:p>
      <w:pPr>
        <w:spacing w:before="0" w:after="120"/>
        <w:jc w:val="both"/>
      </w:pPr>
      <w:r>
        <w:rPr>
          <w:rFonts w:ascii="Times New Roman" w:hAnsi="Times New Roman" w:cs="Times New Roman"/>
          <w:rFonts w:ascii="Times New Roman" w:hAnsi="Times New Roman"/>
          <w:b w:val="0"/>
          <w:i w:val="0"/>
          <w:sz w:val="24"/>
        </w:rPr>
        <w:t>Trigger: MYS property cat treaties &gt;USD 50M notional. Apply +35–36% flood loading (PELT uplift + Hosking-Wallis CI midpoint); +1–2% floor PHL. Anchor: CCPT Pillar 1 s.3.4.</w:t>
      </w:r>
    </w:p>
    <w:p>
      <w:pPr>
        <w:spacing w:before="0" w:after="120"/>
        <w:jc w:val="both"/>
      </w:pPr>
      <w:r>
        <w:rPr>
          <w:rFonts w:ascii="Times New Roman" w:hAnsi="Times New Roman" w:cs="Times New Roman"/>
          <w:rFonts w:ascii="Times New Roman" w:hAnsi="Times New Roman"/>
          <w:b w:val="0"/>
          <w:i w:val="0"/>
          <w:sz w:val="24"/>
        </w:rPr>
        <w:t>Benchmark (Aon 2024, GC APAC Q3 2024): SEA flood-cat loadings currently +18–24% above burning cost. Our +35–36% MYS loading reflects the 2007 PELT break unintegrated by competitors — HRe leads on technical pricing, accepting ~5–8% volume reduction; SEA combined ratio improves ~2.1pp.</w:t>
      </w:r>
    </w:p>
    <w:p>
      <w:pPr>
        <w:jc w:val="center"/>
      </w:pPr>
      <w:r>
        <w:drawing>
          <wp:inline xmlns:a="http://schemas.openxmlformats.org/drawingml/2006/main" xmlns:pic="http://schemas.openxmlformats.org/drawingml/2006/picture">
            <wp:extent cx="5852160" cy="2078022"/>
            <wp:docPr id="15" name="Picture 15"/>
            <wp:cNvGraphicFramePr>
              <a:graphicFrameLocks noChangeAspect="1"/>
            </wp:cNvGraphicFramePr>
            <a:graphic>
              <a:graphicData uri="http://schemas.openxmlformats.org/drawingml/2006/picture">
                <pic:pic>
                  <pic:nvPicPr>
                    <pic:cNvPr id="0" name="r4_rec1_treaty_threshold.png"/>
                    <pic:cNvPicPr/>
                  </pic:nvPicPr>
                  <pic:blipFill>
                    <a:blip r:embed="rId23"/>
                    <a:stretch>
                      <a:fillRect/>
                    </a:stretch>
                  </pic:blipFill>
                  <pic:spPr>
                    <a:xfrm>
                      <a:off x="0" y="0"/>
                      <a:ext cx="5852160" cy="2078022"/>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9 – R1 treaty threshold: GEV EAL loading (+35–36% MYS) vs EM-DAT burning cost. The gap between curves represents current under-pricing.</w:t>
      </w:r>
    </w:p>
    <w:p>
      <w:pPr>
        <w:spacing w:before="240" w:after="120"/>
        <w:jc w:val="left"/>
      </w:pPr>
      <w:r>
        <w:rPr>
          <w:rFonts w:ascii="Times New Roman" w:hAnsi="Times New Roman" w:cs="Times New Roman"/>
          <w:rFonts w:ascii="Times New Roman" w:hAnsi="Times New Roman"/>
          <w:b/>
          <w:i w:val="0"/>
          <w:color w:val="C00000"/>
          <w:sz w:val="24"/>
        </w:rPr>
        <w:t>R2 – Country-Specific Transition Surcharges (At renewal; review per NGFS Phase)</w:t>
      </w:r>
    </w:p>
    <w:p>
      <w:pPr>
        <w:spacing w:before="0" w:after="120"/>
        <w:jc w:val="both"/>
      </w:pPr>
      <w:r>
        <w:rPr>
          <w:rFonts w:ascii="Times New Roman" w:hAnsi="Times New Roman" w:cs="Times New Roman"/>
          <w:rFonts w:ascii="Times New Roman" w:hAnsi="Times New Roman"/>
          <w:b w:val="0"/>
          <w:i w:val="0"/>
          <w:sz w:val="24"/>
        </w:rPr>
        <w:t>MYS: 3–5% on CCPT C3/C4 (Pillar 2 s.4.2); emitter status triggers R4. PHL: 1–2% (BSP 1085 s.X.4); LULUCF credits partially offset. Re-evaluate per NGFS Phase / CCPT update.</w:t>
      </w:r>
    </w:p>
    <w:p>
      <w:pPr>
        <w:spacing w:before="240" w:after="120"/>
        <w:jc w:val="left"/>
      </w:pPr>
      <w:r>
        <w:rPr>
          <w:rFonts w:ascii="Times New Roman" w:hAnsi="Times New Roman" w:cs="Times New Roman"/>
          <w:rFonts w:ascii="Times New Roman" w:hAnsi="Times New Roman"/>
          <w:b/>
          <w:i w:val="0"/>
          <w:color w:val="C00000"/>
          <w:sz w:val="24"/>
        </w:rPr>
        <w:t>R3 – ENSO Conditional Audit (NOAA OND monitoring)</w:t>
      </w:r>
    </w:p>
    <w:p>
      <w:pPr>
        <w:spacing w:before="0" w:after="120"/>
        <w:jc w:val="both"/>
      </w:pPr>
      <w:r>
        <w:rPr>
          <w:rFonts w:ascii="Times New Roman" w:hAnsi="Times New Roman" w:cs="Times New Roman"/>
          <w:rFonts w:ascii="Times New Roman" w:hAnsi="Times New Roman"/>
          <w:b w:val="0"/>
          <w:i w:val="0"/>
          <w:sz w:val="24"/>
        </w:rPr>
        <w:t>Trigger: NOAA OND ONI ≤ -0.5°C (verified Oct). Action: facultative audit of MYS+PHL exposure, retention, PML. If &gt;15% increase vs. neutral-year, apply +6.9% PELT uplift on MYS. ENSO is a governance control, not a continuous stable parameter estimation for pricing purposes. Regulatory anchor: TCFD Risk Management Rec (b).</w:t>
      </w:r>
    </w:p>
    <w:p>
      <w:pPr>
        <w:jc w:val="center"/>
      </w:pPr>
      <w:r>
        <w:drawing>
          <wp:inline xmlns:a="http://schemas.openxmlformats.org/drawingml/2006/main" xmlns:pic="http://schemas.openxmlformats.org/drawingml/2006/picture">
            <wp:extent cx="5852160" cy="2077026"/>
            <wp:docPr id="16" name="Picture 16"/>
            <wp:cNvGraphicFramePr>
              <a:graphicFrameLocks noChangeAspect="1"/>
            </wp:cNvGraphicFramePr>
            <a:graphic>
              <a:graphicData uri="http://schemas.openxmlformats.org/drawingml/2006/picture">
                <pic:pic>
                  <pic:nvPicPr>
                    <pic:cNvPr id="0" name="r4_rec3_enso_protocol.png"/>
                    <pic:cNvPicPr/>
                  </pic:nvPicPr>
                  <pic:blipFill>
                    <a:blip r:embed="rId24"/>
                    <a:stretch>
                      <a:fillRect/>
                    </a:stretch>
                  </pic:blipFill>
                  <pic:spPr>
                    <a:xfrm>
                      <a:off x="0" y="0"/>
                      <a:ext cx="5852160" cy="2077026"/>
                    </a:xfrm>
                    <a:prstGeom prst="rect"/>
                  </pic:spPr>
                </pic:pic>
              </a:graphicData>
            </a:graphic>
          </wp:inline>
        </w:drawing>
      </w:r>
    </w:p>
    <w:p>
      <w:pPr>
        <w:spacing w:before="0" w:after="240"/>
        <w:jc w:val="center"/>
      </w:pPr>
      <w:r>
        <w:rPr>
          <w:rFonts w:ascii="Times New Roman" w:hAnsi="Times New Roman" w:cs="Times New Roman"/>
          <w:rFonts w:ascii="Times New Roman" w:hAnsi="Times New Roman"/>
          <w:b w:val="0"/>
          <w:i/>
          <w:sz w:val="20"/>
        </w:rPr>
        <w:t>Figure 10 – R3 ENSO protocol: ONI ≤ -0.5°C activates facultative audit (TCFD Risk Mgmt Rec (b)). Annual r = -0.016 confirms this is NOT a pricing variable.</w:t>
      </w:r>
    </w:p>
    <w:p>
      <w:pPr>
        <w:spacing w:before="240" w:after="120"/>
        <w:jc w:val="left"/>
      </w:pPr>
      <w:r>
        <w:rPr>
          <w:rFonts w:ascii="Times New Roman" w:hAnsi="Times New Roman" w:cs="Times New Roman"/>
          <w:rFonts w:ascii="Times New Roman" w:hAnsi="Times New Roman"/>
          <w:b/>
          <w:i w:val="0"/>
          <w:color w:val="C00000"/>
          <w:sz w:val="24"/>
        </w:rPr>
        <w:t>R4 &amp; R5 – Warranty Clause &amp; Data Procurement</w:t>
      </w:r>
    </w:p>
    <w:p>
      <w:pPr>
        <w:spacing w:before="0" w:after="120"/>
        <w:jc w:val="both"/>
      </w:pPr>
      <w:r>
        <w:rPr>
          <w:rFonts w:ascii="Times New Roman" w:hAnsi="Times New Roman" w:cs="Times New Roman"/>
          <w:rFonts w:ascii="Times New Roman" w:hAnsi="Times New Roman"/>
          <w:b w:val="0"/>
          <w:i w:val="0"/>
          <w:sz w:val="24"/>
        </w:rPr>
        <w:t>R4 (EUDR Art. 8 + Lloyd’s ESG s.2.3): MYS LULUCF cedants (palm oil, plantation); 10% co-participation on non-disclosure of LULUCF change &gt;10% YoY. R5 (0–12 mo, TCFD Metrics Rec (a)): cedant 10+ yr triangles + 0.05-deg CHIRPS; n=34 → n≥43; CI loading +/-44.5pp / 29.5pp → +/-12pp; band USD 15.2M → 6.1M.</w:t>
      </w:r>
    </w:p>
    <w:p>
      <w:r>
        <w:br w:type="page"/>
      </w:r>
    </w:p>
    <w:p>
      <w:pPr>
        <w:spacing w:before="240" w:after="120"/>
        <w:jc w:val="left"/>
      </w:pPr>
      <w:r>
        <w:rPr>
          <w:rFonts w:ascii="Times New Roman" w:hAnsi="Times New Roman" w:cs="Times New Roman"/>
          <w:rFonts w:ascii="Times New Roman" w:hAnsi="Times New Roman"/>
          <w:b/>
          <w:i w:val="0"/>
          <w:color w:val="1F497D"/>
          <w:sz w:val="28"/>
        </w:rPr>
        <w:t>10. Limitations, Scalability &amp; Conclusion</w:t>
      </w:r>
    </w:p>
    <w:p>
      <w:pPr>
        <w:spacing w:before="240" w:after="120"/>
        <w:jc w:val="left"/>
      </w:pPr>
      <w:r>
        <w:rPr>
          <w:rFonts w:ascii="Times New Roman" w:hAnsi="Times New Roman" w:cs="Times New Roman"/>
          <w:rFonts w:ascii="Times New Roman" w:hAnsi="Times New Roman"/>
          <w:b/>
          <w:i w:val="0"/>
          <w:color w:val="1F497D"/>
          <w:sz w:val="24"/>
        </w:rPr>
        <w:t>10.1 Key Limitations &amp; Mitigations</w:t>
      </w:r>
    </w:p>
    <w:p>
      <w:pPr>
        <w:pStyle w:val="ListBullet"/>
        <w:spacing w:after="60"/>
        <w:jc w:val="both"/>
      </w:pPr>
      <w:r>
        <w:rPr>
          <w:rFonts w:ascii="Times New Roman" w:hAnsi="Times New Roman" w:cs="Times New Roman"/>
          <w:rFonts w:ascii="Times New Roman" w:hAnsi="Times New Roman"/>
          <w:b w:val="0"/>
          <w:i w:val="0"/>
          <w:sz w:val="24"/>
        </w:rPr>
        <w:t>Sample size (n=34): PHL GEV CI [326–985mm] — 3× range. Permutation test ~25% power at n=34; physical basis (Cinco et al. 2014) supports 2007 break. PHL = elevated monitoring zone, floor loading only. Resolved by R5 (n≥43).</w:t>
      </w:r>
    </w:p>
    <w:p>
      <w:pPr>
        <w:pStyle w:val="ListBullet"/>
        <w:spacing w:after="60"/>
        <w:jc w:val="both"/>
      </w:pPr>
      <w:r>
        <w:rPr>
          <w:rFonts w:ascii="Times New Roman" w:hAnsi="Times New Roman" w:cs="Times New Roman"/>
          <w:rFonts w:ascii="Times New Roman" w:hAnsi="Times New Roman"/>
          <w:b w:val="0"/>
          <w:i w:val="0"/>
          <w:sz w:val="24"/>
        </w:rPr>
        <w:t>WDI data gaps: MYS fossil fuel share (2021–23 = 0.0, gap) and renewable share (2022–23 missing) excluded from models; trend extrapolation for narrative only.</w:t>
      </w:r>
    </w:p>
    <w:p>
      <w:pPr>
        <w:pStyle w:val="ListBullet"/>
        <w:spacing w:after="60"/>
        <w:jc w:val="both"/>
      </w:pPr>
      <w:r>
        <w:rPr>
          <w:rFonts w:ascii="Times New Roman" w:hAnsi="Times New Roman" w:cs="Times New Roman"/>
          <w:rFonts w:ascii="Times New Roman" w:hAnsi="Times New Roman"/>
          <w:b w:val="0"/>
          <w:i w:val="0"/>
          <w:sz w:val="24"/>
        </w:rPr>
        <w:t>ARIMA no-break: NETR 2023 may accelerate decarbonisation, biasing GHG forecasts conservatively high — safety margin in transition cost.</w:t>
      </w:r>
    </w:p>
    <w:p>
      <w:pPr>
        <w:pStyle w:val="ListBullet"/>
        <w:spacing w:after="60"/>
        <w:jc w:val="both"/>
      </w:pPr>
      <w:r>
        <w:rPr>
          <w:rFonts w:ascii="Times New Roman" w:hAnsi="Times New Roman" w:cs="Times New Roman"/>
          <w:rFonts w:ascii="Times New Roman" w:hAnsi="Times New Roman"/>
          <w:b w:val="0"/>
          <w:i w:val="0"/>
          <w:sz w:val="24"/>
        </w:rPr>
        <w:t>Pass-through: +/-2pp drives 5× reserve variance (USD 3.0–14.9M at 10% alloc.). Refreshed per NGFS Phase; Figure 8 heatmap provides full surface.</w:t>
      </w:r>
    </w:p>
    <w:p>
      <w:pPr>
        <w:pStyle w:val="ListBullet"/>
        <w:spacing w:after="60"/>
        <w:jc w:val="both"/>
      </w:pPr>
      <w:r>
        <w:rPr>
          <w:rFonts w:ascii="Times New Roman" w:hAnsi="Times New Roman" w:cs="Times New Roman"/>
          <w:rFonts w:ascii="Times New Roman" w:hAnsi="Times New Roman"/>
          <w:b w:val="0"/>
          <w:i w:val="0"/>
          <w:sz w:val="24"/>
        </w:rPr>
        <w:t>LULUCF: +/-20–30% (FAO FRA 2020), re-evaluated FRA 2025. Copula: n=14 La Niña insufficient for block-maxima GEV; USD 2.59M/yr indicative.</w:t>
      </w:r>
    </w:p>
    <w:p>
      <w:pPr>
        <w:spacing w:before="240" w:after="120"/>
        <w:jc w:val="left"/>
      </w:pPr>
      <w:r>
        <w:rPr>
          <w:rFonts w:ascii="Times New Roman" w:hAnsi="Times New Roman" w:cs="Times New Roman"/>
          <w:rFonts w:ascii="Times New Roman" w:hAnsi="Times New Roman"/>
          <w:b/>
          <w:i w:val="0"/>
          <w:color w:val="1F497D"/>
          <w:sz w:val="24"/>
        </w:rPr>
        <w:t>10.2 Regulatory Anchor Mapping</w:t>
      </w:r>
    </w:p>
    <w:p>
      <w:pPr>
        <w:spacing w:before="0" w:after="120"/>
        <w:jc w:val="both"/>
      </w:pPr>
      <w:r>
        <w:rPr>
          <w:rFonts w:ascii="Times New Roman" w:hAnsi="Times New Roman" w:cs="Times New Roman"/>
          <w:rFonts w:ascii="Times New Roman" w:hAnsi="Times New Roman"/>
          <w:b w:val="0"/>
          <w:i w:val="0"/>
          <w:sz w:val="24"/>
        </w:rPr>
        <w:t>Each recommendation is anchored to a specific regulatory clause for BNM/BSP and TCFD alignment: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W w:w="720" w:type="dxa"/>
          </w:tcPr>
          <w:p>
            <w:pPr>
              <w:jc w:val="center"/>
            </w:pPr>
            <w:r>
              <w:rPr>
                <w:rFonts w:ascii="Times New Roman" w:hAnsi="Times New Roman"/>
                <w:b/>
                <w:color w:val="FFFFFF"/>
                <w:sz w:val="20"/>
              </w:rPr>
              <w:t>Rec</w:t>
            </w:r>
          </w:p>
        </w:tc>
        <w:tc>
          <w:tcPr>
            <w:tcW w:type="dxa" w:w="3120"/>
            <w:shd w:val="clear" w:color="auto" w:fill="1F497D"/>
            <w:tcW w:w="2880" w:type="dxa"/>
          </w:tcPr>
          <w:p>
            <w:pPr>
              <w:jc w:val="center"/>
            </w:pPr>
            <w:r>
              <w:rPr>
                <w:rFonts w:ascii="Times New Roman" w:hAnsi="Times New Roman"/>
                <w:b/>
                <w:color w:val="FFFFFF"/>
                <w:sz w:val="20"/>
              </w:rPr>
              <w:t>Regulatory Framework</w:t>
            </w:r>
          </w:p>
        </w:tc>
        <w:tc>
          <w:tcPr>
            <w:tcW w:type="dxa" w:w="3120"/>
            <w:shd w:val="clear" w:color="auto" w:fill="1F497D"/>
            <w:tcW w:w="5472" w:type="dxa"/>
          </w:tcPr>
          <w:p>
            <w:pPr>
              <w:jc w:val="center"/>
            </w:pPr>
            <w:r>
              <w:rPr>
                <w:rFonts w:ascii="Times New Roman" w:hAnsi="Times New Roman"/>
                <w:b/>
                <w:color w:val="FFFFFF"/>
                <w:sz w:val="20"/>
              </w:rPr>
              <w:t>Specific Clause / Section</w:t>
            </w:r>
          </w:p>
        </w:tc>
      </w:tr>
      <w:tr>
        <w:tc>
          <w:tcPr>
            <w:tcW w:type="dxa" w:w="3120"/>
            <w:shd w:val="clear" w:color="auto" w:fill="D9E2F3"/>
          </w:tcPr>
          <w:p>
            <w:pPr>
              <w:jc w:val="center"/>
            </w:pPr>
            <w:r>
              <w:rPr>
                <w:rFonts w:ascii="Times New Roman" w:hAnsi="Times New Roman"/>
                <w:sz w:val="20"/>
              </w:rPr>
              <w:t>R1</w:t>
            </w:r>
          </w:p>
        </w:tc>
        <w:tc>
          <w:tcPr>
            <w:tcW w:type="dxa" w:w="3120"/>
            <w:shd w:val="clear" w:color="auto" w:fill="D9E2F3"/>
          </w:tcPr>
          <w:p>
            <w:pPr>
              <w:jc w:val="center"/>
            </w:pPr>
            <w:r>
              <w:rPr>
                <w:rFonts w:ascii="Times New Roman" w:hAnsi="Times New Roman"/>
                <w:sz w:val="20"/>
              </w:rPr>
              <w:t>BNM CCPT (2022)</w:t>
            </w:r>
          </w:p>
        </w:tc>
        <w:tc>
          <w:tcPr>
            <w:tcW w:type="dxa" w:w="3120"/>
            <w:shd w:val="clear" w:color="auto" w:fill="D9E2F3"/>
          </w:tcPr>
          <w:p>
            <w:pPr>
              <w:jc w:val="center"/>
            </w:pPr>
            <w:r>
              <w:rPr>
                <w:rFonts w:ascii="Times New Roman" w:hAnsi="Times New Roman"/>
                <w:sz w:val="20"/>
              </w:rPr>
              <w:t>Pillar 1 s.3.4 – Physical Risk</w:t>
            </w:r>
          </w:p>
        </w:tc>
      </w:tr>
      <w:tr>
        <w:tc>
          <w:tcPr>
            <w:tcW w:type="dxa" w:w="3120"/>
            <w:shd w:val="clear" w:color="auto" w:fill="FFFFFF"/>
          </w:tcPr>
          <w:p>
            <w:pPr>
              <w:jc w:val="center"/>
            </w:pPr>
            <w:r>
              <w:rPr>
                <w:rFonts w:ascii="Times New Roman" w:hAnsi="Times New Roman"/>
                <w:sz w:val="20"/>
              </w:rPr>
              <w:t>R2</w:t>
            </w:r>
          </w:p>
        </w:tc>
        <w:tc>
          <w:tcPr>
            <w:tcW w:type="dxa" w:w="3120"/>
            <w:shd w:val="clear" w:color="auto" w:fill="FFFFFF"/>
          </w:tcPr>
          <w:p>
            <w:pPr>
              <w:jc w:val="center"/>
            </w:pPr>
            <w:r>
              <w:rPr>
                <w:rFonts w:ascii="Times New Roman" w:hAnsi="Times New Roman"/>
                <w:sz w:val="20"/>
              </w:rPr>
              <w:t>BNM CCPT (2022)</w:t>
            </w:r>
          </w:p>
        </w:tc>
        <w:tc>
          <w:tcPr>
            <w:tcW w:type="dxa" w:w="3120"/>
            <w:shd w:val="clear" w:color="auto" w:fill="FFFFFF"/>
          </w:tcPr>
          <w:p>
            <w:pPr>
              <w:jc w:val="center"/>
            </w:pPr>
            <w:r>
              <w:rPr>
                <w:rFonts w:ascii="Times New Roman" w:hAnsi="Times New Roman"/>
                <w:sz w:val="20"/>
              </w:rPr>
              <w:t>Pillar 2 s.4.2 – Transition Pass-Through</w:t>
            </w:r>
          </w:p>
        </w:tc>
      </w:tr>
      <w:tr>
        <w:tc>
          <w:tcPr>
            <w:tcW w:type="dxa" w:w="3120"/>
            <w:shd w:val="clear" w:color="auto" w:fill="D9E2F3"/>
          </w:tcPr>
          <w:p>
            <w:pPr>
              <w:jc w:val="center"/>
            </w:pPr>
            <w:r>
              <w:rPr>
                <w:rFonts w:ascii="Times New Roman" w:hAnsi="Times New Roman"/>
                <w:sz w:val="20"/>
              </w:rPr>
              <w:t>R2</w:t>
            </w:r>
          </w:p>
        </w:tc>
        <w:tc>
          <w:tcPr>
            <w:tcW w:type="dxa" w:w="3120"/>
            <w:shd w:val="clear" w:color="auto" w:fill="D9E2F3"/>
          </w:tcPr>
          <w:p>
            <w:pPr>
              <w:jc w:val="center"/>
            </w:pPr>
            <w:r>
              <w:rPr>
                <w:rFonts w:ascii="Times New Roman" w:hAnsi="Times New Roman"/>
                <w:sz w:val="20"/>
              </w:rPr>
              <w:t>BSP Circular 1085 (2020)</w:t>
            </w:r>
          </w:p>
        </w:tc>
        <w:tc>
          <w:tcPr>
            <w:tcW w:type="dxa" w:w="3120"/>
            <w:shd w:val="clear" w:color="auto" w:fill="D9E2F3"/>
          </w:tcPr>
          <w:p>
            <w:pPr>
              <w:jc w:val="center"/>
            </w:pPr>
            <w:r>
              <w:rPr>
                <w:rFonts w:ascii="Times New Roman" w:hAnsi="Times New Roman"/>
                <w:sz w:val="20"/>
              </w:rPr>
              <w:t>s.X.4 – ESG Pricing Integration</w:t>
            </w:r>
          </w:p>
        </w:tc>
      </w:tr>
      <w:tr>
        <w:tc>
          <w:tcPr>
            <w:tcW w:type="dxa" w:w="3120"/>
            <w:shd w:val="clear" w:color="auto" w:fill="FFFFFF"/>
          </w:tcPr>
          <w:p>
            <w:pPr>
              <w:jc w:val="center"/>
            </w:pPr>
            <w:r>
              <w:rPr>
                <w:rFonts w:ascii="Times New Roman" w:hAnsi="Times New Roman"/>
                <w:sz w:val="20"/>
              </w:rPr>
              <w:t>R3</w:t>
            </w:r>
          </w:p>
        </w:tc>
        <w:tc>
          <w:tcPr>
            <w:tcW w:type="dxa" w:w="3120"/>
            <w:shd w:val="clear" w:color="auto" w:fill="FFFFFF"/>
          </w:tcPr>
          <w:p>
            <w:pPr>
              <w:jc w:val="center"/>
            </w:pPr>
            <w:r>
              <w:rPr>
                <w:rFonts w:ascii="Times New Roman" w:hAnsi="Times New Roman"/>
                <w:sz w:val="20"/>
              </w:rPr>
              <w:t>TCFD (2017)</w:t>
            </w:r>
          </w:p>
        </w:tc>
        <w:tc>
          <w:tcPr>
            <w:tcW w:type="dxa" w:w="3120"/>
            <w:shd w:val="clear" w:color="auto" w:fill="FFFFFF"/>
          </w:tcPr>
          <w:p>
            <w:pPr>
              <w:jc w:val="center"/>
            </w:pPr>
            <w:r>
              <w:rPr>
                <w:rFonts w:ascii="Times New Roman" w:hAnsi="Times New Roman"/>
                <w:sz w:val="20"/>
              </w:rPr>
              <w:t>Risk Mgmt Rec (b) – Identifying Risks</w:t>
            </w:r>
          </w:p>
        </w:tc>
      </w:tr>
      <w:tr>
        <w:tc>
          <w:tcPr>
            <w:tcW w:type="dxa" w:w="3120"/>
            <w:shd w:val="clear" w:color="auto" w:fill="D9E2F3"/>
          </w:tcPr>
          <w:p>
            <w:pPr>
              <w:jc w:val="center"/>
            </w:pPr>
            <w:r>
              <w:rPr>
                <w:rFonts w:ascii="Times New Roman" w:hAnsi="Times New Roman"/>
                <w:sz w:val="20"/>
              </w:rPr>
              <w:t>R4</w:t>
            </w:r>
          </w:p>
        </w:tc>
        <w:tc>
          <w:tcPr>
            <w:tcW w:type="dxa" w:w="3120"/>
            <w:shd w:val="clear" w:color="auto" w:fill="D9E2F3"/>
          </w:tcPr>
          <w:p>
            <w:pPr>
              <w:jc w:val="center"/>
            </w:pPr>
            <w:r>
              <w:rPr>
                <w:rFonts w:ascii="Times New Roman" w:hAnsi="Times New Roman"/>
                <w:sz w:val="20"/>
              </w:rPr>
              <w:t>EUDR Reg. 2023/1115</w:t>
            </w:r>
          </w:p>
        </w:tc>
        <w:tc>
          <w:tcPr>
            <w:tcW w:type="dxa" w:w="3120"/>
            <w:shd w:val="clear" w:color="auto" w:fill="D9E2F3"/>
          </w:tcPr>
          <w:p>
            <w:pPr>
              <w:jc w:val="center"/>
            </w:pPr>
            <w:r>
              <w:rPr>
                <w:rFonts w:ascii="Times New Roman" w:hAnsi="Times New Roman"/>
                <w:sz w:val="20"/>
              </w:rPr>
              <w:t>Art. 8 – Due Diligence</w:t>
            </w:r>
          </w:p>
        </w:tc>
      </w:tr>
      <w:tr>
        <w:tc>
          <w:tcPr>
            <w:tcW w:type="dxa" w:w="3120"/>
            <w:shd w:val="clear" w:color="auto" w:fill="FFFFFF"/>
          </w:tcPr>
          <w:p>
            <w:pPr>
              <w:jc w:val="center"/>
            </w:pPr>
            <w:r>
              <w:rPr>
                <w:rFonts w:ascii="Times New Roman" w:hAnsi="Times New Roman"/>
                <w:sz w:val="20"/>
              </w:rPr>
              <w:t>R4</w:t>
            </w:r>
          </w:p>
        </w:tc>
        <w:tc>
          <w:tcPr>
            <w:tcW w:type="dxa" w:w="3120"/>
            <w:shd w:val="clear" w:color="auto" w:fill="FFFFFF"/>
          </w:tcPr>
          <w:p>
            <w:pPr>
              <w:jc w:val="center"/>
            </w:pPr>
            <w:r>
              <w:rPr>
                <w:rFonts w:ascii="Times New Roman" w:hAnsi="Times New Roman"/>
                <w:sz w:val="20"/>
              </w:rPr>
              <w:t>Lloyd’s ESG (2023)</w:t>
            </w:r>
          </w:p>
        </w:tc>
        <w:tc>
          <w:tcPr>
            <w:tcW w:type="dxa" w:w="3120"/>
            <w:shd w:val="clear" w:color="auto" w:fill="FFFFFF"/>
          </w:tcPr>
          <w:p>
            <w:pPr>
              <w:jc w:val="center"/>
            </w:pPr>
            <w:r>
              <w:rPr>
                <w:rFonts w:ascii="Times New Roman" w:hAnsi="Times New Roman"/>
                <w:sz w:val="20"/>
              </w:rPr>
              <w:t>s.2.3 – Underwriting Disclosure</w:t>
            </w:r>
          </w:p>
        </w:tc>
      </w:tr>
      <w:tr>
        <w:tc>
          <w:tcPr>
            <w:tcW w:type="dxa" w:w="3120"/>
            <w:shd w:val="clear" w:color="auto" w:fill="D9E2F3"/>
          </w:tcPr>
          <w:p>
            <w:pPr>
              <w:jc w:val="center"/>
            </w:pPr>
            <w:r>
              <w:rPr>
                <w:rFonts w:ascii="Times New Roman" w:hAnsi="Times New Roman"/>
                <w:sz w:val="20"/>
              </w:rPr>
              <w:t>R5</w:t>
            </w:r>
          </w:p>
        </w:tc>
        <w:tc>
          <w:tcPr>
            <w:tcW w:type="dxa" w:w="3120"/>
            <w:shd w:val="clear" w:color="auto" w:fill="D9E2F3"/>
          </w:tcPr>
          <w:p>
            <w:pPr>
              <w:jc w:val="center"/>
            </w:pPr>
            <w:r>
              <w:rPr>
                <w:rFonts w:ascii="Times New Roman" w:hAnsi="Times New Roman"/>
                <w:sz w:val="20"/>
              </w:rPr>
              <w:t>TCFD (2017)</w:t>
            </w:r>
          </w:p>
        </w:tc>
        <w:tc>
          <w:tcPr>
            <w:tcW w:type="dxa" w:w="3120"/>
            <w:shd w:val="clear" w:color="auto" w:fill="D9E2F3"/>
          </w:tcPr>
          <w:p>
            <w:pPr>
              <w:jc w:val="center"/>
            </w:pPr>
            <w:r>
              <w:rPr>
                <w:rFonts w:ascii="Times New Roman" w:hAnsi="Times New Roman"/>
                <w:sz w:val="20"/>
              </w:rPr>
              <w:t>Metrics &amp; Targets (a) – Climate Disclosure</w:t>
            </w:r>
          </w:p>
        </w:tc>
      </w:tr>
    </w:tbl>
    <w:p>
      <w:pPr>
        <w:spacing w:before="0" w:after="160"/>
        <w:jc w:val="center"/>
      </w:pPr>
      <w:r>
        <w:rPr>
          <w:rFonts w:ascii="Times New Roman" w:hAnsi="Times New Roman" w:cs="Times New Roman"/>
          <w:rFonts w:ascii="Times New Roman" w:hAnsi="Times New Roman"/>
          <w:b w:val="0"/>
          <w:i/>
          <w:sz w:val="20"/>
        </w:rPr>
        <w:t>Table 10 – Regulatory anchors. Full alignment with BNM CCPT, BSP 1085, TCFD, EUDR, and Lloyd’s ESG.</w:t>
      </w:r>
    </w:p>
    <w:p>
      <w:pPr>
        <w:spacing w:before="0" w:after="120"/>
        <w:jc w:val="both"/>
      </w:pPr>
      <w:r>
        <w:rPr>
          <w:rFonts w:ascii="Times New Roman" w:hAnsi="Times New Roman" w:cs="Times New Roman"/>
          <w:rFonts w:ascii="Times New Roman" w:hAnsi="Times New Roman"/>
          <w:b w:val="0"/>
          <w:i w:val="0"/>
          <w:sz w:val="24"/>
        </w:rPr>
        <w:t>Pipeline scales to ASEAN (THA/IDN/VNM) with country-specific NGFS PT; sub-national 0.05-deg CHIRPS yields contract-specific EAL (+/-44.5pp → +/-12pp CI); NGFS rebuild &lt;2hr per Phase. R1–R5 embedded as pricing rules and mapped to TCFD for BNM/BSP 2026 reporting (HRe Sustainability Report p.34).</w:t>
      </w:r>
    </w:p>
    <w:p>
      <w:pPr>
        <w:spacing w:before="240" w:after="120"/>
        <w:jc w:val="left"/>
      </w:pPr>
      <w:r>
        <w:rPr>
          <w:rFonts w:ascii="Times New Roman" w:hAnsi="Times New Roman" w:cs="Times New Roman"/>
          <w:rFonts w:ascii="Times New Roman" w:hAnsi="Times New Roman"/>
          <w:b/>
          <w:i w:val="0"/>
          <w:color w:val="1F497D"/>
          <w:sz w:val="24"/>
        </w:rPr>
        <w:t>10.3 Conclusion</w:t>
      </w:r>
    </w:p>
    <w:p>
      <w:pPr>
        <w:spacing w:before="0" w:after="120"/>
        <w:jc w:val="both"/>
      </w:pPr>
      <w:r>
        <w:rPr>
          <w:rFonts w:ascii="Times New Roman" w:hAnsi="Times New Roman" w:cs="Times New Roman"/>
          <w:rFonts w:ascii="Times New Roman" w:hAnsi="Times New Roman"/>
          <w:b w:val="0"/>
          <w:i w:val="0"/>
          <w:sz w:val="24"/>
        </w:rPr>
        <w:t>Two additive gaps: physical (USD 18.4M/yr EAL, 2007 shift) + transition (USD 1.1bn/yr pool, NZ2050 + LULUCF asymmetry). Under-reserve USD 3.4M/9.7M/18.6M (floor/central/stress); 2027 trigger year is the actionable output.</w:t>
      </w:r>
    </w:p>
    <w:p>
      <w:pPr>
        <w:spacing w:before="0" w:after="120"/>
        <w:jc w:val="both"/>
      </w:pPr>
      <w:r>
        <w:rPr>
          <w:rFonts w:ascii="Times New Roman" w:hAnsi="Times New Roman" w:cs="Times New Roman"/>
          <w:rFonts w:ascii="Times New Roman" w:hAnsi="Times New Roman"/>
          <w:b w:val="0"/>
          <w:i w:val="0"/>
          <w:sz w:val="24"/>
        </w:rPr>
        <w:t>R1–R5 anchor to CCPT, BSP 1085, TCFD, EUDR, Lloyd’s ESG — operationalising HRe’s 2026 climate-integration commitment for MYS+PHL.</w:t>
      </w:r>
    </w:p>
    <w:p>
      <w:pPr>
        <w:spacing w:before="0" w:after="120"/>
        <w:jc w:val="both"/>
      </w:pPr>
      <w:r>
        <w:rPr>
          <w:rFonts w:ascii="Times New Roman" w:hAnsi="Times New Roman" w:cs="Times New Roman"/>
          <w:rFonts w:ascii="Times New Roman" w:hAnsi="Times New Roman"/>
          <w:b w:val="0"/>
          <w:i/>
          <w:sz w:val="22"/>
        </w:rPr>
        <w:t>AI Usage: Claude Sonnet 4.6 (Anthropic) assisted code structuring/drafting; outputs verified against WDI, CHIRPS, EM-DAT, NOAA ONI, NGFS, Climate Watch, HRe 2023 Annual/Sustainability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