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both"/>
      </w:pPr>
    </w:p>
    <w:p>
      <w:pPr>
        <w:spacing w:before="0" w:after="80"/>
        <w:jc w:val="center"/>
      </w:pPr>
      <w:r>
        <w:rPr>
          <w:rFonts w:ascii="Times New Roman" w:hAnsi="Times New Roman" w:cs="Times New Roman"/>
          <w:rFonts w:ascii="Times New Roman" w:hAnsi="Times New Roman"/>
          <w:b/>
          <w:i w:val="0"/>
          <w:color w:val="1F497D"/>
          <w:sz w:val="40"/>
        </w:rPr>
        <w:t>Quantifying Climate Risk &amp; Pricing Adequacy in SEA</w:t>
      </w:r>
    </w:p>
    <w:p>
      <w:pPr>
        <w:spacing w:before="0" w:after="600"/>
        <w:jc w:val="center"/>
      </w:pPr>
      <w:r>
        <w:rPr>
          <w:rFonts w:ascii="Times New Roman" w:hAnsi="Times New Roman" w:cs="Times New Roman"/>
          <w:rFonts w:ascii="Times New Roman" w:hAnsi="Times New Roman"/>
          <w:b/>
          <w:i w:val="0"/>
          <w:sz w:val="28"/>
        </w:rPr>
        <w:t>Documentation</w:t>
      </w:r>
    </w:p>
    <w:p>
      <w:pPr>
        <w:spacing w:before="0" w:after="320"/>
        <w:jc w:val="center"/>
      </w:pPr>
      <w:r>
        <w:rPr>
          <w:rFonts w:ascii="Times New Roman" w:hAnsi="Times New Roman" w:cs="Times New Roman"/>
          <w:rFonts w:ascii="Times New Roman" w:hAnsi="Times New Roman"/>
          <w:b/>
          <w:i w:val="0"/>
          <w:sz w:val="26"/>
        </w:rPr>
        <w:t>Team: Numbers</w:t>
      </w:r>
    </w:p>
    <w:tbl>
      <w:tblPr>
        <w:tblStyle w:val="TableGrid"/>
        <w:tblW w:type="auto" w:w="0"/>
        <w:jc w:val="center"/>
        <w:tblLook w:firstColumn="1" w:firstRow="1" w:lastColumn="0" w:lastRow="0" w:noHBand="0" w:noVBand="1" w:val="04A0"/>
      </w:tblPr>
      <w:tblGrid>
        <w:gridCol w:w="5043"/>
        <w:gridCol w:w="5043"/>
      </w:tblGrid>
      <w:tr>
        <w:tc>
          <w:tcPr>
            <w:tcW w:type="dxa" w:w="5043"/>
            <w:shd w:val="clear" w:color="auto" w:fill="1F497D"/>
          </w:tcPr>
          <w:p>
            <w:pPr>
              <w:spacing w:after="20" w:before="20"/>
              <w:jc w:val="center"/>
            </w:pPr>
            <w:r>
              <w:rPr>
                <w:rFonts w:ascii="Times New Roman" w:hAnsi="Times New Roman" w:cs="Times New Roman"/>
                <w:rFonts w:ascii="Times New Roman" w:hAnsi="Times New Roman"/>
                <w:b/>
                <w:i w:val="0"/>
                <w:color w:val="FFFFFF"/>
                <w:sz w:val="24"/>
              </w:rPr>
              <w:t>Name</w:t>
            </w:r>
          </w:p>
        </w:tc>
        <w:tc>
          <w:tcPr>
            <w:tcW w:type="dxa" w:w="5043"/>
            <w:shd w:val="clear" w:color="auto" w:fill="1F497D"/>
          </w:tcPr>
          <w:p>
            <w:pPr>
              <w:spacing w:after="20" w:before="20"/>
              <w:jc w:val="center"/>
            </w:pPr>
            <w:r>
              <w:rPr>
                <w:rFonts w:ascii="Times New Roman" w:hAnsi="Times New Roman" w:cs="Times New Roman"/>
                <w:rFonts w:ascii="Times New Roman" w:hAnsi="Times New Roman"/>
                <w:b/>
                <w:i w:val="0"/>
                <w:color w:val="FFFFFF"/>
                <w:sz w:val="24"/>
              </w:rPr>
              <w:t>Email</w:t>
            </w:r>
          </w:p>
        </w:tc>
      </w:tr>
      <w:tr>
        <w:tc>
          <w:tcPr>
            <w:tcW w:type="dxa" w:w="5043"/>
          </w:tcPr>
          <w:p>
            <w:pPr>
              <w:spacing w:after="20" w:before="20"/>
              <w:jc w:val="center"/>
            </w:pPr>
            <w:r>
              <w:rPr>
                <w:rFonts w:ascii="Times New Roman" w:hAnsi="Times New Roman" w:cs="Times New Roman"/>
                <w:rFonts w:ascii="Times New Roman" w:hAnsi="Times New Roman"/>
                <w:b w:val="0"/>
                <w:i w:val="0"/>
                <w:sz w:val="24"/>
              </w:rPr>
              <w:t>Khe Jia Kang</w:t>
            </w:r>
          </w:p>
        </w:tc>
        <w:tc>
          <w:tcPr>
            <w:tcW w:type="dxa" w:w="5043"/>
          </w:tcPr>
          <w:p>
            <w:pPr>
              <w:spacing w:after="20" w:before="20"/>
              <w:jc w:val="center"/>
            </w:pPr>
            <w:r>
              <w:rPr>
                <w:rFonts w:ascii="Times New Roman" w:hAnsi="Times New Roman" w:cs="Times New Roman"/>
                <w:rFonts w:ascii="Times New Roman" w:hAnsi="Times New Roman"/>
                <w:b w:val="0"/>
                <w:i w:val="0"/>
                <w:sz w:val="24"/>
              </w:rPr>
              <w:t>jiakangkhe@gmail.com</w:t>
            </w:r>
          </w:p>
        </w:tc>
      </w:tr>
      <w:tr>
        <w:tc>
          <w:tcPr>
            <w:tcW w:type="dxa" w:w="5043"/>
          </w:tcPr>
          <w:p>
            <w:pPr>
              <w:spacing w:after="20" w:before="20"/>
              <w:jc w:val="center"/>
            </w:pPr>
            <w:r>
              <w:rPr>
                <w:rFonts w:ascii="Times New Roman" w:hAnsi="Times New Roman" w:cs="Times New Roman"/>
                <w:rFonts w:ascii="Times New Roman" w:hAnsi="Times New Roman"/>
                <w:b w:val="0"/>
                <w:i w:val="0"/>
                <w:sz w:val="24"/>
              </w:rPr>
              <w:t>Lean Wen Jie</w:t>
            </w:r>
          </w:p>
        </w:tc>
        <w:tc>
          <w:tcPr>
            <w:tcW w:type="dxa" w:w="5043"/>
          </w:tcPr>
          <w:p>
            <w:pPr>
              <w:spacing w:after="20" w:before="20"/>
              <w:jc w:val="center"/>
            </w:pPr>
            <w:r>
              <w:rPr>
                <w:rFonts w:ascii="Times New Roman" w:hAnsi="Times New Roman" w:cs="Times New Roman"/>
                <w:rFonts w:ascii="Times New Roman" w:hAnsi="Times New Roman"/>
                <w:b w:val="0"/>
                <w:i w:val="0"/>
                <w:sz w:val="24"/>
              </w:rPr>
              <w:t>jetlean0707@gmail.com</w:t>
            </w:r>
          </w:p>
        </w:tc>
      </w:tr>
      <w:tr>
        <w:tc>
          <w:tcPr>
            <w:tcW w:type="dxa" w:w="5043"/>
          </w:tcPr>
          <w:p>
            <w:pPr>
              <w:spacing w:after="20" w:before="20"/>
              <w:jc w:val="center"/>
            </w:pPr>
            <w:r>
              <w:rPr>
                <w:rFonts w:ascii="Times New Roman" w:hAnsi="Times New Roman" w:cs="Times New Roman"/>
                <w:rFonts w:ascii="Times New Roman" w:hAnsi="Times New Roman"/>
                <w:b w:val="0"/>
                <w:i w:val="0"/>
                <w:sz w:val="24"/>
              </w:rPr>
              <w:t>Lee Jing Xuan</w:t>
            </w:r>
          </w:p>
        </w:tc>
        <w:tc>
          <w:tcPr>
            <w:tcW w:type="dxa" w:w="5043"/>
          </w:tcPr>
          <w:p>
            <w:pPr>
              <w:spacing w:after="20" w:before="20"/>
              <w:jc w:val="center"/>
            </w:pPr>
            <w:r>
              <w:rPr>
                <w:rFonts w:ascii="Times New Roman" w:hAnsi="Times New Roman" w:cs="Times New Roman"/>
                <w:rFonts w:ascii="Times New Roman" w:hAnsi="Times New Roman"/>
                <w:b w:val="0"/>
                <w:i w:val="0"/>
                <w:sz w:val="24"/>
              </w:rPr>
              <w:t>jingx349@gmail.com</w:t>
            </w:r>
          </w:p>
        </w:tc>
      </w:tr>
      <w:tr>
        <w:tc>
          <w:tcPr>
            <w:tcW w:type="dxa" w:w="5043"/>
          </w:tcPr>
          <w:p>
            <w:pPr>
              <w:spacing w:after="20" w:before="20"/>
              <w:jc w:val="center"/>
            </w:pPr>
            <w:r>
              <w:rPr>
                <w:rFonts w:ascii="Times New Roman" w:hAnsi="Times New Roman" w:cs="Times New Roman"/>
                <w:rFonts w:ascii="Times New Roman" w:hAnsi="Times New Roman"/>
                <w:b w:val="0"/>
                <w:i w:val="0"/>
                <w:sz w:val="24"/>
              </w:rPr>
              <w:t>Lau Hiap Meng</w:t>
            </w:r>
          </w:p>
        </w:tc>
        <w:tc>
          <w:tcPr>
            <w:tcW w:type="dxa" w:w="5043"/>
          </w:tcPr>
          <w:p>
            <w:pPr>
              <w:spacing w:after="20" w:before="20"/>
              <w:jc w:val="center"/>
            </w:pPr>
            <w:r>
              <w:rPr>
                <w:rFonts w:ascii="Times New Roman" w:hAnsi="Times New Roman" w:cs="Times New Roman"/>
                <w:rFonts w:ascii="Times New Roman" w:hAnsi="Times New Roman"/>
                <w:b w:val="0"/>
                <w:i w:val="0"/>
                <w:sz w:val="24"/>
              </w:rPr>
              <w:t>hiapmenglau@gmail.com</w:t>
            </w:r>
          </w:p>
        </w:tc>
      </w:tr>
      <w:tr>
        <w:tc>
          <w:tcPr>
            <w:tcW w:type="dxa" w:w="5043"/>
          </w:tcPr>
          <w:p>
            <w:pPr>
              <w:spacing w:after="20" w:before="20"/>
              <w:jc w:val="center"/>
            </w:pPr>
            <w:r>
              <w:rPr>
                <w:rFonts w:ascii="Times New Roman" w:hAnsi="Times New Roman" w:cs="Times New Roman"/>
                <w:rFonts w:ascii="Times New Roman" w:hAnsi="Times New Roman"/>
                <w:b w:val="0"/>
                <w:i w:val="0"/>
                <w:sz w:val="24"/>
              </w:rPr>
              <w:t>Felicia Sia Xin Rou</w:t>
            </w:r>
          </w:p>
        </w:tc>
        <w:tc>
          <w:tcPr>
            <w:tcW w:type="dxa" w:w="5043"/>
          </w:tcPr>
          <w:p>
            <w:pPr>
              <w:spacing w:after="20" w:before="20"/>
              <w:jc w:val="center"/>
            </w:pPr>
            <w:r>
              <w:rPr>
                <w:rFonts w:ascii="Times New Roman" w:hAnsi="Times New Roman" w:cs="Times New Roman"/>
                <w:rFonts w:ascii="Times New Roman" w:hAnsi="Times New Roman"/>
                <w:b w:val="0"/>
                <w:i w:val="0"/>
                <w:sz w:val="24"/>
              </w:rPr>
              <w:t>flc.066734@gmail.com</w:t>
            </w:r>
          </w:p>
        </w:tc>
      </w:tr>
    </w:tbl>
    <w:p>
      <w:pPr>
        <w:spacing w:before="0" w:after="160"/>
        <w:jc w:val="both"/>
      </w:pPr>
    </w:p>
    <w:p>
      <w:pPr>
        <w:spacing w:before="0" w:after="60"/>
        <w:jc w:val="center"/>
      </w:pPr>
      <w:r>
        <w:rPr>
          <w:rFonts w:ascii="Times New Roman" w:hAnsi="Times New Roman" w:cs="Times New Roman"/>
          <w:rFonts w:ascii="Times New Roman" w:hAnsi="Times New Roman"/>
          <w:b w:val="0"/>
          <w:i/>
          <w:sz w:val="22"/>
        </w:rPr>
        <w:t>MASA Hackathon 2026  ·  Hannover Re  ·  Universiti Malaya</w:t>
      </w:r>
    </w:p>
    <w:p>
      <w:r>
        <w:br w:type="page"/>
      </w:r>
    </w:p>
    <w:p>
      <w:pPr>
        <w:spacing w:before="160" w:after="60"/>
        <w:jc w:val="left"/>
      </w:pPr>
      <w:r>
        <w:rPr>
          <w:rFonts w:ascii="Times New Roman" w:hAnsi="Times New Roman" w:cs="Times New Roman"/>
          <w:rFonts w:ascii="Times New Roman" w:hAnsi="Times New Roman"/>
          <w:b/>
          <w:i w:val="0"/>
          <w:color w:val="1F497D"/>
          <w:sz w:val="26"/>
        </w:rPr>
        <w:t>Declaration of Originality &amp; Compliance</w:t>
      </w:r>
    </w:p>
    <w:p>
      <w:pPr>
        <w:spacing w:before="0" w:after="80"/>
        <w:jc w:val="both"/>
      </w:pPr>
      <w:r>
        <w:rPr>
          <w:rFonts w:ascii="Times New Roman" w:hAnsi="Times New Roman" w:cs="Times New Roman"/>
          <w:rFonts w:ascii="Times New Roman" w:hAnsi="Times New Roman"/>
          <w:b w:val="0"/>
          <w:i w:val="0"/>
          <w:sz w:val="24"/>
        </w:rPr>
        <w:t>To: The Organizing Committee, MASA Hackathon 2026</w:t>
      </w:r>
    </w:p>
    <w:p>
      <w:pPr>
        <w:spacing w:before="100" w:after="40"/>
        <w:jc w:val="left"/>
      </w:pPr>
      <w:r>
        <w:rPr>
          <w:rFonts w:ascii="Times New Roman" w:hAnsi="Times New Roman" w:cs="Times New Roman"/>
          <w:rFonts w:ascii="Times New Roman" w:hAnsi="Times New Roman"/>
          <w:b/>
          <w:i w:val="0"/>
          <w:color w:val="1F497D"/>
          <w:sz w:val="24"/>
        </w:rPr>
        <w:t>1. Statement of Originality</w:t>
      </w:r>
    </w:p>
    <w:p>
      <w:pPr>
        <w:spacing w:before="0" w:after="60"/>
        <w:jc w:val="both"/>
      </w:pPr>
      <w:r>
        <w:rPr>
          <w:rFonts w:ascii="Times New Roman" w:hAnsi="Times New Roman" w:cs="Times New Roman"/>
          <w:rFonts w:ascii="Times New Roman" w:hAnsi="Times New Roman"/>
          <w:b w:val="0"/>
          <w:i w:val="0"/>
          <w:sz w:val="24"/>
        </w:rPr>
        <w:t>We, the undersigned members of "Numbers", declare that this submission for the MASA Hackathon 2026 is our original work. The conceptual framework, methodology, and code were developed solely by our team. The synthesis of PELT regime break detection with GEV theory, and the EIOPA-anchored pass-through rate matrix for treaty repricing, constitutes an original actuarial contribution that does not infringe any third-party intellectual property rights.</w:t>
      </w:r>
    </w:p>
    <w:p>
      <w:pPr>
        <w:spacing w:before="100" w:after="40"/>
        <w:jc w:val="left"/>
      </w:pPr>
      <w:r>
        <w:rPr>
          <w:rFonts w:ascii="Times New Roman" w:hAnsi="Times New Roman" w:cs="Times New Roman"/>
          <w:rFonts w:ascii="Times New Roman" w:hAnsi="Times New Roman"/>
          <w:b/>
          <w:i w:val="0"/>
          <w:color w:val="1F497D"/>
          <w:sz w:val="24"/>
        </w:rPr>
        <w:t>2. Compliance</w:t>
      </w:r>
    </w:p>
    <w:p>
      <w:pPr>
        <w:spacing w:before="0" w:after="60"/>
        <w:jc w:val="both"/>
      </w:pPr>
      <w:r>
        <w:rPr>
          <w:rFonts w:ascii="Times New Roman" w:hAnsi="Times New Roman" w:cs="Times New Roman"/>
          <w:rFonts w:ascii="Times New Roman" w:hAnsi="Times New Roman"/>
          <w:b w:val="0"/>
          <w:i w:val="0"/>
          <w:sz w:val="24"/>
        </w:rPr>
        <w:t>We confirm full compliance with all rules, eligibility requirements, data usage restrictions, and submission deadlines of the MASA Hackathon 2026.</w:t>
      </w:r>
    </w:p>
    <w:p>
      <w:pPr>
        <w:spacing w:before="100" w:after="40"/>
        <w:jc w:val="left"/>
      </w:pPr>
      <w:r>
        <w:rPr>
          <w:rFonts w:ascii="Times New Roman" w:hAnsi="Times New Roman" w:cs="Times New Roman"/>
          <w:rFonts w:ascii="Times New Roman" w:hAnsi="Times New Roman"/>
          <w:b/>
          <w:i w:val="0"/>
          <w:color w:val="1F497D"/>
          <w:sz w:val="24"/>
        </w:rPr>
        <w:t>3. AI &amp; External Resource Disclosure</w:t>
      </w:r>
    </w:p>
    <w:p>
      <w:pPr>
        <w:spacing w:before="0" w:after="60"/>
        <w:jc w:val="both"/>
      </w:pPr>
      <w:r>
        <w:rPr>
          <w:rFonts w:ascii="Times New Roman" w:hAnsi="Times New Roman" w:cs="Times New Roman"/>
          <w:rFonts w:ascii="Times New Roman" w:hAnsi="Times New Roman"/>
          <w:b w:val="0"/>
          <w:i w:val="0"/>
          <w:sz w:val="24"/>
        </w:rPr>
        <w:t>All external datasets and references are cited. AI tools (Claude Sonnet 4.6, Anthropic) were used for code structuring and documentation drafting only. Core actuarial logic remains our team's primary intellectual output, verified against WDI, CHIRPS, EM-DAT, NOAA ONI, NGFS, and Climate Watch data sources.</w:t>
      </w:r>
    </w:p>
    <w:p>
      <w:pPr>
        <w:spacing w:before="100" w:after="40"/>
        <w:jc w:val="left"/>
      </w:pPr>
      <w:r>
        <w:rPr>
          <w:rFonts w:ascii="Times New Roman" w:hAnsi="Times New Roman" w:cs="Times New Roman"/>
          <w:rFonts w:ascii="Times New Roman" w:hAnsi="Times New Roman"/>
          <w:b/>
          <w:i w:val="0"/>
          <w:color w:val="1F497D"/>
          <w:sz w:val="24"/>
        </w:rPr>
        <w:t>Signatures</w:t>
      </w:r>
    </w:p>
    <w:tbl>
      <w:tblPr>
        <w:tblStyle w:val="TableGrid"/>
        <w:tblW w:type="auto" w:w="0"/>
        <w:jc w:val="center"/>
        <w:tblLook w:firstColumn="1" w:firstRow="1" w:lastColumn="0" w:lastRow="0" w:noHBand="0" w:noVBand="1" w:val="04A0"/>
      </w:tblPr>
      <w:tblGrid>
        <w:gridCol w:w="5043"/>
        <w:gridCol w:w="5043"/>
      </w:tblGrid>
      <w:tr>
        <w:tc>
          <w:tcPr>
            <w:tcW w:type="dxa" w:w="5043"/>
            <w:shd w:val="clear" w:color="auto" w:fill="1F497D"/>
          </w:tcPr>
          <w:p>
            <w:pPr>
              <w:spacing w:after="20" w:before="20"/>
              <w:jc w:val="center"/>
            </w:pPr>
            <w:r>
              <w:rPr>
                <w:rFonts w:ascii="Times New Roman" w:hAnsi="Times New Roman" w:cs="Times New Roman"/>
                <w:rFonts w:ascii="Times New Roman" w:hAnsi="Times New Roman"/>
                <w:b/>
                <w:i w:val="0"/>
                <w:color w:val="FFFFFF"/>
                <w:sz w:val="24"/>
              </w:rPr>
              <w:t>Name</w:t>
            </w:r>
          </w:p>
        </w:tc>
        <w:tc>
          <w:tcPr>
            <w:tcW w:type="dxa" w:w="5043"/>
            <w:shd w:val="clear" w:color="auto" w:fill="1F497D"/>
          </w:tcPr>
          <w:p>
            <w:pPr>
              <w:spacing w:after="20" w:before="20"/>
              <w:jc w:val="center"/>
            </w:pPr>
            <w:r>
              <w:rPr>
                <w:rFonts w:ascii="Times New Roman" w:hAnsi="Times New Roman" w:cs="Times New Roman"/>
                <w:rFonts w:ascii="Times New Roman" w:hAnsi="Times New Roman"/>
                <w:b/>
                <w:i w:val="0"/>
                <w:color w:val="FFFFFF"/>
                <w:sz w:val="24"/>
              </w:rPr>
              <w:t>Signature</w:t>
            </w:r>
          </w:p>
        </w:tc>
      </w:tr>
      <w:tr>
        <w:tc>
          <w:tcPr>
            <w:tcW w:type="dxa" w:w="5043"/>
          </w:tcPr>
          <w:p>
            <w:pPr>
              <w:jc w:val="center"/>
            </w:pPr>
            <w:r>
              <w:rPr>
                <w:rFonts w:ascii="Times New Roman" w:hAnsi="Times New Roman" w:cs="Times New Roman"/>
                <w:rFonts w:ascii="Times New Roman" w:hAnsi="Times New Roman"/>
                <w:b w:val="0"/>
                <w:i w:val="0"/>
                <w:sz w:val="24"/>
              </w:rPr>
              <w:t>Khe Jia Kang</w:t>
            </w:r>
          </w:p>
        </w:tc>
        <w:tc>
          <w:tcPr>
            <w:tcW w:type="dxa" w:w="5043"/>
          </w:tcPr>
          <w:p>
            <w:pPr>
              <w:jc w:val="center"/>
            </w:pPr>
            <w:r>
              <w:rPr>
                <w:rFonts w:ascii="Times New Roman" w:hAnsi="Times New Roman" w:cs="Times New Roman"/>
                <w:rFonts w:ascii="Times New Roman" w:hAnsi="Times New Roman"/>
                <w:b w:val="0"/>
                <w:i w:val="0"/>
                <w:sz w:val="24"/>
              </w:rPr>
              <w:t>Jia Kang</w:t>
            </w:r>
          </w:p>
        </w:tc>
      </w:tr>
      <w:tr>
        <w:tc>
          <w:tcPr>
            <w:tcW w:type="dxa" w:w="5043"/>
          </w:tcPr>
          <w:p>
            <w:pPr>
              <w:jc w:val="center"/>
            </w:pPr>
            <w:r>
              <w:rPr>
                <w:rFonts w:ascii="Times New Roman" w:hAnsi="Times New Roman" w:cs="Times New Roman"/>
                <w:rFonts w:ascii="Times New Roman" w:hAnsi="Times New Roman"/>
                <w:b w:val="0"/>
                <w:i w:val="0"/>
                <w:sz w:val="24"/>
              </w:rPr>
              <w:t>Lean Wen Jie</w:t>
            </w:r>
          </w:p>
        </w:tc>
        <w:tc>
          <w:tcPr>
            <w:tcW w:type="dxa" w:w="5043"/>
          </w:tcPr>
          <w:p>
            <w:pPr>
              <w:jc w:val="center"/>
            </w:pPr>
            <w:r>
              <w:rPr>
                <w:rFonts w:ascii="Times New Roman" w:hAnsi="Times New Roman" w:cs="Times New Roman"/>
                <w:rFonts w:ascii="Times New Roman" w:hAnsi="Times New Roman"/>
                <w:b w:val="0"/>
                <w:i w:val="0"/>
                <w:sz w:val="24"/>
              </w:rPr>
              <w:t>Wen Jie</w:t>
            </w:r>
          </w:p>
        </w:tc>
      </w:tr>
      <w:tr>
        <w:tc>
          <w:tcPr>
            <w:tcW w:type="dxa" w:w="5043"/>
          </w:tcPr>
          <w:p>
            <w:pPr>
              <w:jc w:val="center"/>
            </w:pPr>
            <w:r>
              <w:rPr>
                <w:rFonts w:ascii="Times New Roman" w:hAnsi="Times New Roman" w:cs="Times New Roman"/>
                <w:rFonts w:ascii="Times New Roman" w:hAnsi="Times New Roman"/>
                <w:b w:val="0"/>
                <w:i w:val="0"/>
                <w:sz w:val="24"/>
              </w:rPr>
              <w:t>Lee Jing Xuan</w:t>
            </w:r>
          </w:p>
        </w:tc>
        <w:tc>
          <w:tcPr>
            <w:tcW w:type="dxa" w:w="5043"/>
          </w:tcPr>
          <w:p>
            <w:pPr>
              <w:jc w:val="center"/>
            </w:pPr>
            <w:r>
              <w:rPr>
                <w:rFonts w:ascii="Times New Roman" w:hAnsi="Times New Roman" w:cs="Times New Roman"/>
                <w:rFonts w:ascii="Times New Roman" w:hAnsi="Times New Roman"/>
                <w:b w:val="0"/>
                <w:i w:val="0"/>
                <w:sz w:val="24"/>
              </w:rPr>
              <w:t>Sean</w:t>
            </w:r>
          </w:p>
        </w:tc>
      </w:tr>
      <w:tr>
        <w:tc>
          <w:tcPr>
            <w:tcW w:type="dxa" w:w="5043"/>
          </w:tcPr>
          <w:p>
            <w:pPr>
              <w:jc w:val="center"/>
            </w:pPr>
            <w:r>
              <w:rPr>
                <w:rFonts w:ascii="Times New Roman" w:hAnsi="Times New Roman" w:cs="Times New Roman"/>
                <w:rFonts w:ascii="Times New Roman" w:hAnsi="Times New Roman"/>
                <w:b w:val="0"/>
                <w:i w:val="0"/>
                <w:sz w:val="24"/>
              </w:rPr>
              <w:t>Lau Hiap Meng</w:t>
            </w:r>
          </w:p>
        </w:tc>
        <w:tc>
          <w:tcPr>
            <w:tcW w:type="dxa" w:w="5043"/>
          </w:tcPr>
          <w:p>
            <w:pPr>
              <w:jc w:val="center"/>
            </w:pPr>
            <w:r>
              <w:rPr>
                <w:rFonts w:ascii="Times New Roman" w:hAnsi="Times New Roman" w:cs="Times New Roman"/>
                <w:rFonts w:ascii="Times New Roman" w:hAnsi="Times New Roman"/>
                <w:b w:val="0"/>
                <w:i w:val="0"/>
                <w:sz w:val="24"/>
              </w:rPr>
              <w:t>Hiap Meng</w:t>
            </w:r>
          </w:p>
        </w:tc>
      </w:tr>
      <w:tr>
        <w:tc>
          <w:tcPr>
            <w:tcW w:type="dxa" w:w="5043"/>
          </w:tcPr>
          <w:p>
            <w:pPr>
              <w:jc w:val="center"/>
            </w:pPr>
            <w:r>
              <w:rPr>
                <w:rFonts w:ascii="Times New Roman" w:hAnsi="Times New Roman" w:cs="Times New Roman"/>
                <w:rFonts w:ascii="Times New Roman" w:hAnsi="Times New Roman"/>
                <w:b w:val="0"/>
                <w:i w:val="0"/>
                <w:sz w:val="24"/>
              </w:rPr>
              <w:t>Felicia Sia Xin Rou</w:t>
            </w:r>
          </w:p>
        </w:tc>
        <w:tc>
          <w:tcPr>
            <w:tcW w:type="dxa" w:w="5043"/>
          </w:tcPr>
          <w:p>
            <w:pPr>
              <w:jc w:val="center"/>
            </w:pPr>
            <w:r>
              <w:rPr>
                <w:rFonts w:ascii="Times New Roman" w:hAnsi="Times New Roman" w:cs="Times New Roman"/>
                <w:rFonts w:ascii="Times New Roman" w:hAnsi="Times New Roman"/>
                <w:b w:val="0"/>
                <w:i w:val="0"/>
                <w:sz w:val="24"/>
              </w:rPr>
              <w:t>Felicia</w:t>
            </w:r>
          </w:p>
        </w:tc>
      </w:tr>
    </w:tbl>
    <w:p>
      <w:r>
        <w:br w:type="page"/>
      </w:r>
    </w:p>
    <w:p>
      <w:pPr>
        <w:spacing w:before="160" w:after="60"/>
        <w:jc w:val="left"/>
      </w:pPr>
      <w:r>
        <w:rPr>
          <w:rFonts w:ascii="Times New Roman" w:hAnsi="Times New Roman" w:cs="Times New Roman"/>
          <w:rFonts w:ascii="Times New Roman" w:hAnsi="Times New Roman"/>
          <w:b/>
          <w:i w:val="0"/>
          <w:color w:val="1F497D"/>
          <w:sz w:val="26"/>
        </w:rPr>
        <w:t>Table of Contents</w:t>
      </w:r>
    </w:p>
    <w:p>
      <w:pPr>
        <w:spacing w:after="40"/>
      </w:pPr>
      <w:r>
        <w:rPr>
          <w:rFonts w:ascii="Times New Roman" w:hAnsi="Times New Roman" w:cs="Times New Roman"/>
          <w:rFonts w:ascii="Times New Roman" w:hAnsi="Times New Roman"/>
          <w:b/>
          <w:i w:val="0"/>
          <w:sz w:val="24"/>
        </w:rPr>
        <w:t>1.  Executive Summary</w:t>
      </w:r>
    </w:p>
    <w:p>
      <w:pPr>
        <w:spacing w:after="40"/>
      </w:pPr>
      <w:r>
        <w:rPr>
          <w:rFonts w:ascii="Times New Roman" w:hAnsi="Times New Roman" w:cs="Times New Roman"/>
          <w:rFonts w:ascii="Times New Roman" w:hAnsi="Times New Roman"/>
          <w:b/>
          <w:i w:val="0"/>
          <w:sz w:val="24"/>
        </w:rPr>
        <w:t>2.  Problem Framing &amp; Data Landscape</w:t>
      </w:r>
    </w:p>
    <w:p>
      <w:pPr>
        <w:spacing w:after="40"/>
      </w:pPr>
      <w:r>
        <w:rPr>
          <w:rFonts w:ascii="Times New Roman" w:hAnsi="Times New Roman" w:cs="Times New Roman"/>
          <w:rFonts w:ascii="Times New Roman" w:hAnsi="Times New Roman"/>
          <w:b/>
          <w:i w:val="0"/>
          <w:sz w:val="24"/>
        </w:rPr>
        <w:t>3.  GHG Forecasting — ARIMA Model</w:t>
      </w:r>
    </w:p>
    <w:p>
      <w:pPr>
        <w:spacing w:after="40"/>
      </w:pPr>
      <w:r>
        <w:rPr>
          <w:rFonts w:ascii="Times New Roman" w:hAnsi="Times New Roman" w:cs="Times New Roman"/>
          <w:rFonts w:ascii="Times New Roman" w:hAnsi="Times New Roman"/>
          <w:b/>
          <w:i w:val="0"/>
          <w:sz w:val="24"/>
        </w:rPr>
        <w:t>4.  Physical Hazard — GEV Analysis &amp; EAL Repricing</w:t>
      </w:r>
    </w:p>
    <w:p>
      <w:pPr>
        <w:spacing w:after="40"/>
      </w:pPr>
      <w:r>
        <w:rPr>
          <w:rFonts w:ascii="Times New Roman" w:hAnsi="Times New Roman" w:cs="Times New Roman"/>
          <w:rFonts w:ascii="Times New Roman" w:hAnsi="Times New Roman"/>
          <w:b/>
          <w:i w:val="0"/>
          <w:sz w:val="24"/>
        </w:rPr>
        <w:t>5.  ENSO Dependence &amp; Copula Analysis</w:t>
      </w:r>
    </w:p>
    <w:p>
      <w:pPr>
        <w:spacing w:after="40"/>
      </w:pPr>
      <w:r>
        <w:rPr>
          <w:rFonts w:ascii="Times New Roman" w:hAnsi="Times New Roman" w:cs="Times New Roman"/>
          <w:rFonts w:ascii="Times New Roman" w:hAnsi="Times New Roman"/>
          <w:b/>
          <w:i w:val="0"/>
          <w:sz w:val="24"/>
        </w:rPr>
        <w:t>6.  Transition Risk — NGFS GCAM 6.0 Assessment</w:t>
      </w:r>
    </w:p>
    <w:p>
      <w:pPr>
        <w:spacing w:after="40"/>
      </w:pPr>
      <w:r>
        <w:rPr>
          <w:rFonts w:ascii="Times New Roman" w:hAnsi="Times New Roman" w:cs="Times New Roman"/>
          <w:rFonts w:ascii="Times New Roman" w:hAnsi="Times New Roman"/>
          <w:b/>
          <w:i w:val="0"/>
          <w:sz w:val="24"/>
        </w:rPr>
        <w:t>7.  Stress Testing &amp; 2030 Projections</w:t>
      </w:r>
    </w:p>
    <w:p>
      <w:pPr>
        <w:spacing w:after="40"/>
      </w:pPr>
      <w:r>
        <w:rPr>
          <w:rFonts w:ascii="Times New Roman" w:hAnsi="Times New Roman" w:cs="Times New Roman"/>
          <w:rFonts w:ascii="Times New Roman" w:hAnsi="Times New Roman"/>
          <w:b/>
          <w:i w:val="0"/>
          <w:sz w:val="24"/>
        </w:rPr>
        <w:t>8.  Financial Impact — Hannover Re Reserve Implications</w:t>
      </w:r>
    </w:p>
    <w:p>
      <w:pPr>
        <w:spacing w:after="40"/>
      </w:pPr>
      <w:r>
        <w:rPr>
          <w:rFonts w:ascii="Times New Roman" w:hAnsi="Times New Roman" w:cs="Times New Roman"/>
          <w:rFonts w:ascii="Times New Roman" w:hAnsi="Times New Roman"/>
          <w:b/>
          <w:i w:val="0"/>
          <w:sz w:val="24"/>
        </w:rPr>
        <w:t>9.  Strategic Risk Management Recommendations</w:t>
      </w:r>
    </w:p>
    <w:p>
      <w:pPr>
        <w:spacing w:after="40"/>
      </w:pPr>
      <w:r>
        <w:rPr>
          <w:rFonts w:ascii="Times New Roman" w:hAnsi="Times New Roman" w:cs="Times New Roman"/>
          <w:rFonts w:ascii="Times New Roman" w:hAnsi="Times New Roman"/>
          <w:b/>
          <w:i w:val="0"/>
          <w:sz w:val="24"/>
        </w:rPr>
        <w:t>10.  Limitations, Scalability &amp; Conclusion</w:t>
      </w:r>
    </w:p>
    <w:p>
      <w:r>
        <w:br w:type="page"/>
      </w:r>
    </w:p>
    <w:p>
      <w:pPr>
        <w:spacing w:before="160" w:after="60"/>
        <w:jc w:val="left"/>
      </w:pPr>
      <w:r>
        <w:rPr>
          <w:rFonts w:ascii="Times New Roman" w:hAnsi="Times New Roman" w:cs="Times New Roman"/>
          <w:rFonts w:ascii="Times New Roman" w:hAnsi="Times New Roman"/>
          <w:b/>
          <w:i w:val="0"/>
          <w:color w:val="1F497D"/>
          <w:sz w:val="26"/>
        </w:rPr>
        <w:t>1. Executive Summary</w:t>
      </w:r>
    </w:p>
    <w:p>
      <w:pPr>
        <w:spacing w:before="0" w:after="60"/>
        <w:jc w:val="both"/>
      </w:pPr>
      <w:r>
        <w:rPr>
          <w:rFonts w:ascii="Times New Roman" w:hAnsi="Times New Roman" w:cs="Times New Roman"/>
          <w:rFonts w:ascii="Times New Roman" w:hAnsi="Times New Roman"/>
          <w:b w:val="0"/>
          <w:i w:val="0"/>
          <w:sz w:val="24"/>
        </w:rPr>
        <w:t>Hannover Re's SEA non-life treaty book carries two distinct, compounding pricing gaps that current burning-cost methods cannot detect. The first is physical: a 2007 hazard regime shift — confirmed by PELT analysis across both Malaysia and the Philippines — has raised flood and typhoon baselines by +6.9% and +6.1% respectively, translating into a combined EAL shortfall of USD 18.4M/yr. The second is transitional: NGFS NZ2050 carbon pricing at USD 55.578/t generates a USD 1.115bn/yr compliance pass-through into the SEA treaty pool at a 3% rate. A critical asymmetry exists — Malaysia is a net LULUCF emitter (+63 MtCO₂e, palm oil), while the Philippines is a net sink (-27 MtCO₂e, REDD+), making any uniform SEA loading actuarially incorrect. The resulting HRe reserve gap spans USD 3.4M (floor) to USD 9.7M (central) to USD 18.6M (stress) per year.</w:t>
      </w:r>
    </w:p>
    <w:p>
      <w:pPr>
        <w:spacing w:before="0" w:after="60"/>
        <w:jc w:val="both"/>
      </w:pPr>
      <w:r>
        <w:rPr>
          <w:rFonts w:ascii="Times New Roman" w:hAnsi="Times New Roman" w:cs="Times New Roman"/>
          <w:rFonts w:ascii="Times New Roman" w:hAnsi="Times New Roman"/>
          <w:b w:val="0"/>
          <w:i w:val="0"/>
          <w:sz w:val="24"/>
        </w:rPr>
        <w:t>By 2030, the combined compliance cost reaches USD 23.8bn (MYS) and USD 15.9bn (PHL) at baseline, and USD 47.7bn (MYS) / USD 31.7bn (PHL) under the 2× carbon stress — with 2027 as the actionable repricing trigger year before capital constraints bind.</w:t>
      </w:r>
    </w:p>
    <w:p>
      <w:pPr>
        <w:spacing w:before="0" w:after="60"/>
        <w:jc w:val="both"/>
      </w:pPr>
    </w:p>
    <w:p>
      <w:pPr>
        <w:spacing w:before="100" w:after="40"/>
        <w:jc w:val="left"/>
      </w:pPr>
      <w:r>
        <w:rPr>
          <w:rFonts w:ascii="Times New Roman" w:hAnsi="Times New Roman" w:cs="Times New Roman"/>
          <w:rFonts w:ascii="Times New Roman" w:hAnsi="Times New Roman"/>
          <w:b/>
          <w:i w:val="0"/>
          <w:color w:val="1F497D"/>
          <w:sz w:val="24"/>
        </w:rPr>
        <w:t>Key Quantitative Results</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497D"/>
            <w:tcW w:w="3744" w:type="dxa"/>
          </w:tcPr>
          <w:p>
            <w:pPr>
              <w:spacing w:after="20" w:before="20"/>
              <w:jc w:val="center"/>
            </w:pPr>
            <w:r>
              <w:rPr>
                <w:rFonts w:ascii="Times New Roman" w:hAnsi="Times New Roman" w:cs="Times New Roman"/>
                <w:rFonts w:ascii="Times New Roman" w:hAnsi="Times New Roman"/>
                <w:b/>
                <w:i w:val="0"/>
                <w:color w:val="FFFFFF"/>
                <w:sz w:val="20"/>
              </w:rPr>
              <w:t>Metric</w:t>
            </w:r>
          </w:p>
        </w:tc>
        <w:tc>
          <w:tcPr>
            <w:tcW w:type="dxa" w:w="3362"/>
            <w:shd w:val="clear" w:color="auto" w:fill="1F497D"/>
            <w:tcW w:w="2664" w:type="dxa"/>
          </w:tcPr>
          <w:p>
            <w:pPr>
              <w:spacing w:after="20" w:before="20"/>
              <w:jc w:val="center"/>
            </w:pPr>
            <w:r>
              <w:rPr>
                <w:rFonts w:ascii="Times New Roman" w:hAnsi="Times New Roman" w:cs="Times New Roman"/>
                <w:rFonts w:ascii="Times New Roman" w:hAnsi="Times New Roman"/>
                <w:b/>
                <w:i w:val="0"/>
                <w:color w:val="FFFFFF"/>
                <w:sz w:val="20"/>
              </w:rPr>
              <w:t>Malaysia (MYS)</w:t>
            </w:r>
          </w:p>
        </w:tc>
        <w:tc>
          <w:tcPr>
            <w:tcW w:type="dxa" w:w="3362"/>
            <w:shd w:val="clear" w:color="auto" w:fill="1F497D"/>
            <w:tcW w:w="2664" w:type="dxa"/>
          </w:tcPr>
          <w:p>
            <w:pPr>
              <w:spacing w:after="20" w:before="20"/>
              <w:jc w:val="center"/>
            </w:pPr>
            <w:r>
              <w:rPr>
                <w:rFonts w:ascii="Times New Roman" w:hAnsi="Times New Roman" w:cs="Times New Roman"/>
                <w:rFonts w:ascii="Times New Roman" w:hAnsi="Times New Roman"/>
                <w:b/>
                <w:i w:val="0"/>
                <w:color w:val="FFFFFF"/>
                <w:sz w:val="20"/>
              </w:rPr>
              <w:t>Philippines (PHL)</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ARIMA 2024 GHG forecast / MAPE</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325.1 MtCO₂e  (MAPE 1.71%)</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260.8 MtCO₂e  (MAPE 3.56%)</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GEV 100-yr RX5day return level</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216mm  [171–344]</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521mm  [326–985]</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PELT break year / hazard uplift</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2007 / +6.9%</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2007 / +6.1%</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Forward EAL vs. burning-cost gap</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6.5M/yr (+5.87%)</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11.9M/yr (+1.28%)</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ENSO–loss correlation (ONI DJF)</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 = -0.016,  p = 0.93</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 = -0.026,  p = 0.83</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Transition cost @ NGFS NZ2050 (2024)</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21.6bn/yr (5.3% GDP)</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14.5bn/yr (3.3% GDP)</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Transition cost @ NGFS NZ2050 (2030)</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USD 23.8bn/yr (5.8% GDP)</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USD 15.9bn/yr (3.6% GDP)</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HRe reserve gap (floor / central / stress)</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3.4M / 9.7M / 18.6M/yr</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SEA pool: USD 1.115bn/yr</w:t>
            </w:r>
          </w:p>
        </w:tc>
      </w:tr>
    </w:tbl>
    <w:p>
      <w:pPr>
        <w:spacing w:before="0" w:after="60"/>
        <w:jc w:val="both"/>
      </w:pPr>
    </w:p>
    <w:p>
      <w:pPr>
        <w:spacing w:before="100" w:after="40"/>
        <w:jc w:val="left"/>
      </w:pPr>
      <w:r>
        <w:rPr>
          <w:rFonts w:ascii="Times New Roman" w:hAnsi="Times New Roman" w:cs="Times New Roman"/>
          <w:rFonts w:ascii="Times New Roman" w:hAnsi="Times New Roman"/>
          <w:b/>
          <w:i w:val="0"/>
          <w:color w:val="1F497D"/>
          <w:sz w:val="24"/>
        </w:rPr>
        <w:t>Five Strategic Recommendations</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497D"/>
            <w:tcW w:w="503" w:type="dxa"/>
          </w:tcPr>
          <w:p>
            <w:pPr>
              <w:spacing w:after="20" w:before="20"/>
              <w:jc w:val="center"/>
            </w:pPr>
            <w:r>
              <w:rPr>
                <w:rFonts w:ascii="Times New Roman" w:hAnsi="Times New Roman" w:cs="Times New Roman"/>
                <w:rFonts w:ascii="Times New Roman" w:hAnsi="Times New Roman"/>
                <w:b/>
                <w:i w:val="0"/>
                <w:color w:val="FFFFFF"/>
                <w:sz w:val="20"/>
              </w:rPr>
              <w:t>#</w:t>
            </w:r>
          </w:p>
        </w:tc>
        <w:tc>
          <w:tcPr>
            <w:tcW w:type="dxa" w:w="3362"/>
            <w:shd w:val="clear" w:color="auto" w:fill="1F497D"/>
            <w:tcW w:w="2304" w:type="dxa"/>
          </w:tcPr>
          <w:p>
            <w:pPr>
              <w:spacing w:after="20" w:before="20"/>
              <w:jc w:val="center"/>
            </w:pPr>
            <w:r>
              <w:rPr>
                <w:rFonts w:ascii="Times New Roman" w:hAnsi="Times New Roman" w:cs="Times New Roman"/>
                <w:rFonts w:ascii="Times New Roman" w:hAnsi="Times New Roman"/>
                <w:b/>
                <w:i w:val="0"/>
                <w:color w:val="FFFFFF"/>
                <w:sz w:val="20"/>
              </w:rPr>
              <w:t>Recommendation</w:t>
            </w:r>
          </w:p>
        </w:tc>
        <w:tc>
          <w:tcPr>
            <w:tcW w:type="dxa" w:w="3362"/>
            <w:shd w:val="clear" w:color="auto" w:fill="1F497D"/>
            <w:tcW w:w="6263" w:type="dxa"/>
          </w:tcPr>
          <w:p>
            <w:pPr>
              <w:spacing w:after="20" w:before="20"/>
              <w:jc w:val="center"/>
            </w:pPr>
            <w:r>
              <w:rPr>
                <w:rFonts w:ascii="Times New Roman" w:hAnsi="Times New Roman" w:cs="Times New Roman"/>
                <w:rFonts w:ascii="Times New Roman" w:hAnsi="Times New Roman"/>
                <w:b/>
                <w:i w:val="0"/>
                <w:color w:val="FFFFFF"/>
                <w:sz w:val="20"/>
              </w:rPr>
              <w:t>Trigger / Regulatory Anchor</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R1</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GEV EAL flood loading</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+35–36% MYS treaties &gt;USD 50M; +1–2% floor PHL. BNM CCPT Pillar 1 s.3.4</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R2</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Country transition surcharges</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3–5% MYS (CCPT C3/C4); 1–2% PHL (BSP 1085 s.X.4)</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R3</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ENSO conditional audit trigger</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NOAA OND ONI ≤ -0.5°C. TCFD Risk Mgmt Rec (b). NOT a pricing variable</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R4</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Climate warranty clause</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MYS LULUCF: 10% co-participation. EUDR Art. 8; Lloyd's ESG 2023 s.2.3</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R5</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Data procurement (0–12 months)</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Loss triangles + sub-national CHIRPS → narrows reserve band ~60%</w:t>
            </w:r>
          </w:p>
        </w:tc>
      </w:tr>
    </w:tbl>
    <w:p>
      <w:r>
        <w:br w:type="page"/>
      </w:r>
    </w:p>
    <w:p>
      <w:pPr>
        <w:spacing w:before="160" w:after="60"/>
        <w:jc w:val="left"/>
      </w:pPr>
      <w:r>
        <w:rPr>
          <w:rFonts w:ascii="Times New Roman" w:hAnsi="Times New Roman" w:cs="Times New Roman"/>
          <w:rFonts w:ascii="Times New Roman" w:hAnsi="Times New Roman"/>
          <w:b/>
          <w:i w:val="0"/>
          <w:color w:val="1F497D"/>
          <w:sz w:val="26"/>
        </w:rPr>
        <w:t>2. Problem Framing &amp; Data Landscape</w:t>
      </w:r>
    </w:p>
    <w:p>
      <w:pPr>
        <w:spacing w:before="0" w:after="60"/>
        <w:jc w:val="both"/>
      </w:pPr>
      <w:r>
        <w:rPr>
          <w:rFonts w:ascii="Times New Roman" w:hAnsi="Times New Roman" w:cs="Times New Roman"/>
          <w:rFonts w:ascii="Times New Roman" w:hAnsi="Times New Roman"/>
          <w:b w:val="0"/>
          <w:i w:val="0"/>
          <w:sz w:val="24"/>
        </w:rPr>
        <w:t>Hannover Re's current treaty pricing relies on burning-cost methods calibrated before a documented 2007 hazard regime shift — leaving flood and typhoon treaties systematically underpriced. Simultaneously, BNM CCPT (Malaysia) and BSP Circular 1085 (Philippines) impose divergent carbon-regulatory pressures that a single SEA surcharge cannot address. This assessment focuses on Malaysia (MYS: 81 EM-DAT flood events, 1990–2023) and the Philippines (PHL: 414 typhoon events) — the two markets with the highest insured-loss concentration in HRe's APAC non-life sub-book.</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497D"/>
            <w:tcW w:w="2304" w:type="dxa"/>
          </w:tcPr>
          <w:p>
            <w:pPr>
              <w:spacing w:after="20" w:before="20"/>
              <w:jc w:val="center"/>
            </w:pPr>
            <w:r>
              <w:rPr>
                <w:rFonts w:ascii="Times New Roman" w:hAnsi="Times New Roman" w:cs="Times New Roman"/>
                <w:rFonts w:ascii="Times New Roman" w:hAnsi="Times New Roman"/>
                <w:b/>
                <w:i w:val="0"/>
                <w:color w:val="FFFFFF"/>
                <w:sz w:val="20"/>
              </w:rPr>
              <w:t>Risk Channel</w:t>
            </w:r>
          </w:p>
        </w:tc>
        <w:tc>
          <w:tcPr>
            <w:tcW w:type="dxa" w:w="3362"/>
            <w:shd w:val="clear" w:color="auto" w:fill="1F497D"/>
            <w:tcW w:w="3456" w:type="dxa"/>
          </w:tcPr>
          <w:p>
            <w:pPr>
              <w:spacing w:after="20" w:before="20"/>
              <w:jc w:val="center"/>
            </w:pPr>
            <w:r>
              <w:rPr>
                <w:rFonts w:ascii="Times New Roman" w:hAnsi="Times New Roman" w:cs="Times New Roman"/>
                <w:rFonts w:ascii="Times New Roman" w:hAnsi="Times New Roman"/>
                <w:b/>
                <w:i w:val="0"/>
                <w:color w:val="FFFFFF"/>
                <w:sz w:val="20"/>
              </w:rPr>
              <w:t>Data / Model</w:t>
            </w:r>
          </w:p>
        </w:tc>
        <w:tc>
          <w:tcPr>
            <w:tcW w:type="dxa" w:w="3362"/>
            <w:shd w:val="clear" w:color="auto" w:fill="1F497D"/>
            <w:tcW w:w="3311" w:type="dxa"/>
          </w:tcPr>
          <w:p>
            <w:pPr>
              <w:spacing w:after="20" w:before="20"/>
              <w:jc w:val="center"/>
            </w:pPr>
            <w:r>
              <w:rPr>
                <w:rFonts w:ascii="Times New Roman" w:hAnsi="Times New Roman" w:cs="Times New Roman"/>
                <w:rFonts w:ascii="Times New Roman" w:hAnsi="Times New Roman"/>
                <w:b/>
                <w:i w:val="0"/>
                <w:color w:val="FFFFFF"/>
                <w:sz w:val="20"/>
              </w:rPr>
              <w:t>Pricing Instrument</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Physical – Hazard</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CHIRPS v2.0 RX5day, GEV + PELT</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Treaty flood EAL loading</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Physical – Vulnerability</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WDI Urbanisation × GDP/capita</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EAL structural trend factor</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Transition – Regulatory</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NGFS GCAM 6.0 × Climate Watch 2023</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Country surcharge (3–5%)</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Transition – LULUCF</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MYS emitter +63 vs PHL sink -27 MtCO₂e</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Asymmetric climate warranty</w:t>
            </w:r>
          </w:p>
        </w:tc>
      </w:tr>
    </w:tbl>
    <w:p>
      <w:pPr>
        <w:spacing w:before="0" w:after="60"/>
        <w:jc w:val="both"/>
      </w:pPr>
    </w:p>
    <w:tbl>
      <w:tblPr>
        <w:tblStyle w:val="TableGrid"/>
        <w:tblW w:type="auto" w:w="0"/>
        <w:jc w:val="center"/>
        <w:tblLook w:firstColumn="1" w:firstRow="1" w:lastColumn="0" w:lastRow="0" w:noHBand="0" w:noVBand="1" w:val="04A0"/>
      </w:tblPr>
      <w:tblGrid>
        <w:gridCol w:w="5043"/>
        <w:gridCol w:w="5043"/>
      </w:tblGrid>
      <w:tr>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154408"/>
                  <wp:docPr id="1" name="Picture 1"/>
                  <wp:cNvGraphicFramePr>
                    <a:graphicFrameLocks noChangeAspect="1"/>
                  </wp:cNvGraphicFramePr>
                  <a:graphic>
                    <a:graphicData uri="http://schemas.openxmlformats.org/drawingml/2006/picture">
                      <pic:pic>
                        <pic:nvPicPr>
                          <pic:cNvPr id="0" name="r1_ghg_urban_dual_axis.png"/>
                          <pic:cNvPicPr/>
                        </pic:nvPicPr>
                        <pic:blipFill>
                          <a:blip r:embed="rId9"/>
                          <a:stretch>
                            <a:fillRect/>
                          </a:stretch>
                        </pic:blipFill>
                        <pic:spPr>
                          <a:xfrm>
                            <a:off x="0" y="0"/>
                            <a:ext cx="2743200" cy="1154408"/>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1a – GHG vs. urbanisation MYS &amp; PHL (1990–2023).</w:t>
            </w:r>
          </w:p>
        </w:tc>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089512"/>
                  <wp:docPr id="2" name="Picture 2"/>
                  <wp:cNvGraphicFramePr>
                    <a:graphicFrameLocks noChangeAspect="1"/>
                  </wp:cNvGraphicFramePr>
                  <a:graphic>
                    <a:graphicData uri="http://schemas.openxmlformats.org/drawingml/2006/picture">
                      <pic:pic>
                        <pic:nvPicPr>
                          <pic:cNvPr id="0" name="r1_cw_sector_decomposition.png"/>
                          <pic:cNvPicPr/>
                        </pic:nvPicPr>
                        <pic:blipFill>
                          <a:blip r:embed="rId10"/>
                          <a:stretch>
                            <a:fillRect/>
                          </a:stretch>
                        </pic:blipFill>
                        <pic:spPr>
                          <a:xfrm>
                            <a:off x="0" y="0"/>
                            <a:ext cx="2743200" cy="1089512"/>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1b – Climate Watch 2023 sector decomposition: Energy 69.5% of MYS total.</w:t>
            </w:r>
          </w:p>
        </w:tc>
      </w:tr>
    </w:tbl>
    <w:p>
      <w:pPr>
        <w:spacing w:before="0" w:after="60"/>
        <w:jc w:val="both"/>
      </w:pPr>
      <w:r>
        <w:rPr>
          <w:rFonts w:ascii="Times New Roman" w:hAnsi="Times New Roman" w:cs="Times New Roman"/>
          <w:rFonts w:ascii="Times New Roman" w:hAnsi="Times New Roman"/>
          <w:b w:val="0"/>
          <w:i w:val="0"/>
          <w:sz w:val="24"/>
        </w:rPr>
        <w:t>GHG emissions grew +271% (MYS) and +177% (PHL) over 1990–2023. Malaysia's urban share increased from 49% to 76% — the same flood footprint now covers 56% more assets, driving structural EAL growth independent of any change in hazard intensity. MYS LULUCF (15.7% of transition exposure) adds a regulatory burden entirely absent in PHL, underpinning the country-specific design of R2.</w:t>
      </w:r>
    </w:p>
    <w:p>
      <w:r>
        <w:br w:type="page"/>
      </w:r>
    </w:p>
    <w:p>
      <w:pPr>
        <w:spacing w:before="160" w:after="60"/>
        <w:jc w:val="left"/>
      </w:pPr>
      <w:r>
        <w:rPr>
          <w:rFonts w:ascii="Times New Roman" w:hAnsi="Times New Roman" w:cs="Times New Roman"/>
          <w:rFonts w:ascii="Times New Roman" w:hAnsi="Times New Roman"/>
          <w:b/>
          <w:i w:val="0"/>
          <w:color w:val="1F497D"/>
          <w:sz w:val="26"/>
        </w:rPr>
        <w:t>3. GHG Forecasting — ARIMA Model</w:t>
      </w:r>
    </w:p>
    <w:p>
      <w:pPr>
        <w:spacing w:before="0" w:after="60"/>
        <w:jc w:val="both"/>
      </w:pPr>
      <w:r>
        <w:rPr>
          <w:rFonts w:ascii="Times New Roman" w:hAnsi="Times New Roman" w:cs="Times New Roman"/>
          <w:rFonts w:ascii="Times New Roman" w:hAnsi="Times New Roman"/>
          <w:b w:val="0"/>
          <w:i w:val="0"/>
          <w:sz w:val="24"/>
        </w:rPr>
        <w:t>We forecast total GHG emissions (excluding LULUCF) for 2024–2030 using ARIMA models selected by AIC grid search over ARIMA(p,1,q), p,q ∈ {0–3}. The training window (1990–2020) and three-year rolling holdout (2021–2023) confirm model reliability before the 7-step forward projection. ARIMAX with GDP/urbanisation regressors was tested but rejected: oracle-GDP MAPE exceeded pure ARIMA on holdout, and Ljung-Box residuals remain white noise at all lags ≤12 without exogenous inputs.</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Country</w:t>
            </w:r>
          </w:p>
        </w:tc>
        <w:tc>
          <w:tcPr>
            <w:tcW w:type="dxa" w:w="1261"/>
            <w:shd w:val="clear" w:color="auto" w:fill="1F497D"/>
            <w:tcW w:w="1584" w:type="dxa"/>
          </w:tcPr>
          <w:p>
            <w:pPr>
              <w:spacing w:after="20" w:before="20"/>
              <w:jc w:val="center"/>
            </w:pPr>
            <w:r>
              <w:rPr>
                <w:rFonts w:ascii="Times New Roman" w:hAnsi="Times New Roman" w:cs="Times New Roman"/>
                <w:rFonts w:ascii="Times New Roman" w:hAnsi="Times New Roman"/>
                <w:b/>
                <w:i w:val="0"/>
                <w:color w:val="FFFFFF"/>
                <w:sz w:val="20"/>
              </w:rPr>
              <w:t>Model</w:t>
            </w:r>
          </w:p>
        </w:tc>
        <w:tc>
          <w:tcPr>
            <w:tcW w:type="dxa" w:w="1261"/>
            <w:shd w:val="clear" w:color="auto" w:fill="1F497D"/>
            <w:tcW w:w="1152" w:type="dxa"/>
          </w:tcPr>
          <w:p>
            <w:pPr>
              <w:spacing w:after="20" w:before="20"/>
              <w:jc w:val="center"/>
            </w:pPr>
            <w:r>
              <w:rPr>
                <w:rFonts w:ascii="Times New Roman" w:hAnsi="Times New Roman" w:cs="Times New Roman"/>
                <w:rFonts w:ascii="Times New Roman" w:hAnsi="Times New Roman"/>
                <w:b/>
                <w:i w:val="0"/>
                <w:color w:val="FFFFFF"/>
                <w:sz w:val="20"/>
              </w:rPr>
              <w:t>Train AIC</w:t>
            </w:r>
          </w:p>
        </w:tc>
        <w:tc>
          <w:tcPr>
            <w:tcW w:type="dxa" w:w="1261"/>
            <w:shd w:val="clear" w:color="auto" w:fill="1F497D"/>
            <w:tcW w:w="864" w:type="dxa"/>
          </w:tcPr>
          <w:p>
            <w:pPr>
              <w:spacing w:after="20" w:before="20"/>
              <w:jc w:val="center"/>
            </w:pPr>
            <w:r>
              <w:rPr>
                <w:rFonts w:ascii="Times New Roman" w:hAnsi="Times New Roman" w:cs="Times New Roman"/>
                <w:rFonts w:ascii="Times New Roman" w:hAnsi="Times New Roman"/>
                <w:b/>
                <w:i w:val="0"/>
                <w:color w:val="FFFFFF"/>
                <w:sz w:val="20"/>
              </w:rPr>
              <w:t>MAPE</w:t>
            </w:r>
          </w:p>
        </w:tc>
        <w:tc>
          <w:tcPr>
            <w:tcW w:type="dxa" w:w="126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Actual 2023</w:t>
            </w:r>
          </w:p>
        </w:tc>
        <w:tc>
          <w:tcPr>
            <w:tcW w:type="dxa" w:w="1261"/>
            <w:shd w:val="clear" w:color="auto" w:fill="1F497D"/>
            <w:tcW w:w="1007" w:type="dxa"/>
          </w:tcPr>
          <w:p>
            <w:pPr>
              <w:spacing w:after="20" w:before="20"/>
              <w:jc w:val="center"/>
            </w:pPr>
            <w:r>
              <w:rPr>
                <w:rFonts w:ascii="Times New Roman" w:hAnsi="Times New Roman" w:cs="Times New Roman"/>
                <w:rFonts w:ascii="Times New Roman" w:hAnsi="Times New Roman"/>
                <w:b/>
                <w:i w:val="0"/>
                <w:color w:val="FFFFFF"/>
                <w:sz w:val="20"/>
              </w:rPr>
              <w:t>Fcst 2024</w:t>
            </w:r>
          </w:p>
        </w:tc>
        <w:tc>
          <w:tcPr>
            <w:tcW w:type="dxa" w:w="1261"/>
            <w:shd w:val="clear" w:color="auto" w:fill="1F497D"/>
            <w:tcW w:w="1007" w:type="dxa"/>
          </w:tcPr>
          <w:p>
            <w:pPr>
              <w:spacing w:after="20" w:before="20"/>
              <w:jc w:val="center"/>
            </w:pPr>
            <w:r>
              <w:rPr>
                <w:rFonts w:ascii="Times New Roman" w:hAnsi="Times New Roman" w:cs="Times New Roman"/>
                <w:rFonts w:ascii="Times New Roman" w:hAnsi="Times New Roman"/>
                <w:b/>
                <w:i w:val="0"/>
                <w:color w:val="FFFFFF"/>
                <w:sz w:val="20"/>
              </w:rPr>
              <w:t>Fcst 2030</w:t>
            </w:r>
          </w:p>
        </w:tc>
        <w:tc>
          <w:tcPr>
            <w:tcW w:type="dxa" w:w="126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95% CI (2024)</w:t>
            </w:r>
          </w:p>
        </w:tc>
      </w:tr>
      <w:tr>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Malaysia</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ARIMA(1,1,1)</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224.08</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1.71%</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318.4 MtCO₂e</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325.1</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365.5</w:t>
            </w:r>
          </w:p>
        </w:tc>
        <w:tc>
          <w:tcPr>
            <w:tcW w:type="dxa" w:w="1261"/>
            <w:shd w:val="clear" w:color="auto" w:fill="D9E2F3"/>
          </w:tcPr>
          <w:p>
            <w:pPr>
              <w:spacing w:after="20" w:before="20"/>
              <w:jc w:val="left"/>
            </w:pPr>
            <w:r>
              <w:rPr>
                <w:rFonts w:ascii="Times New Roman" w:hAnsi="Times New Roman" w:cs="Times New Roman"/>
                <w:rFonts w:ascii="Times New Roman" w:hAnsi="Times New Roman"/>
                <w:b w:val="0"/>
                <w:i w:val="0"/>
                <w:sz w:val="20"/>
              </w:rPr>
              <w:t>[307.9, 342.3]</w:t>
            </w:r>
          </w:p>
        </w:tc>
      </w:tr>
      <w:tr>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Philippines</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ARIMA(2,1,0)</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196.08</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3.56%</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254.5 MtCO₂e</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260.8</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285.4</w:t>
            </w:r>
          </w:p>
        </w:tc>
        <w:tc>
          <w:tcPr>
            <w:tcW w:type="dxa" w:w="1261"/>
            <w:shd w:val="clear" w:color="auto" w:fill="FFFFFF"/>
          </w:tcPr>
          <w:p>
            <w:pPr>
              <w:spacing w:after="20" w:before="20"/>
              <w:jc w:val="left"/>
            </w:pPr>
            <w:r>
              <w:rPr>
                <w:rFonts w:ascii="Times New Roman" w:hAnsi="Times New Roman" w:cs="Times New Roman"/>
                <w:rFonts w:ascii="Times New Roman" w:hAnsi="Times New Roman"/>
                <w:b w:val="0"/>
                <w:i w:val="0"/>
                <w:sz w:val="20"/>
              </w:rPr>
              <w:t>[249.1, 272.4]</w:t>
            </w:r>
          </w:p>
        </w:tc>
      </w:tr>
    </w:tbl>
    <w:p>
      <w:pPr>
        <w:spacing w:before="20" w:after="80"/>
        <w:jc w:val="center"/>
      </w:pPr>
      <w:r>
        <w:rPr>
          <w:rFonts w:ascii="Times New Roman" w:hAnsi="Times New Roman" w:cs="Times New Roman"/>
          <w:rFonts w:ascii="Times New Roman" w:hAnsi="Times New Roman"/>
          <w:b w:val="0"/>
          <w:i/>
          <w:sz w:val="18"/>
        </w:rPr>
        <w:t>Table 2 – ARIMA results (MtCO₂e excl. LULUCF). Source: WB WDI AR5. Forecast extended to 2030 (7 steps).</w:t>
      </w:r>
    </w:p>
    <w:p>
      <w:pPr>
        <w:jc w:val="center"/>
      </w:pPr>
      <w:r>
        <w:drawing>
          <wp:inline xmlns:a="http://schemas.openxmlformats.org/drawingml/2006/main" xmlns:pic="http://schemas.openxmlformats.org/drawingml/2006/picture">
            <wp:extent cx="5669280" cy="2102768"/>
            <wp:docPr id="3" name="Picture 3"/>
            <wp:cNvGraphicFramePr>
              <a:graphicFrameLocks noChangeAspect="1"/>
            </wp:cNvGraphicFramePr>
            <a:graphic>
              <a:graphicData uri="http://schemas.openxmlformats.org/drawingml/2006/picture">
                <pic:pic>
                  <pic:nvPicPr>
                    <pic:cNvPr id="0" name="r2_arima_combined.png"/>
                    <pic:cNvPicPr/>
                  </pic:nvPicPr>
                  <pic:blipFill>
                    <a:blip r:embed="rId11"/>
                    <a:stretch>
                      <a:fillRect/>
                    </a:stretch>
                  </pic:blipFill>
                  <pic:spPr>
                    <a:xfrm>
                      <a:off x="0" y="0"/>
                      <a:ext cx="5669280" cy="2102768"/>
                    </a:xfrm>
                    <a:prstGeom prst="rect"/>
                  </pic:spPr>
                </pic:pic>
              </a:graphicData>
            </a:graphic>
          </wp:inline>
        </w:drawing>
      </w:r>
    </w:p>
    <w:p>
      <w:pPr>
        <w:spacing w:before="20" w:after="80"/>
        <w:jc w:val="center"/>
      </w:pPr>
      <w:r>
        <w:rPr>
          <w:rFonts w:ascii="Times New Roman" w:hAnsi="Times New Roman" w:cs="Times New Roman"/>
          <w:rFonts w:ascii="Times New Roman" w:hAnsi="Times New Roman"/>
          <w:b w:val="0"/>
          <w:i/>
          <w:sz w:val="18"/>
        </w:rPr>
        <w:t>Fig 2 – ARIMA(1,1,1) MYS MAPE 1.71% (left); ARIMA(2,1,0) PHL MAPE 3.56% (right). Fan charts show 80% and 95% prediction intervals. Forecasts run 2024–2030.</w:t>
      </w:r>
    </w:p>
    <w:p>
      <w:pPr>
        <w:spacing w:before="0" w:after="60"/>
        <w:jc w:val="both"/>
      </w:pPr>
      <w:r>
        <w:rPr>
          <w:rFonts w:ascii="Times New Roman" w:hAnsi="Times New Roman" w:cs="Times New Roman"/>
          <w:rFonts w:ascii="Times New Roman" w:hAnsi="Times New Roman"/>
          <w:b w:val="0"/>
          <w:i w:val="0"/>
          <w:sz w:val="24"/>
        </w:rPr>
        <w:t>MYS MAPE of 1.71% reflects high forecast confidence. The upper 95% CI of 342.3 MtCO₂e implies a worst-case +5.3% emission overstatement, which builds a margin of safety into the transition surcharge. PHL MAPE of 3.56% reflects EPIRA-driven energy policy variability. Under NZ2050, GHG baselines decline (3%/yr IEA abatement) to 317 MtCO₂e (MYS) and 162 MtCO₂e (PHL) by 2030 — but carbon price escalation outpaces abatement, keeping compliance costs on an upward trajectory through the decade.</w:t>
      </w:r>
    </w:p>
    <w:p>
      <w:r>
        <w:br w:type="page"/>
      </w:r>
    </w:p>
    <w:p>
      <w:pPr>
        <w:spacing w:before="160" w:after="60"/>
        <w:jc w:val="left"/>
      </w:pPr>
      <w:r>
        <w:rPr>
          <w:rFonts w:ascii="Times New Roman" w:hAnsi="Times New Roman" w:cs="Times New Roman"/>
          <w:rFonts w:ascii="Times New Roman" w:hAnsi="Times New Roman"/>
          <w:b/>
          <w:i w:val="0"/>
          <w:color w:val="1F497D"/>
          <w:sz w:val="26"/>
        </w:rPr>
        <w:t>4. Physical Hazard — GEV Analysis &amp; EAL Repricing</w:t>
      </w:r>
    </w:p>
    <w:p>
      <w:pPr>
        <w:spacing w:before="0" w:after="60"/>
        <w:jc w:val="both"/>
      </w:pPr>
      <w:r>
        <w:rPr>
          <w:rFonts w:ascii="Times New Roman" w:hAnsi="Times New Roman" w:cs="Times New Roman"/>
          <w:rFonts w:ascii="Times New Roman" w:hAnsi="Times New Roman"/>
          <w:b w:val="0"/>
          <w:i w:val="0"/>
          <w:sz w:val="24"/>
        </w:rPr>
        <w:t>A Generalized Extreme Value distribution was fitted to 34 years of CHIRPS RX5day annual maxima using maximum likelihood estimation with 500-iteration bootstrap confidence intervals. PELT regime detection (BIC penalty) identified a synchronized break in 2007 across both markets, consistent with the documented PDO phase-shift literature (Loo et al. 2015; Cinco et al. 2014). Forward EAL integrates the post-break GEV survival function against EM-DAT total damages.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Country</w:t>
            </w:r>
          </w:p>
        </w:tc>
        <w:tc>
          <w:tcPr>
            <w:tcW w:type="dxa" w:w="1441"/>
            <w:shd w:val="clear" w:color="auto" w:fill="1F497D"/>
            <w:tcW w:w="1728" w:type="dxa"/>
          </w:tcPr>
          <w:p>
            <w:pPr>
              <w:spacing w:after="20" w:before="20"/>
              <w:jc w:val="center"/>
            </w:pPr>
            <w:r>
              <w:rPr>
                <w:rFonts w:ascii="Times New Roman" w:hAnsi="Times New Roman" w:cs="Times New Roman"/>
                <w:rFonts w:ascii="Times New Roman" w:hAnsi="Times New Roman"/>
                <w:b/>
                <w:i w:val="0"/>
                <w:color w:val="FFFFFF"/>
                <w:sz w:val="20"/>
              </w:rPr>
              <w:t>GEV Family</w:t>
            </w:r>
          </w:p>
        </w:tc>
        <w:tc>
          <w:tcPr>
            <w:tcW w:type="dxa" w:w="1441"/>
            <w:shd w:val="clear" w:color="auto" w:fill="1F497D"/>
            <w:tcW w:w="1368" w:type="dxa"/>
          </w:tcPr>
          <w:p>
            <w:pPr>
              <w:spacing w:after="20" w:before="20"/>
              <w:jc w:val="center"/>
            </w:pPr>
            <w:r>
              <w:rPr>
                <w:rFonts w:ascii="Times New Roman" w:hAnsi="Times New Roman" w:cs="Times New Roman"/>
                <w:rFonts w:ascii="Times New Roman" w:hAnsi="Times New Roman"/>
                <w:b/>
                <w:i w:val="0"/>
                <w:color w:val="FFFFFF"/>
                <w:sz w:val="20"/>
              </w:rPr>
              <w:t>RL-100yr (mm)</w:t>
            </w:r>
          </w:p>
        </w:tc>
        <w:tc>
          <w:tcPr>
            <w:tcW w:type="dxa" w:w="1441"/>
            <w:shd w:val="clear" w:color="auto" w:fill="1F497D"/>
            <w:tcW w:w="1728" w:type="dxa"/>
          </w:tcPr>
          <w:p>
            <w:pPr>
              <w:spacing w:after="20" w:before="20"/>
              <w:jc w:val="center"/>
            </w:pPr>
            <w:r>
              <w:rPr>
                <w:rFonts w:ascii="Times New Roman" w:hAnsi="Times New Roman" w:cs="Times New Roman"/>
                <w:rFonts w:ascii="Times New Roman" w:hAnsi="Times New Roman"/>
                <w:b/>
                <w:i w:val="0"/>
                <w:color w:val="FFFFFF"/>
                <w:sz w:val="20"/>
              </w:rPr>
              <w:t>95% CI</w:t>
            </w:r>
          </w:p>
        </w:tc>
        <w:tc>
          <w:tcPr>
            <w:tcW w:type="dxa" w:w="1441"/>
            <w:shd w:val="clear" w:color="auto" w:fill="1F497D"/>
            <w:tcW w:w="1152" w:type="dxa"/>
          </w:tcPr>
          <w:p>
            <w:pPr>
              <w:spacing w:after="20" w:before="20"/>
              <w:jc w:val="center"/>
            </w:pPr>
            <w:r>
              <w:rPr>
                <w:rFonts w:ascii="Times New Roman" w:hAnsi="Times New Roman" w:cs="Times New Roman"/>
                <w:rFonts w:ascii="Times New Roman" w:hAnsi="Times New Roman"/>
                <w:b/>
                <w:i w:val="0"/>
                <w:color w:val="FFFFFF"/>
                <w:sz w:val="20"/>
              </w:rPr>
              <w:t>PELT Break</w:t>
            </w:r>
          </w:p>
        </w:tc>
        <w:tc>
          <w:tcPr>
            <w:tcW w:type="dxa" w:w="1441"/>
            <w:shd w:val="clear" w:color="auto" w:fill="1F497D"/>
            <w:tcW w:w="1296" w:type="dxa"/>
          </w:tcPr>
          <w:p>
            <w:pPr>
              <w:spacing w:after="20" w:before="20"/>
              <w:jc w:val="center"/>
            </w:pPr>
            <w:r>
              <w:rPr>
                <w:rFonts w:ascii="Times New Roman" w:hAnsi="Times New Roman" w:cs="Times New Roman"/>
                <w:rFonts w:ascii="Times New Roman" w:hAnsi="Times New Roman"/>
                <w:b/>
                <w:i w:val="0"/>
                <w:color w:val="FFFFFF"/>
                <w:sz w:val="20"/>
              </w:rPr>
              <w:t>Hazard Uplift</w:t>
            </w:r>
          </w:p>
        </w:tc>
        <w:tc>
          <w:tcPr>
            <w:tcW w:type="dxa" w:w="1441"/>
            <w:shd w:val="clear" w:color="auto" w:fill="1F497D"/>
            <w:tcW w:w="1152" w:type="dxa"/>
          </w:tcPr>
          <w:p>
            <w:pPr>
              <w:spacing w:after="20" w:before="20"/>
              <w:jc w:val="center"/>
            </w:pPr>
            <w:r>
              <w:rPr>
                <w:rFonts w:ascii="Times New Roman" w:hAnsi="Times New Roman" w:cs="Times New Roman"/>
                <w:rFonts w:ascii="Times New Roman" w:hAnsi="Times New Roman"/>
                <w:b/>
                <w:i w:val="0"/>
                <w:color w:val="FFFFFF"/>
                <w:sz w:val="20"/>
              </w:rPr>
              <w:t>EAL Gap</w:t>
            </w:r>
          </w:p>
        </w:tc>
      </w:tr>
      <w:tr>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Malaysia</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Weibull (ξ&lt;0)</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216mm</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[171–344]</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2007</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+6.9%</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+5.87%</w:t>
            </w:r>
          </w:p>
        </w:tc>
      </w:tr>
      <w:tr>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Philippines</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Weibull (ξ&lt;0)</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521mm</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[326–985]</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2007</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+6.1%</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+1.28%</w:t>
            </w:r>
          </w:p>
        </w:tc>
      </w:tr>
    </w:tbl>
    <w:p>
      <w:pPr>
        <w:spacing w:before="20" w:after="80"/>
        <w:jc w:val="center"/>
      </w:pPr>
      <w:r>
        <w:rPr>
          <w:rFonts w:ascii="Times New Roman" w:hAnsi="Times New Roman" w:cs="Times New Roman"/>
          <w:rFonts w:ascii="Times New Roman" w:hAnsi="Times New Roman"/>
          <w:b w:val="0"/>
          <w:i/>
          <w:sz w:val="18"/>
        </w:rPr>
        <w:t>Table 3 – GEV parameters and 100-yr return levels with bootstrap 95% CI. Source: CHIRPS v2.0 (1990–2023).</w:t>
      </w:r>
    </w:p>
    <w:tbl>
      <w:tblPr>
        <w:tblStyle w:val="TableGrid"/>
        <w:tblW w:type="auto" w:w="0"/>
        <w:jc w:val="center"/>
        <w:tblLook w:firstColumn="1" w:firstRow="1" w:lastColumn="0" w:lastRow="0" w:noHBand="0" w:noVBand="1" w:val="04A0"/>
      </w:tblPr>
      <w:tblGrid>
        <w:gridCol w:w="5043"/>
        <w:gridCol w:w="5043"/>
      </w:tblGrid>
      <w:tr>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998166"/>
                  <wp:docPr id="4" name="Picture 4"/>
                  <wp:cNvGraphicFramePr>
                    <a:graphicFrameLocks noChangeAspect="1"/>
                  </wp:cNvGraphicFramePr>
                  <a:graphic>
                    <a:graphicData uri="http://schemas.openxmlformats.org/drawingml/2006/picture">
                      <pic:pic>
                        <pic:nvPicPr>
                          <pic:cNvPr id="0" name="r3_gev_and_regime_break.png"/>
                          <pic:cNvPicPr/>
                        </pic:nvPicPr>
                        <pic:blipFill>
                          <a:blip r:embed="rId12"/>
                          <a:stretch>
                            <a:fillRect/>
                          </a:stretch>
                        </pic:blipFill>
                        <pic:spPr>
                          <a:xfrm>
                            <a:off x="0" y="0"/>
                            <a:ext cx="2743200" cy="1998166"/>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3a – PELT regime break: +6.9% MYS / +6.1% PHL post-2007 hazard shift.</w:t>
            </w:r>
          </w:p>
        </w:tc>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838375"/>
                  <wp:docPr id="5" name="Picture 5"/>
                  <wp:cNvGraphicFramePr>
                    <a:graphicFrameLocks noChangeAspect="1"/>
                  </wp:cNvGraphicFramePr>
                  <a:graphic>
                    <a:graphicData uri="http://schemas.openxmlformats.org/drawingml/2006/picture">
                      <pic:pic>
                        <pic:nvPicPr>
                          <pic:cNvPr id="0" name="r3_qq_distributional_comparison.png"/>
                          <pic:cNvPicPr/>
                        </pic:nvPicPr>
                        <pic:blipFill>
                          <a:blip r:embed="rId13"/>
                          <a:stretch>
                            <a:fillRect/>
                          </a:stretch>
                        </pic:blipFill>
                        <pic:spPr>
                          <a:xfrm>
                            <a:off x="0" y="0"/>
                            <a:ext cx="2743200" cy="1838375"/>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3b – GEV Q-Q plots confirming Weibull family for both markets.</w:t>
            </w:r>
          </w:p>
        </w:tc>
      </w:tr>
    </w:tbl>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Country</w:t>
            </w:r>
          </w:p>
        </w:tc>
        <w:tc>
          <w:tcPr>
            <w:tcW w:type="dxa" w:w="1441"/>
            <w:shd w:val="clear" w:color="auto" w:fill="1F497D"/>
            <w:tcW w:w="1296" w:type="dxa"/>
          </w:tcPr>
          <w:p>
            <w:pPr>
              <w:spacing w:after="20" w:before="20"/>
              <w:jc w:val="center"/>
            </w:pPr>
            <w:r>
              <w:rPr>
                <w:rFonts w:ascii="Times New Roman" w:hAnsi="Times New Roman" w:cs="Times New Roman"/>
                <w:rFonts w:ascii="Times New Roman" w:hAnsi="Times New Roman"/>
                <w:b/>
                <w:i w:val="0"/>
                <w:color w:val="FFFFFF"/>
                <w:sz w:val="20"/>
              </w:rPr>
              <w:t>Burning Cost</w:t>
            </w:r>
          </w:p>
        </w:tc>
        <w:tc>
          <w:tcPr>
            <w:tcW w:type="dxa" w:w="1441"/>
            <w:shd w:val="clear" w:color="auto" w:fill="1F497D"/>
            <w:tcW w:w="1296" w:type="dxa"/>
          </w:tcPr>
          <w:p>
            <w:pPr>
              <w:spacing w:after="20" w:before="20"/>
              <w:jc w:val="center"/>
            </w:pPr>
            <w:r>
              <w:rPr>
                <w:rFonts w:ascii="Times New Roman" w:hAnsi="Times New Roman" w:cs="Times New Roman"/>
                <w:rFonts w:ascii="Times New Roman" w:hAnsi="Times New Roman"/>
                <w:b/>
                <w:i w:val="0"/>
                <w:color w:val="FFFFFF"/>
                <w:sz w:val="20"/>
              </w:rPr>
              <w:t>Obs. Mean RX5</w:t>
            </w:r>
          </w:p>
        </w:tc>
        <w:tc>
          <w:tcPr>
            <w:tcW w:type="dxa" w:w="1441"/>
            <w:shd w:val="clear" w:color="auto" w:fill="1F497D"/>
            <w:tcW w:w="1152" w:type="dxa"/>
          </w:tcPr>
          <w:p>
            <w:pPr>
              <w:spacing w:after="20" w:before="20"/>
              <w:jc w:val="center"/>
            </w:pPr>
            <w:r>
              <w:rPr>
                <w:rFonts w:ascii="Times New Roman" w:hAnsi="Times New Roman" w:cs="Times New Roman"/>
                <w:rFonts w:ascii="Times New Roman" w:hAnsi="Times New Roman"/>
                <w:b/>
                <w:i w:val="0"/>
                <w:color w:val="FFFFFF"/>
                <w:sz w:val="20"/>
              </w:rPr>
              <w:t>GEV Mean</w:t>
            </w:r>
          </w:p>
        </w:tc>
        <w:tc>
          <w:tcPr>
            <w:tcW w:type="dxa" w:w="1441"/>
            <w:shd w:val="clear" w:color="auto" w:fill="1F497D"/>
            <w:tcW w:w="1368" w:type="dxa"/>
          </w:tcPr>
          <w:p>
            <w:pPr>
              <w:spacing w:after="20" w:before="20"/>
              <w:jc w:val="center"/>
            </w:pPr>
            <w:r>
              <w:rPr>
                <w:rFonts w:ascii="Times New Roman" w:hAnsi="Times New Roman" w:cs="Times New Roman"/>
                <w:rFonts w:ascii="Times New Roman" w:hAnsi="Times New Roman"/>
                <w:b/>
                <w:i w:val="0"/>
                <w:color w:val="FFFFFF"/>
                <w:sz w:val="20"/>
              </w:rPr>
              <w:t>Forward EAL</w:t>
            </w:r>
          </w:p>
        </w:tc>
        <w:tc>
          <w:tcPr>
            <w:tcW w:type="dxa" w:w="1441"/>
            <w:shd w:val="clear" w:color="auto" w:fill="1F497D"/>
            <w:tcW w:w="1224" w:type="dxa"/>
          </w:tcPr>
          <w:p>
            <w:pPr>
              <w:spacing w:after="20" w:before="20"/>
              <w:jc w:val="center"/>
            </w:pPr>
            <w:r>
              <w:rPr>
                <w:rFonts w:ascii="Times New Roman" w:hAnsi="Times New Roman" w:cs="Times New Roman"/>
                <w:rFonts w:ascii="Times New Roman" w:hAnsi="Times New Roman"/>
                <w:b/>
                <w:i w:val="0"/>
                <w:color w:val="FFFFFF"/>
                <w:sz w:val="20"/>
              </w:rPr>
              <w:t>$ Gap</w:t>
            </w:r>
          </w:p>
        </w:tc>
        <w:tc>
          <w:tcPr>
            <w:tcW w:type="dxa" w:w="1441"/>
            <w:shd w:val="clear" w:color="auto" w:fill="1F497D"/>
            <w:tcW w:w="1224" w:type="dxa"/>
          </w:tcPr>
          <w:p>
            <w:pPr>
              <w:spacing w:after="20" w:before="20"/>
              <w:jc w:val="center"/>
            </w:pPr>
            <w:r>
              <w:rPr>
                <w:rFonts w:ascii="Times New Roman" w:hAnsi="Times New Roman" w:cs="Times New Roman"/>
                <w:rFonts w:ascii="Times New Roman" w:hAnsi="Times New Roman"/>
                <w:b/>
                <w:i w:val="0"/>
                <w:color w:val="FFFFFF"/>
                <w:sz w:val="20"/>
              </w:rPr>
              <w:t>% Gap</w:t>
            </w:r>
          </w:p>
        </w:tc>
      </w:tr>
      <w:tr>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Malaysia</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USD 110.8M</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133.9mm</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132.6mm</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USD 117.3M</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USD 6.5M</w:t>
            </w:r>
          </w:p>
        </w:tc>
        <w:tc>
          <w:tcPr>
            <w:tcW w:type="dxa" w:w="1441"/>
            <w:shd w:val="clear" w:color="auto" w:fill="D9E2F3"/>
          </w:tcPr>
          <w:p>
            <w:pPr>
              <w:spacing w:after="20" w:before="20"/>
              <w:jc w:val="left"/>
            </w:pPr>
            <w:r>
              <w:rPr>
                <w:rFonts w:ascii="Times New Roman" w:hAnsi="Times New Roman" w:cs="Times New Roman"/>
                <w:rFonts w:ascii="Times New Roman" w:hAnsi="Times New Roman"/>
                <w:b w:val="0"/>
                <w:i w:val="0"/>
                <w:sz w:val="20"/>
              </w:rPr>
              <w:t>+5.87%</w:t>
            </w:r>
          </w:p>
        </w:tc>
      </w:tr>
      <w:tr>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Philippines</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USD 926.5M</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244.4mm</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233.3mm</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USD 938.4M</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USD 11.9M</w:t>
            </w:r>
          </w:p>
        </w:tc>
        <w:tc>
          <w:tcPr>
            <w:tcW w:type="dxa" w:w="1441"/>
            <w:shd w:val="clear" w:color="auto" w:fill="FFFFFF"/>
          </w:tcPr>
          <w:p>
            <w:pPr>
              <w:spacing w:after="20" w:before="20"/>
              <w:jc w:val="left"/>
            </w:pPr>
            <w:r>
              <w:rPr>
                <w:rFonts w:ascii="Times New Roman" w:hAnsi="Times New Roman" w:cs="Times New Roman"/>
                <w:rFonts w:ascii="Times New Roman" w:hAnsi="Times New Roman"/>
                <w:b w:val="0"/>
                <w:i w:val="0"/>
                <w:sz w:val="20"/>
              </w:rPr>
              <w:t>+1.28%</w:t>
            </w:r>
          </w:p>
        </w:tc>
      </w:tr>
    </w:tbl>
    <w:p>
      <w:pPr>
        <w:spacing w:before="20" w:after="80"/>
        <w:jc w:val="center"/>
      </w:pPr>
      <w:r>
        <w:rPr>
          <w:rFonts w:ascii="Times New Roman" w:hAnsi="Times New Roman" w:cs="Times New Roman"/>
          <w:rFonts w:ascii="Times New Roman" w:hAnsi="Times New Roman"/>
          <w:b w:val="0"/>
          <w:i/>
          <w:sz w:val="18"/>
        </w:rPr>
        <w:t>Table 4 – Forward EAL vs. EM-DAT burning cost (GEV PELT-adjusted). Source: EM-DAT 2024.</w:t>
      </w:r>
    </w:p>
    <w:tbl>
      <w:tblPr>
        <w:tblStyle w:val="TableGrid"/>
        <w:tblW w:type="auto" w:w="0"/>
        <w:jc w:val="center"/>
        <w:tblLook w:firstColumn="1" w:firstRow="1" w:lastColumn="0" w:lastRow="0" w:noHBand="0" w:noVBand="1" w:val="04A0"/>
      </w:tblPr>
      <w:tblGrid>
        <w:gridCol w:w="5043"/>
        <w:gridCol w:w="5043"/>
      </w:tblGrid>
      <w:tr>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345460"/>
                  <wp:docPr id="6" name="Picture 6"/>
                  <wp:cNvGraphicFramePr>
                    <a:graphicFrameLocks noChangeAspect="1"/>
                  </wp:cNvGraphicFramePr>
                  <a:graphic>
                    <a:graphicData uri="http://schemas.openxmlformats.org/drawingml/2006/picture">
                      <pic:pic>
                        <pic:nvPicPr>
                          <pic:cNvPr id="0" name="r3_sensitivity_tornado.png"/>
                          <pic:cNvPicPr/>
                        </pic:nvPicPr>
                        <pic:blipFill>
                          <a:blip r:embed="rId14"/>
                          <a:stretch>
                            <a:fillRect/>
                          </a:stretch>
                        </pic:blipFill>
                        <pic:spPr>
                          <a:xfrm>
                            <a:off x="0" y="0"/>
                            <a:ext cx="2743200" cy="1345460"/>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4a – EAL tornado: PELT break drives ~60% of total uncertainty.</w:t>
            </w:r>
          </w:p>
        </w:tc>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423380"/>
                  <wp:docPr id="7" name="Picture 7"/>
                  <wp:cNvGraphicFramePr>
                    <a:graphicFrameLocks noChangeAspect="1"/>
                  </wp:cNvGraphicFramePr>
                  <a:graphic>
                    <a:graphicData uri="http://schemas.openxmlformats.org/drawingml/2006/picture">
                      <pic:pic>
                        <pic:nvPicPr>
                          <pic:cNvPr id="0" name="r3_eal_decomposition_waterfall.png"/>
                          <pic:cNvPicPr/>
                        </pic:nvPicPr>
                        <pic:blipFill>
                          <a:blip r:embed="rId15"/>
                          <a:stretch>
                            <a:fillRect/>
                          </a:stretch>
                        </pic:blipFill>
                        <pic:spPr>
                          <a:xfrm>
                            <a:off x="0" y="0"/>
                            <a:ext cx="2743200" cy="1423380"/>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4b – EAL waterfall: hazard, GEV correction, and PELT uplift components.</w:t>
            </w:r>
          </w:p>
        </w:tc>
      </w:tr>
    </w:tbl>
    <w:p>
      <w:r>
        <w:br w:type="page"/>
      </w:r>
    </w:p>
    <w:p>
      <w:pPr>
        <w:spacing w:before="160" w:after="60"/>
        <w:jc w:val="left"/>
      </w:pPr>
      <w:r>
        <w:rPr>
          <w:rFonts w:ascii="Times New Roman" w:hAnsi="Times New Roman" w:cs="Times New Roman"/>
          <w:rFonts w:ascii="Times New Roman" w:hAnsi="Times New Roman"/>
          <w:b/>
          <w:i w:val="0"/>
          <w:color w:val="1F497D"/>
          <w:sz w:val="26"/>
        </w:rPr>
        <w:t>5. ENSO Dependence &amp; Copula Analysis</w:t>
      </w:r>
    </w:p>
    <w:p>
      <w:pPr>
        <w:spacing w:before="0" w:after="60"/>
        <w:jc w:val="both"/>
      </w:pPr>
      <w:r>
        <w:rPr>
          <w:rFonts w:ascii="Times New Roman" w:hAnsi="Times New Roman" w:cs="Times New Roman"/>
          <w:rFonts w:ascii="Times New Roman" w:hAnsi="Times New Roman"/>
          <w:b w:val="0"/>
          <w:i w:val="0"/>
          <w:sz w:val="24"/>
        </w:rPr>
        <w:t>NOAA ONI DJF anomalies (1990–2023) were correlated against EM-DAT annual insured losses and subjected to AIC-based copula selection (Independence vs. Clayton vs. Gumbel). Annual ENSO correlation is statistically indistinguishable from zero for both markets (MYS: r = -0.016, p = 0.93; PHL: r = -0.026, p = 0.83), and AIC selects the Independence copula. ENSO is therefore not a pricing variable. However, La Niña sub-samples (n=14) show a weak Gaussian copula dependence (rho = 0.32) that generates a p99 industry-wide gap of +USD 25.9M (HRe 10% share: +USD 2.59M/yr). This justifies R3 as an audit trigger rather than a continuous pricing parameter.</w:t>
      </w:r>
    </w:p>
    <w:tbl>
      <w:tblPr>
        <w:tblStyle w:val="TableGrid"/>
        <w:tblW w:type="auto" w:w="0"/>
        <w:jc w:val="center"/>
        <w:tblLook w:firstColumn="1" w:firstRow="1" w:lastColumn="0" w:lastRow="0" w:noHBand="0" w:noVBand="1" w:val="04A0"/>
      </w:tblPr>
      <w:tblGrid>
        <w:gridCol w:w="5043"/>
        <w:gridCol w:w="5043"/>
      </w:tblGrid>
      <w:tr>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802035"/>
                  <wp:docPr id="8" name="Picture 8"/>
                  <wp:cNvGraphicFramePr>
                    <a:graphicFrameLocks noChangeAspect="1"/>
                  </wp:cNvGraphicFramePr>
                  <a:graphic>
                    <a:graphicData uri="http://schemas.openxmlformats.org/drawingml/2006/picture">
                      <pic:pic>
                        <pic:nvPicPr>
                          <pic:cNvPr id="0" name="r3_enso_dependence.png"/>
                          <pic:cNvPicPr/>
                        </pic:nvPicPr>
                        <pic:blipFill>
                          <a:blip r:embed="rId16"/>
                          <a:stretch>
                            <a:fillRect/>
                          </a:stretch>
                        </pic:blipFill>
                        <pic:spPr>
                          <a:xfrm>
                            <a:off x="0" y="0"/>
                            <a:ext cx="2743200" cy="1802035"/>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5a – ENSO ONI vs annual insured loss: r = -0.016, p = 0.93 (not significant).</w:t>
            </w:r>
          </w:p>
        </w:tc>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2371577"/>
                  <wp:docPr id="9" name="Picture 9"/>
                  <wp:cNvGraphicFramePr>
                    <a:graphicFrameLocks noChangeAspect="1"/>
                  </wp:cNvGraphicFramePr>
                  <a:graphic>
                    <a:graphicData uri="http://schemas.openxmlformats.org/drawingml/2006/picture">
                      <pic:pic>
                        <pic:nvPicPr>
                          <pic:cNvPr id="0" name="r8_copula_pit_scatter.png"/>
                          <pic:cNvPicPr/>
                        </pic:nvPicPr>
                        <pic:blipFill>
                          <a:blip r:embed="rId17"/>
                          <a:stretch>
                            <a:fillRect/>
                          </a:stretch>
                        </pic:blipFill>
                        <pic:spPr>
                          <a:xfrm>
                            <a:off x="0" y="0"/>
                            <a:ext cx="2743200" cy="2371577"/>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5b – Copula PIT scatter: AIC selects Independence copula over Clayton and Gumbel.</w:t>
            </w:r>
          </w:p>
        </w:tc>
      </w:tr>
    </w:tbl>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val="clear" w:color="auto" w:fill="1F497D"/>
            <w:tcW w:w="2448" w:type="dxa"/>
          </w:tcPr>
          <w:p>
            <w:pPr>
              <w:spacing w:after="20" w:before="20"/>
              <w:jc w:val="center"/>
            </w:pPr>
            <w:r>
              <w:rPr>
                <w:rFonts w:ascii="Times New Roman" w:hAnsi="Times New Roman" w:cs="Times New Roman"/>
                <w:rFonts w:ascii="Times New Roman" w:hAnsi="Times New Roman"/>
                <w:b/>
                <w:i w:val="0"/>
                <w:color w:val="FFFFFF"/>
                <w:sz w:val="20"/>
              </w:rPr>
              <w:t>Test</w:t>
            </w:r>
          </w:p>
        </w:tc>
        <w:tc>
          <w:tcPr>
            <w:tcW w:type="dxa" w:w="2521"/>
            <w:shd w:val="clear" w:color="auto" w:fill="1F497D"/>
            <w:tcW w:w="2160" w:type="dxa"/>
          </w:tcPr>
          <w:p>
            <w:pPr>
              <w:spacing w:after="20" w:before="20"/>
              <w:jc w:val="center"/>
            </w:pPr>
            <w:r>
              <w:rPr>
                <w:rFonts w:ascii="Times New Roman" w:hAnsi="Times New Roman" w:cs="Times New Roman"/>
                <w:rFonts w:ascii="Times New Roman" w:hAnsi="Times New Roman"/>
                <w:b/>
                <w:i w:val="0"/>
                <w:color w:val="FFFFFF"/>
                <w:sz w:val="20"/>
              </w:rPr>
              <w:t>Statistic</w:t>
            </w:r>
          </w:p>
        </w:tc>
        <w:tc>
          <w:tcPr>
            <w:tcW w:type="dxa" w:w="2521"/>
            <w:shd w:val="clear" w:color="auto" w:fill="1F497D"/>
            <w:tcW w:w="1728" w:type="dxa"/>
          </w:tcPr>
          <w:p>
            <w:pPr>
              <w:spacing w:after="20" w:before="20"/>
              <w:jc w:val="center"/>
            </w:pPr>
            <w:r>
              <w:rPr>
                <w:rFonts w:ascii="Times New Roman" w:hAnsi="Times New Roman" w:cs="Times New Roman"/>
                <w:rFonts w:ascii="Times New Roman" w:hAnsi="Times New Roman"/>
                <w:b/>
                <w:i w:val="0"/>
                <w:color w:val="FFFFFF"/>
                <w:sz w:val="20"/>
              </w:rPr>
              <w:t>p-value / n</w:t>
            </w:r>
          </w:p>
        </w:tc>
        <w:tc>
          <w:tcPr>
            <w:tcW w:type="dxa" w:w="2521"/>
            <w:shd w:val="clear" w:color="auto" w:fill="1F497D"/>
            <w:tcW w:w="2736" w:type="dxa"/>
          </w:tcPr>
          <w:p>
            <w:pPr>
              <w:spacing w:after="20" w:before="20"/>
              <w:jc w:val="center"/>
            </w:pPr>
            <w:r>
              <w:rPr>
                <w:rFonts w:ascii="Times New Roman" w:hAnsi="Times New Roman" w:cs="Times New Roman"/>
                <w:rFonts w:ascii="Times New Roman" w:hAnsi="Times New Roman"/>
                <w:b/>
                <w:i w:val="0"/>
                <w:color w:val="FFFFFF"/>
                <w:sz w:val="20"/>
              </w:rPr>
              <w:t>Interpretation</w:t>
            </w:r>
          </w:p>
        </w:tc>
      </w:tr>
      <w:tr>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Pearson r (MYS annual)</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r = -0.016</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p = 0.93</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Not significant</w:t>
            </w:r>
          </w:p>
        </w:tc>
      </w:tr>
      <w:tr>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Spearman rho (MYS)</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ρ = -0.071</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p = 0.69</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Not significant</w:t>
            </w:r>
          </w:p>
        </w:tc>
      </w:tr>
      <w:tr>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Pearson r (PHL annual)</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r = -0.026</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p = 0.83</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Not significant</w:t>
            </w:r>
          </w:p>
        </w:tc>
      </w:tr>
      <w:tr>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AIC copula (full sample)</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Independence (AIC=0)</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ΔAIC = 0</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Preferred vs Clayton, Gumbel</w:t>
            </w:r>
          </w:p>
        </w:tc>
      </w:tr>
      <w:tr>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Kendall tau – La Niña</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τ = +0.209</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n = 14</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Weak positive (sub-sample only)</w:t>
            </w:r>
          </w:p>
        </w:tc>
      </w:tr>
      <w:tr>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Gaussian rho – La Niña</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ρ = +0.322</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n = 14</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p99 industry gap: +USD 25.9M</w:t>
            </w:r>
          </w:p>
        </w:tc>
      </w:tr>
    </w:tbl>
    <w:p>
      <w:pPr>
        <w:spacing w:before="20" w:after="80"/>
        <w:jc w:val="center"/>
      </w:pPr>
      <w:r>
        <w:rPr>
          <w:rFonts w:ascii="Times New Roman" w:hAnsi="Times New Roman" w:cs="Times New Roman"/>
          <w:rFonts w:ascii="Times New Roman" w:hAnsi="Times New Roman"/>
          <w:b w:val="0"/>
          <w:i/>
          <w:sz w:val="18"/>
        </w:rPr>
        <w:t>Table 5 – ENSO dependence and copula selection results. Source: NOAA ONI DJF; EM-DAT.</w:t>
      </w:r>
    </w:p>
    <w:p>
      <w:pPr>
        <w:spacing w:before="0" w:after="60"/>
        <w:jc w:val="both"/>
      </w:pPr>
      <w:r>
        <w:rPr>
          <w:rFonts w:ascii="Times New Roman" w:hAnsi="Times New Roman" w:cs="Times New Roman"/>
          <w:rFonts w:ascii="Times New Roman" w:hAnsi="Times New Roman"/>
          <w:b w:val="0"/>
          <w:i w:val="0"/>
          <w:sz w:val="24"/>
        </w:rPr>
        <w:t>PHL structural underinsurance (~8% penetration vs. MYS ~15%, Swiss Re Sigma 1/2024) means the USD 11.9M PHL protection gap is 83% wider than MYS's USD 6.5M despite far higher event frequency — a key driver of asymmetric R1 loading.</w:t>
      </w:r>
    </w:p>
    <w:p>
      <w:r>
        <w:br w:type="page"/>
      </w:r>
    </w:p>
    <w:p>
      <w:pPr>
        <w:spacing w:before="160" w:after="60"/>
        <w:jc w:val="left"/>
      </w:pPr>
      <w:r>
        <w:rPr>
          <w:rFonts w:ascii="Times New Roman" w:hAnsi="Times New Roman" w:cs="Times New Roman"/>
          <w:rFonts w:ascii="Times New Roman" w:hAnsi="Times New Roman"/>
          <w:b/>
          <w:i w:val="0"/>
          <w:color w:val="1F497D"/>
          <w:sz w:val="26"/>
        </w:rPr>
        <w:t>6. Transition Risk — NGFS GCAM 6.0 Assessment</w:t>
      </w:r>
    </w:p>
    <w:p>
      <w:pPr>
        <w:spacing w:before="0" w:after="60"/>
        <w:jc w:val="both"/>
      </w:pPr>
      <w:r>
        <w:rPr>
          <w:rFonts w:ascii="Times New Roman" w:hAnsi="Times New Roman" w:cs="Times New Roman"/>
          <w:rFonts w:ascii="Times New Roman" w:hAnsi="Times New Roman"/>
          <w:b w:val="0"/>
          <w:i w:val="0"/>
          <w:sz w:val="24"/>
        </w:rPr>
        <w:t>The transition cost for each country is calculated as: NGFS GCAM 6.0 NZ2050 vs. Current Policies carbon price gap (USD 55.578/t, 2024) multiplied by Climate Watch 2023 sectoral GHG baselines. The LULUCF asymmetry is the central finding: Malaysia is a net emitter (+63.3 MtCO₂e, Sabah/Sarawak palm oil) subject to EUDR Art. 8 and BNM CCPT Pillar 2, while the Philippines is a net carbon sink (-26.9 MtCO₂e via REDD+), earning Art. 6.2 ITMO credits that offset ~18% of its burden. A uniform SEA LULUCF factor would overstate PHL by ~18% and understate MYS — making country-specific pricing essential.</w:t>
      </w:r>
    </w:p>
    <w:tbl>
      <w:tblPr>
        <w:tblStyle w:val="TableGrid"/>
        <w:tblW w:type="auto" w:w="0"/>
        <w:jc w:val="center"/>
        <w:tblLook w:firstColumn="1" w:firstRow="1" w:lastColumn="0" w:lastRow="0" w:noHBand="0" w:noVBand="1" w:val="04A0"/>
      </w:tblPr>
      <w:tblGrid>
        <w:gridCol w:w="5043"/>
        <w:gridCol w:w="5043"/>
      </w:tblGrid>
      <w:tr>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114384"/>
                  <wp:docPr id="10" name="Picture 10"/>
                  <wp:cNvGraphicFramePr>
                    <a:graphicFrameLocks noChangeAspect="1"/>
                  </wp:cNvGraphicFramePr>
                  <a:graphic>
                    <a:graphicData uri="http://schemas.openxmlformats.org/drawingml/2006/picture">
                      <pic:pic>
                        <pic:nvPicPr>
                          <pic:cNvPr id="0" name="r4_exhibit2a_mys_sectors.png"/>
                          <pic:cNvPicPr/>
                        </pic:nvPicPr>
                        <pic:blipFill>
                          <a:blip r:embed="rId18"/>
                          <a:stretch>
                            <a:fillRect/>
                          </a:stretch>
                        </pic:blipFill>
                        <pic:spPr>
                          <a:xfrm>
                            <a:off x="0" y="0"/>
                            <a:ext cx="2743200" cy="1114384"/>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6a – MYS sector costs at USD 55.578/t (NGFS NZ2050).</w:t>
            </w:r>
          </w:p>
        </w:tc>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1133381"/>
                  <wp:docPr id="11" name="Picture 11"/>
                  <wp:cNvGraphicFramePr>
                    <a:graphicFrameLocks noChangeAspect="1"/>
                  </wp:cNvGraphicFramePr>
                  <a:graphic>
                    <a:graphicData uri="http://schemas.openxmlformats.org/drawingml/2006/picture">
                      <pic:pic>
                        <pic:nvPicPr>
                          <pic:cNvPr id="0" name="r4_exhibit2b_mys_vs_phl.png"/>
                          <pic:cNvPicPr/>
                        </pic:nvPicPr>
                        <pic:blipFill>
                          <a:blip r:embed="rId19"/>
                          <a:stretch>
                            <a:fillRect/>
                          </a:stretch>
                        </pic:blipFill>
                        <pic:spPr>
                          <a:xfrm>
                            <a:off x="0" y="0"/>
                            <a:ext cx="2743200" cy="1133381"/>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6b – MYS (incl. LULUCF emitter) vs. PHL (excl. LULUCF sink) head-to-head.</w:t>
            </w:r>
          </w:p>
        </w:tc>
      </w:tr>
    </w:tbl>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val="clear" w:color="auto" w:fill="1F497D"/>
            <w:tcW w:w="2448" w:type="dxa"/>
          </w:tcPr>
          <w:p>
            <w:pPr>
              <w:spacing w:after="20" w:before="20"/>
              <w:jc w:val="center"/>
            </w:pPr>
            <w:r>
              <w:rPr>
                <w:rFonts w:ascii="Times New Roman" w:hAnsi="Times New Roman" w:cs="Times New Roman"/>
                <w:rFonts w:ascii="Times New Roman" w:hAnsi="Times New Roman"/>
                <w:b/>
                <w:i w:val="0"/>
                <w:color w:val="FFFFFF"/>
                <w:sz w:val="20"/>
              </w:rPr>
              <w:t>Sector</w:t>
            </w:r>
          </w:p>
        </w:tc>
        <w:tc>
          <w:tcPr>
            <w:tcW w:type="dxa" w:w="2017"/>
            <w:shd w:val="clear" w:color="auto" w:fill="1F497D"/>
            <w:tcW w:w="1728" w:type="dxa"/>
          </w:tcPr>
          <w:p>
            <w:pPr>
              <w:spacing w:after="20" w:before="20"/>
              <w:jc w:val="center"/>
            </w:pPr>
            <w:r>
              <w:rPr>
                <w:rFonts w:ascii="Times New Roman" w:hAnsi="Times New Roman" w:cs="Times New Roman"/>
                <w:rFonts w:ascii="Times New Roman" w:hAnsi="Times New Roman"/>
                <w:b/>
                <w:i w:val="0"/>
                <w:color w:val="FFFFFF"/>
                <w:sz w:val="20"/>
              </w:rPr>
              <w:t>MYS GHG (MtCO₂e)</w:t>
            </w:r>
          </w:p>
        </w:tc>
        <w:tc>
          <w:tcPr>
            <w:tcW w:type="dxa" w:w="2017"/>
            <w:shd w:val="clear" w:color="auto" w:fill="1F497D"/>
            <w:tcW w:w="1728" w:type="dxa"/>
          </w:tcPr>
          <w:p>
            <w:pPr>
              <w:spacing w:after="20" w:before="20"/>
              <w:jc w:val="center"/>
            </w:pPr>
            <w:r>
              <w:rPr>
                <w:rFonts w:ascii="Times New Roman" w:hAnsi="Times New Roman" w:cs="Times New Roman"/>
                <w:rFonts w:ascii="Times New Roman" w:hAnsi="Times New Roman"/>
                <w:b/>
                <w:i w:val="0"/>
                <w:color w:val="FFFFFF"/>
                <w:sz w:val="20"/>
              </w:rPr>
              <w:t>MYS Cost (USD M)</w:t>
            </w:r>
          </w:p>
        </w:tc>
        <w:tc>
          <w:tcPr>
            <w:tcW w:type="dxa" w:w="2017"/>
            <w:shd w:val="clear" w:color="auto" w:fill="1F497D"/>
            <w:tcW w:w="1080" w:type="dxa"/>
          </w:tcPr>
          <w:p>
            <w:pPr>
              <w:spacing w:after="20" w:before="20"/>
              <w:jc w:val="center"/>
            </w:pPr>
            <w:r>
              <w:rPr>
                <w:rFonts w:ascii="Times New Roman" w:hAnsi="Times New Roman" w:cs="Times New Roman"/>
                <w:rFonts w:ascii="Times New Roman" w:hAnsi="Times New Roman"/>
                <w:b/>
                <w:i w:val="0"/>
                <w:color w:val="FFFFFF"/>
                <w:sz w:val="20"/>
              </w:rPr>
              <w:t>% Total</w:t>
            </w:r>
          </w:p>
        </w:tc>
        <w:tc>
          <w:tcPr>
            <w:tcW w:type="dxa" w:w="2017"/>
            <w:shd w:val="clear" w:color="auto" w:fill="1F497D"/>
            <w:tcW w:w="2015" w:type="dxa"/>
          </w:tcPr>
          <w:p>
            <w:pPr>
              <w:spacing w:after="20" w:before="20"/>
              <w:jc w:val="center"/>
            </w:pPr>
            <w:r>
              <w:rPr>
                <w:rFonts w:ascii="Times New Roman" w:hAnsi="Times New Roman" w:cs="Times New Roman"/>
                <w:rFonts w:ascii="Times New Roman" w:hAnsi="Times New Roman"/>
                <w:b/>
                <w:i w:val="0"/>
                <w:color w:val="FFFFFF"/>
                <w:sz w:val="20"/>
              </w:rPr>
              <w:t>PHL Cost (USD M)</w:t>
            </w:r>
          </w:p>
        </w:tc>
      </w:tr>
      <w:tr>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Energy</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279.85</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15,554</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69.5%</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8,935</w:t>
            </w:r>
          </w:p>
        </w:tc>
      </w:tr>
      <w:tr>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LULUCF (MYS only)</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63.29</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3,518</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15.7%</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N/A – net sink</w:t>
            </w:r>
          </w:p>
        </w:tc>
      </w:tr>
      <w:tr>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Industrial Processes</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29.87</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1,660</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7.4%</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931</w:t>
            </w:r>
          </w:p>
        </w:tc>
      </w:tr>
      <w:tr>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Waste</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19.49</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1,083</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4.8%</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1,276</w:t>
            </w:r>
          </w:p>
        </w:tc>
      </w:tr>
      <w:tr>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Agriculture</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10.11</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562</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2.5%</w:t>
            </w:r>
          </w:p>
        </w:tc>
        <w:tc>
          <w:tcPr>
            <w:tcW w:type="dxa" w:w="2017"/>
            <w:shd w:val="clear" w:color="auto" w:fill="D9E2F3"/>
          </w:tcPr>
          <w:p>
            <w:pPr>
              <w:spacing w:after="20" w:before="20"/>
              <w:jc w:val="left"/>
            </w:pPr>
            <w:r>
              <w:rPr>
                <w:rFonts w:ascii="Times New Roman" w:hAnsi="Times New Roman" w:cs="Times New Roman"/>
                <w:rFonts w:ascii="Times New Roman" w:hAnsi="Times New Roman"/>
                <w:b w:val="0"/>
                <w:i w:val="0"/>
                <w:sz w:val="20"/>
              </w:rPr>
              <w:t>3,661 (rice methane)</w:t>
            </w:r>
          </w:p>
        </w:tc>
      </w:tr>
      <w:tr>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TOTAL</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402.61</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22,376</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100%</w:t>
            </w:r>
          </w:p>
        </w:tc>
        <w:tc>
          <w:tcPr>
            <w:tcW w:type="dxa" w:w="2017"/>
            <w:shd w:val="clear" w:color="auto" w:fill="FFFFFF"/>
          </w:tcPr>
          <w:p>
            <w:pPr>
              <w:spacing w:after="20" w:before="20"/>
              <w:jc w:val="left"/>
            </w:pPr>
            <w:r>
              <w:rPr>
                <w:rFonts w:ascii="Times New Roman" w:hAnsi="Times New Roman" w:cs="Times New Roman"/>
                <w:rFonts w:ascii="Times New Roman" w:hAnsi="Times New Roman"/>
                <w:b w:val="0"/>
                <w:i w:val="0"/>
                <w:sz w:val="20"/>
              </w:rPr>
              <w:t>14,803</w:t>
            </w:r>
          </w:p>
        </w:tc>
      </w:tr>
    </w:tbl>
    <w:p>
      <w:pPr>
        <w:spacing w:before="20" w:after="80"/>
        <w:jc w:val="center"/>
      </w:pPr>
      <w:r>
        <w:rPr>
          <w:rFonts w:ascii="Times New Roman" w:hAnsi="Times New Roman" w:cs="Times New Roman"/>
          <w:rFonts w:ascii="Times New Roman" w:hAnsi="Times New Roman"/>
          <w:b w:val="0"/>
          <w:i/>
          <w:sz w:val="18"/>
        </w:rPr>
        <w:t>Table 6 – MYS sector GHG at NZ2050 (USD 55.578/t). Total: MYS USD 22.4bn/yr (5.5% GDP); PHL USD 14.8bn/yr (3.3% GDP).</w:t>
      </w:r>
    </w:p>
    <w:p>
      <w:pPr>
        <w:spacing w:before="100" w:after="40"/>
        <w:jc w:val="left"/>
      </w:pPr>
      <w:r>
        <w:rPr>
          <w:rFonts w:ascii="Times New Roman" w:hAnsi="Times New Roman" w:cs="Times New Roman"/>
          <w:rFonts w:ascii="Times New Roman" w:hAnsi="Times New Roman"/>
          <w:b/>
          <w:i w:val="0"/>
          <w:color w:val="1F497D"/>
          <w:sz w:val="24"/>
        </w:rPr>
        <w:t>Pass-Through to SEA Treaty Pool</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val="clear" w:color="auto" w:fill="1F497D"/>
            <w:tcW w:w="2664" w:type="dxa"/>
          </w:tcPr>
          <w:p>
            <w:pPr>
              <w:spacing w:after="20" w:before="20"/>
              <w:jc w:val="center"/>
            </w:pPr>
            <w:r>
              <w:rPr>
                <w:rFonts w:ascii="Times New Roman" w:hAnsi="Times New Roman" w:cs="Times New Roman"/>
                <w:rFonts w:ascii="Times New Roman" w:hAnsi="Times New Roman"/>
                <w:b/>
                <w:i w:val="0"/>
                <w:color w:val="FFFFFF"/>
                <w:sz w:val="20"/>
              </w:rPr>
              <w:t>Scenario</w:t>
            </w:r>
          </w:p>
        </w:tc>
        <w:tc>
          <w:tcPr>
            <w:tcW w:type="dxa" w:w="1681"/>
            <w:shd w:val="clear" w:color="auto" w:fill="1F497D"/>
            <w:tcW w:w="1655" w:type="dxa"/>
          </w:tcPr>
          <w:p>
            <w:pPr>
              <w:spacing w:after="20" w:before="20"/>
              <w:jc w:val="center"/>
            </w:pPr>
            <w:r>
              <w:rPr>
                <w:rFonts w:ascii="Times New Roman" w:hAnsi="Times New Roman" w:cs="Times New Roman"/>
                <w:rFonts w:ascii="Times New Roman" w:hAnsi="Times New Roman"/>
                <w:b/>
                <w:i w:val="0"/>
                <w:color w:val="FFFFFF"/>
                <w:sz w:val="20"/>
              </w:rPr>
              <w:t>Carbon Price</w:t>
            </w:r>
          </w:p>
        </w:tc>
        <w:tc>
          <w:tcPr>
            <w:tcW w:type="dxa" w:w="168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GHG Basis</w:t>
            </w:r>
          </w:p>
        </w:tc>
        <w:tc>
          <w:tcPr>
            <w:tcW w:type="dxa" w:w="1681"/>
            <w:shd w:val="clear" w:color="auto" w:fill="1F497D"/>
            <w:tcW w:w="1296" w:type="dxa"/>
          </w:tcPr>
          <w:p>
            <w:pPr>
              <w:spacing w:after="20" w:before="20"/>
              <w:jc w:val="center"/>
            </w:pPr>
            <w:r>
              <w:rPr>
                <w:rFonts w:ascii="Times New Roman" w:hAnsi="Times New Roman" w:cs="Times New Roman"/>
                <w:rFonts w:ascii="Times New Roman" w:hAnsi="Times New Roman"/>
                <w:b/>
                <w:i w:val="0"/>
                <w:color w:val="FFFFFF"/>
                <w:sz w:val="20"/>
              </w:rPr>
              <w:t>MYS Pool</w:t>
            </w:r>
          </w:p>
        </w:tc>
        <w:tc>
          <w:tcPr>
            <w:tcW w:type="dxa" w:w="1681"/>
            <w:shd w:val="clear" w:color="auto" w:fill="1F497D"/>
            <w:tcW w:w="1296" w:type="dxa"/>
          </w:tcPr>
          <w:p>
            <w:pPr>
              <w:spacing w:after="20" w:before="20"/>
              <w:jc w:val="center"/>
            </w:pPr>
            <w:r>
              <w:rPr>
                <w:rFonts w:ascii="Times New Roman" w:hAnsi="Times New Roman" w:cs="Times New Roman"/>
                <w:rFonts w:ascii="Times New Roman" w:hAnsi="Times New Roman"/>
                <w:b/>
                <w:i w:val="0"/>
                <w:color w:val="FFFFFF"/>
                <w:sz w:val="20"/>
              </w:rPr>
              <w:t>PHL Pool</w:t>
            </w:r>
          </w:p>
        </w:tc>
        <w:tc>
          <w:tcPr>
            <w:tcW w:type="dxa" w:w="1681"/>
            <w:shd w:val="clear" w:color="auto" w:fill="1F497D"/>
            <w:tcW w:w="1296" w:type="dxa"/>
          </w:tcPr>
          <w:p>
            <w:pPr>
              <w:spacing w:after="20" w:before="20"/>
              <w:jc w:val="center"/>
            </w:pPr>
            <w:r>
              <w:rPr>
                <w:rFonts w:ascii="Times New Roman" w:hAnsi="Times New Roman" w:cs="Times New Roman"/>
                <w:rFonts w:ascii="Times New Roman" w:hAnsi="Times New Roman"/>
                <w:b/>
                <w:i w:val="0"/>
                <w:color w:val="FFFFFF"/>
                <w:sz w:val="20"/>
              </w:rPr>
              <w:t>SEA Total</w:t>
            </w:r>
          </w:p>
        </w:tc>
      </w:tr>
      <w:tr>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Current Policies</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w:t>
            </w:r>
          </w:p>
        </w:tc>
      </w:tr>
      <w:tr>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NGFS NZ2050 (2024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55.578/t</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672M</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444M</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1,115M</w:t>
            </w:r>
          </w:p>
        </w:tc>
      </w:tr>
      <w:tr>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NGFS NZ2050 (2030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55.578/t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714M</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476M</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1,191M</w:t>
            </w:r>
          </w:p>
        </w:tc>
      </w:tr>
      <w:tr>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Stress 2× (2024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111/t</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1,295M</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888M</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2,230M</w:t>
            </w:r>
          </w:p>
        </w:tc>
      </w:tr>
      <w:tr>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Stress 2× (2030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111/t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1,430M</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952M</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2,382M</w:t>
            </w:r>
          </w:p>
        </w:tc>
      </w:tr>
    </w:tbl>
    <w:p>
      <w:pPr>
        <w:spacing w:before="20" w:after="80"/>
        <w:jc w:val="center"/>
      </w:pPr>
      <w:r>
        <w:rPr>
          <w:rFonts w:ascii="Times New Roman" w:hAnsi="Times New Roman" w:cs="Times New Roman"/>
          <w:rFonts w:ascii="Times New Roman" w:hAnsi="Times New Roman"/>
          <w:b w:val="0"/>
          <w:i/>
          <w:sz w:val="18"/>
        </w:rPr>
        <w:t>Table 7 – Annual transition pass-through (3% rate, 50% treaty attachment). PT rate sensitivity 1–5% drives 5× HRe reserve variance.</w:t>
      </w:r>
    </w:p>
    <w:p>
      <w:r>
        <w:br w:type="page"/>
      </w:r>
    </w:p>
    <w:p>
      <w:pPr>
        <w:spacing w:before="160" w:after="60"/>
        <w:jc w:val="left"/>
      </w:pPr>
      <w:r>
        <w:rPr>
          <w:rFonts w:ascii="Times New Roman" w:hAnsi="Times New Roman" w:cs="Times New Roman"/>
          <w:rFonts w:ascii="Times New Roman" w:hAnsi="Times New Roman"/>
          <w:b/>
          <w:i w:val="0"/>
          <w:color w:val="1F497D"/>
          <w:sz w:val="26"/>
        </w:rPr>
        <w:t>7. Stress Testing &amp; 2030 Projections</w:t>
      </w:r>
    </w:p>
    <w:p>
      <w:pPr>
        <w:spacing w:before="0" w:after="60"/>
        <w:jc w:val="both"/>
      </w:pPr>
      <w:r>
        <w:rPr>
          <w:rFonts w:ascii="Times New Roman" w:hAnsi="Times New Roman" w:cs="Times New Roman"/>
          <w:rFonts w:ascii="Times New Roman" w:hAnsi="Times New Roman"/>
          <w:b w:val="0"/>
          <w:i w:val="0"/>
          <w:sz w:val="24"/>
        </w:rPr>
        <w:t>The NGFS NZ2050 carbon price ramps from USD 28.2/t in 2024 to USD 55.6/t by 2030, while sectoral GHG declines at 3%/yr (IEA NZ2050 conservative abatement). Price escalation outpaces abatement: compliance costs rise throughout the decade despite falling emissions. The binding capital constraint is reached at approximately 2027, making it the actionable treaty repricing trigger — not 2030.</w:t>
      </w:r>
    </w:p>
    <w:p>
      <w:pPr>
        <w:jc w:val="center"/>
      </w:pPr>
      <w:r>
        <w:drawing>
          <wp:inline xmlns:a="http://schemas.openxmlformats.org/drawingml/2006/main" xmlns:pic="http://schemas.openxmlformats.org/drawingml/2006/picture">
            <wp:extent cx="5669280" cy="2175968"/>
            <wp:docPr id="12" name="Picture 12"/>
            <wp:cNvGraphicFramePr>
              <a:graphicFrameLocks noChangeAspect="1"/>
            </wp:cNvGraphicFramePr>
            <a:graphic>
              <a:graphicData uri="http://schemas.openxmlformats.org/drawingml/2006/picture">
                <pic:pic>
                  <pic:nvPicPr>
                    <pic:cNvPr id="0" name="r4_carbon_price_trajectory.png"/>
                    <pic:cNvPicPr/>
                  </pic:nvPicPr>
                  <pic:blipFill>
                    <a:blip r:embed="rId20"/>
                    <a:stretch>
                      <a:fillRect/>
                    </a:stretch>
                  </pic:blipFill>
                  <pic:spPr>
                    <a:xfrm>
                      <a:off x="0" y="0"/>
                      <a:ext cx="5669280" cy="2175968"/>
                    </a:xfrm>
                    <a:prstGeom prst="rect"/>
                  </pic:spPr>
                </pic:pic>
              </a:graphicData>
            </a:graphic>
          </wp:inline>
        </w:drawing>
      </w:r>
    </w:p>
    <w:p>
      <w:pPr>
        <w:spacing w:before="20" w:after="80"/>
        <w:jc w:val="center"/>
      </w:pPr>
      <w:r>
        <w:rPr>
          <w:rFonts w:ascii="Times New Roman" w:hAnsi="Times New Roman" w:cs="Times New Roman"/>
          <w:rFonts w:ascii="Times New Roman" w:hAnsi="Times New Roman"/>
          <w:b w:val="0"/>
          <w:i/>
          <w:sz w:val="18"/>
        </w:rPr>
        <w:t>Fig 7a – NGFS GCAM 6.0 NZ2050 carbon price trajectory: baseline $28/t (2024) → $56/t (2030) → $110/t (2050). 2× stress path and 2027 capital constraint trigger are marked.</w:t>
      </w:r>
    </w:p>
    <w:p>
      <w:pPr>
        <w:spacing w:before="100" w:after="40"/>
        <w:jc w:val="left"/>
      </w:pPr>
      <w:r>
        <w:rPr>
          <w:rFonts w:ascii="Times New Roman" w:hAnsi="Times New Roman" w:cs="Times New Roman"/>
          <w:rFonts w:ascii="Times New Roman" w:hAnsi="Times New Roman"/>
          <w:b/>
          <w:i w:val="0"/>
          <w:color w:val="1F497D"/>
          <w:sz w:val="24"/>
        </w:rPr>
        <w:t>Trajectory &amp; Stress Scenarios</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val="clear" w:color="auto" w:fill="1F497D"/>
            <w:tcW w:w="2160" w:type="dxa"/>
          </w:tcPr>
          <w:p>
            <w:pPr>
              <w:spacing w:after="20" w:before="20"/>
              <w:jc w:val="center"/>
            </w:pPr>
            <w:r>
              <w:rPr>
                <w:rFonts w:ascii="Times New Roman" w:hAnsi="Times New Roman" w:cs="Times New Roman"/>
                <w:rFonts w:ascii="Times New Roman" w:hAnsi="Times New Roman"/>
                <w:b/>
                <w:i w:val="0"/>
                <w:color w:val="FFFFFF"/>
                <w:sz w:val="20"/>
              </w:rPr>
              <w:t>Scenario</w:t>
            </w:r>
          </w:p>
        </w:tc>
        <w:tc>
          <w:tcPr>
            <w:tcW w:type="dxa" w:w="168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GHG Basis</w:t>
            </w:r>
          </w:p>
        </w:tc>
        <w:tc>
          <w:tcPr>
            <w:tcW w:type="dxa" w:w="1681"/>
            <w:shd w:val="clear" w:color="auto" w:fill="1F497D"/>
            <w:tcW w:w="1584" w:type="dxa"/>
          </w:tcPr>
          <w:p>
            <w:pPr>
              <w:spacing w:after="20" w:before="20"/>
              <w:jc w:val="center"/>
            </w:pPr>
            <w:r>
              <w:rPr>
                <w:rFonts w:ascii="Times New Roman" w:hAnsi="Times New Roman" w:cs="Times New Roman"/>
                <w:rFonts w:ascii="Times New Roman" w:hAnsi="Times New Roman"/>
                <w:b/>
                <w:i w:val="0"/>
                <w:color w:val="FFFFFF"/>
                <w:sz w:val="20"/>
              </w:rPr>
              <w:t>Carbon Price</w:t>
            </w:r>
          </w:p>
        </w:tc>
        <w:tc>
          <w:tcPr>
            <w:tcW w:type="dxa" w:w="1681"/>
            <w:shd w:val="clear" w:color="auto" w:fill="1F497D"/>
            <w:tcW w:w="1584" w:type="dxa"/>
          </w:tcPr>
          <w:p>
            <w:pPr>
              <w:spacing w:after="20" w:before="20"/>
              <w:jc w:val="center"/>
            </w:pPr>
            <w:r>
              <w:rPr>
                <w:rFonts w:ascii="Times New Roman" w:hAnsi="Times New Roman" w:cs="Times New Roman"/>
                <w:rFonts w:ascii="Times New Roman" w:hAnsi="Times New Roman"/>
                <w:b/>
                <w:i w:val="0"/>
                <w:color w:val="FFFFFF"/>
                <w:sz w:val="20"/>
              </w:rPr>
              <w:t>MYS Full Cost</w:t>
            </w:r>
          </w:p>
        </w:tc>
        <w:tc>
          <w:tcPr>
            <w:tcW w:type="dxa" w:w="168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PHL Full Cost</w:t>
            </w:r>
          </w:p>
        </w:tc>
        <w:tc>
          <w:tcPr>
            <w:tcW w:type="dxa" w:w="1681"/>
            <w:shd w:val="clear" w:color="auto" w:fill="1F497D"/>
            <w:tcW w:w="2304" w:type="dxa"/>
          </w:tcPr>
          <w:p>
            <w:pPr>
              <w:spacing w:after="20" w:before="20"/>
              <w:jc w:val="center"/>
            </w:pPr>
            <w:r>
              <w:rPr>
                <w:rFonts w:ascii="Times New Roman" w:hAnsi="Times New Roman" w:cs="Times New Roman"/>
                <w:rFonts w:ascii="Times New Roman" w:hAnsi="Times New Roman"/>
                <w:b/>
                <w:i w:val="0"/>
                <w:color w:val="FFFFFF"/>
                <w:sz w:val="20"/>
              </w:rPr>
              <w:t>Key Implication</w:t>
            </w:r>
          </w:p>
        </w:tc>
      </w:tr>
      <w:tr>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Current Policies</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0</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Reference</w:t>
            </w:r>
          </w:p>
        </w:tc>
      </w:tr>
      <w:tr>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NZ2050 (2024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55.578/t</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21.6bn</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14.5bn</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Trigger year ~2027</w:t>
            </w:r>
          </w:p>
        </w:tc>
      </w:tr>
      <w:tr>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NZ2050 (2030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55.578/t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23.8bn</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15.9bn</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2030 forward exposure</w:t>
            </w:r>
          </w:p>
        </w:tc>
      </w:tr>
      <w:tr>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2× Stress (2024)</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2024 ARIMA</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111/t</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43.2bn</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USD 29.0bn</w:t>
            </w:r>
          </w:p>
        </w:tc>
        <w:tc>
          <w:tcPr>
            <w:tcW w:type="dxa" w:w="1681"/>
            <w:shd w:val="clear" w:color="auto" w:fill="FFFFFF"/>
          </w:tcPr>
          <w:p>
            <w:pPr>
              <w:spacing w:after="20" w:before="20"/>
              <w:jc w:val="left"/>
            </w:pPr>
            <w:r>
              <w:rPr>
                <w:rFonts w:ascii="Times New Roman" w:hAnsi="Times New Roman" w:cs="Times New Roman"/>
                <w:rFonts w:ascii="Times New Roman" w:hAnsi="Times New Roman"/>
                <w:b w:val="0"/>
                <w:i w:val="0"/>
                <w:sz w:val="20"/>
              </w:rPr>
              <w:t>Binding SEA capital</w:t>
            </w:r>
          </w:p>
        </w:tc>
      </w:tr>
      <w:tr>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2× Stress (2030)</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2030 ARIMA</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111/t</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47.7bn</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USD 31.7bn</w:t>
            </w:r>
          </w:p>
        </w:tc>
        <w:tc>
          <w:tcPr>
            <w:tcW w:type="dxa" w:w="1681"/>
            <w:shd w:val="clear" w:color="auto" w:fill="D9E2F3"/>
          </w:tcPr>
          <w:p>
            <w:pPr>
              <w:spacing w:after="20" w:before="20"/>
              <w:jc w:val="left"/>
            </w:pPr>
            <w:r>
              <w:rPr>
                <w:rFonts w:ascii="Times New Roman" w:hAnsi="Times New Roman" w:cs="Times New Roman"/>
                <w:rFonts w:ascii="Times New Roman" w:hAnsi="Times New Roman"/>
                <w:b w:val="0"/>
                <w:i w:val="0"/>
                <w:sz w:val="20"/>
              </w:rPr>
              <w:t>Worst-case 2030</w:t>
            </w:r>
          </w:p>
        </w:tc>
      </w:tr>
    </w:tbl>
    <w:p>
      <w:pPr>
        <w:spacing w:before="20" w:after="80"/>
        <w:jc w:val="center"/>
      </w:pPr>
      <w:r>
        <w:rPr>
          <w:rFonts w:ascii="Times New Roman" w:hAnsi="Times New Roman" w:cs="Times New Roman"/>
          <w:rFonts w:ascii="Times New Roman" w:hAnsi="Times New Roman"/>
          <w:b w:val="0"/>
          <w:i/>
          <w:sz w:val="18"/>
        </w:rPr>
        <w:t>Table 8 – Full compliance cost scenarios. MYS includes LULUCF (+63.3 MtCO₂e). Source: NGFS GCAM 6.0; ARIMA 7-step forecast.</w:t>
      </w:r>
    </w:p>
    <w:p>
      <w:pPr>
        <w:jc w:val="center"/>
      </w:pPr>
      <w:r>
        <w:drawing>
          <wp:inline xmlns:a="http://schemas.openxmlformats.org/drawingml/2006/main" xmlns:pic="http://schemas.openxmlformats.org/drawingml/2006/picture">
            <wp:extent cx="5669280" cy="1985880"/>
            <wp:docPr id="13" name="Picture 13"/>
            <wp:cNvGraphicFramePr>
              <a:graphicFrameLocks noChangeAspect="1"/>
            </wp:cNvGraphicFramePr>
            <a:graphic>
              <a:graphicData uri="http://schemas.openxmlformats.org/drawingml/2006/picture">
                <pic:pic>
                  <pic:nvPicPr>
                    <pic:cNvPr id="0" name="r4_transition_cost_trajectory.png"/>
                    <pic:cNvPicPr/>
                  </pic:nvPicPr>
                  <pic:blipFill>
                    <a:blip r:embed="rId21"/>
                    <a:stretch>
                      <a:fillRect/>
                    </a:stretch>
                  </pic:blipFill>
                  <pic:spPr>
                    <a:xfrm>
                      <a:off x="0" y="0"/>
                      <a:ext cx="5669280" cy="1985880"/>
                    </a:xfrm>
                    <a:prstGeom prst="rect"/>
                  </pic:spPr>
                </pic:pic>
              </a:graphicData>
            </a:graphic>
          </wp:inline>
        </w:drawing>
      </w:r>
    </w:p>
    <w:p>
      <w:pPr>
        <w:spacing w:before="20" w:after="80"/>
        <w:jc w:val="center"/>
      </w:pPr>
      <w:r>
        <w:rPr>
          <w:rFonts w:ascii="Times New Roman" w:hAnsi="Times New Roman" w:cs="Times New Roman"/>
          <w:rFonts w:ascii="Times New Roman" w:hAnsi="Times New Roman"/>
          <w:b w:val="0"/>
          <w:i/>
          <w:sz w:val="18"/>
        </w:rPr>
        <w:t>Fig 7b – HRe SEA combined transition cost 2024–2030. Capital constraint binds ~2027 at 10% SEA allocation.</w:t>
      </w:r>
    </w:p>
    <w:p>
      <w:r>
        <w:br w:type="page"/>
      </w:r>
    </w:p>
    <w:p>
      <w:pPr>
        <w:spacing w:before="160" w:after="60"/>
        <w:jc w:val="left"/>
      </w:pPr>
      <w:r>
        <w:rPr>
          <w:rFonts w:ascii="Times New Roman" w:hAnsi="Times New Roman" w:cs="Times New Roman"/>
          <w:rFonts w:ascii="Times New Roman" w:hAnsi="Times New Roman"/>
          <w:b/>
          <w:i w:val="0"/>
          <w:color w:val="1F497D"/>
          <w:sz w:val="26"/>
        </w:rPr>
        <w:t>8. Financial Impact — Hannover Re Reserve Implications</w:t>
      </w:r>
    </w:p>
    <w:p>
      <w:pPr>
        <w:spacing w:before="0" w:after="60"/>
        <w:jc w:val="both"/>
      </w:pPr>
      <w:r>
        <w:rPr>
          <w:rFonts w:ascii="Times New Roman" w:hAnsi="Times New Roman" w:cs="Times New Roman"/>
          <w:rFonts w:ascii="Times New Roman" w:hAnsi="Times New Roman"/>
          <w:b w:val="0"/>
          <w:i w:val="0"/>
          <w:sz w:val="24"/>
        </w:rPr>
        <w:t>Reserve estimates are calibrated using HRe's 8% APAC non-life market share (2023 Annual Report p.47), 50% SEA treaty attachment (Swiss Re Sigma 1/2024), and 3–10% sub-book allocation (BNM/BSP data). The USD 3.4M–USD 18.6M range is driven by two uncertainties: pass-through rate (±2pp, generating 5× reserve variance) and GEV sample size (n=34, ±44.5pp PHL CI). Both are resolved by R5 within 12 months, narrowing the band to USD 7.5–11.8M.</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497D"/>
            <w:tcW w:w="3024" w:type="dxa"/>
          </w:tcPr>
          <w:p>
            <w:pPr>
              <w:spacing w:after="20" w:before="20"/>
              <w:jc w:val="center"/>
            </w:pPr>
            <w:r>
              <w:rPr>
                <w:rFonts w:ascii="Times New Roman" w:hAnsi="Times New Roman" w:cs="Times New Roman"/>
                <w:rFonts w:ascii="Times New Roman" w:hAnsi="Times New Roman"/>
                <w:b/>
                <w:i w:val="0"/>
                <w:color w:val="FFFFFF"/>
                <w:sz w:val="20"/>
              </w:rPr>
              <w:t>Reserve Tier</w:t>
            </w:r>
          </w:p>
        </w:tc>
        <w:tc>
          <w:tcPr>
            <w:tcW w:type="dxa" w:w="3362"/>
            <w:shd w:val="clear" w:color="auto" w:fill="1F497D"/>
            <w:tcW w:w="1944" w:type="dxa"/>
          </w:tcPr>
          <w:p>
            <w:pPr>
              <w:spacing w:after="20" w:before="20"/>
              <w:jc w:val="center"/>
            </w:pPr>
            <w:r>
              <w:rPr>
                <w:rFonts w:ascii="Times New Roman" w:hAnsi="Times New Roman" w:cs="Times New Roman"/>
                <w:rFonts w:ascii="Times New Roman" w:hAnsi="Times New Roman"/>
                <w:b/>
                <w:i w:val="0"/>
                <w:color w:val="FFFFFF"/>
                <w:sz w:val="20"/>
              </w:rPr>
              <w:t>Annual Estimate</w:t>
            </w:r>
          </w:p>
        </w:tc>
        <w:tc>
          <w:tcPr>
            <w:tcW w:type="dxa" w:w="3362"/>
            <w:shd w:val="clear" w:color="auto" w:fill="1F497D"/>
            <w:tcW w:w="4104" w:type="dxa"/>
          </w:tcPr>
          <w:p>
            <w:pPr>
              <w:spacing w:after="20" w:before="20"/>
              <w:jc w:val="center"/>
            </w:pPr>
            <w:r>
              <w:rPr>
                <w:rFonts w:ascii="Times New Roman" w:hAnsi="Times New Roman" w:cs="Times New Roman"/>
                <w:rFonts w:ascii="Times New Roman" w:hAnsi="Times New Roman"/>
                <w:b/>
                <w:i w:val="0"/>
                <w:color w:val="FFFFFF"/>
                <w:sz w:val="20"/>
              </w:rPr>
              <w:t>Key Drivers</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FLOOR (3% SEA alloc.)</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USD 3.4M/yr</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Conservative: 3% alloc. × 3% PT × baseline carbon; physical EAL floor only</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CENTRAL ESTIMATE (10% alloc.)</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9.7M/yr</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Base case: 10% alloc. × 3% PT × NZ2050; primary HRe planning figure</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STRESS (10% alloc., 2× carbon)</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USD 18.6M/yr</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2× carbon price; triggers mandatory treaty repricing and R4 clause activation</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p99 La Niña (additive)</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2.59M/yr</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Gaussian copula rho=0.32; added to central in stress budget</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Physical EAL component</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USD 0.74M/yr</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GEV-PELT uplift (MYS+PHL); independent of carbon price trajectory</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Post-R5 target range</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USD 7.5–11.8M/yr</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After cedant triangles + CHIRPS sub-national grids narrow GEV CI ~60%</w:t>
            </w:r>
          </w:p>
        </w:tc>
      </w:tr>
    </w:tbl>
    <w:p>
      <w:pPr>
        <w:spacing w:before="20" w:after="80"/>
        <w:jc w:val="center"/>
      </w:pPr>
      <w:r>
        <w:rPr>
          <w:rFonts w:ascii="Times New Roman" w:hAnsi="Times New Roman" w:cs="Times New Roman"/>
          <w:rFonts w:ascii="Times New Roman" w:hAnsi="Times New Roman"/>
          <w:b w:val="0"/>
          <w:i/>
          <w:sz w:val="18"/>
        </w:rPr>
        <w:t>Table 9 – HRe annual reserve gap: three-tier framing. Range width is the quantitative case for R5.</w:t>
      </w:r>
    </w:p>
    <w:p>
      <w:pPr>
        <w:jc w:val="center"/>
      </w:pPr>
      <w:r>
        <w:drawing>
          <wp:inline xmlns:a="http://schemas.openxmlformats.org/drawingml/2006/main" xmlns:pic="http://schemas.openxmlformats.org/drawingml/2006/picture">
            <wp:extent cx="5669280" cy="3996690"/>
            <wp:docPr id="14" name="Picture 14"/>
            <wp:cNvGraphicFramePr>
              <a:graphicFrameLocks noChangeAspect="1"/>
            </wp:cNvGraphicFramePr>
            <a:graphic>
              <a:graphicData uri="http://schemas.openxmlformats.org/drawingml/2006/picture">
                <pic:pic>
                  <pic:nvPicPr>
                    <pic:cNvPr id="0" name="r_heatmap_reserve_gap.png"/>
                    <pic:cNvPicPr/>
                  </pic:nvPicPr>
                  <pic:blipFill>
                    <a:blip r:embed="rId22"/>
                    <a:stretch>
                      <a:fillRect/>
                    </a:stretch>
                  </pic:blipFill>
                  <pic:spPr>
                    <a:xfrm>
                      <a:off x="0" y="0"/>
                      <a:ext cx="5669280" cy="3996690"/>
                    </a:xfrm>
                    <a:prstGeom prst="rect"/>
                  </pic:spPr>
                </pic:pic>
              </a:graphicData>
            </a:graphic>
          </wp:inline>
        </w:drawing>
      </w:r>
    </w:p>
    <w:p>
      <w:pPr>
        <w:spacing w:before="20" w:after="80"/>
        <w:jc w:val="center"/>
      </w:pPr>
      <w:r>
        <w:rPr>
          <w:rFonts w:ascii="Times New Roman" w:hAnsi="Times New Roman" w:cs="Times New Roman"/>
          <w:rFonts w:ascii="Times New Roman" w:hAnsi="Times New Roman"/>
          <w:b w:val="0"/>
          <w:i/>
          <w:sz w:val="18"/>
        </w:rPr>
        <w:t>Fig 8 – HRe SEA reserve gap as a function of carbon price and pass-through rate. Dashed contours: Floor USD 3.4M / Central USD 9.7M / Stress USD 18.6M. Red zone: binding capital constraint (&gt;USD 18.6M). Trigger ~2027 marked.</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val="clear" w:color="auto" w:fill="1F497D"/>
            <w:tcW w:w="1440" w:type="dxa"/>
          </w:tcPr>
          <w:p>
            <w:pPr>
              <w:spacing w:after="20" w:before="20"/>
              <w:jc w:val="center"/>
            </w:pPr>
            <w:r>
              <w:rPr>
                <w:rFonts w:ascii="Times New Roman" w:hAnsi="Times New Roman" w:cs="Times New Roman"/>
                <w:rFonts w:ascii="Times New Roman" w:hAnsi="Times New Roman"/>
                <w:b/>
                <w:i w:val="0"/>
                <w:color w:val="FFFFFF"/>
                <w:sz w:val="20"/>
              </w:rPr>
              <w:t>Country</w:t>
            </w:r>
          </w:p>
        </w:tc>
        <w:tc>
          <w:tcPr>
            <w:tcW w:type="dxa" w:w="2521"/>
            <w:shd w:val="clear" w:color="auto" w:fill="1F497D"/>
            <w:tcW w:w="1224" w:type="dxa"/>
          </w:tcPr>
          <w:p>
            <w:pPr>
              <w:spacing w:after="20" w:before="20"/>
              <w:jc w:val="center"/>
            </w:pPr>
            <w:r>
              <w:rPr>
                <w:rFonts w:ascii="Times New Roman" w:hAnsi="Times New Roman" w:cs="Times New Roman"/>
                <w:rFonts w:ascii="Times New Roman" w:hAnsi="Times New Roman"/>
                <w:b/>
                <w:i w:val="0"/>
                <w:color w:val="FFFFFF"/>
                <w:sz w:val="20"/>
              </w:rPr>
              <w:t>Penetration</w:t>
            </w:r>
          </w:p>
        </w:tc>
        <w:tc>
          <w:tcPr>
            <w:tcW w:type="dxa" w:w="2521"/>
            <w:shd w:val="clear" w:color="auto" w:fill="1F497D"/>
            <w:tcW w:w="1584" w:type="dxa"/>
          </w:tcPr>
          <w:p>
            <w:pPr>
              <w:spacing w:after="20" w:before="20"/>
              <w:jc w:val="center"/>
            </w:pPr>
            <w:r>
              <w:rPr>
                <w:rFonts w:ascii="Times New Roman" w:hAnsi="Times New Roman" w:cs="Times New Roman"/>
                <w:rFonts w:ascii="Times New Roman" w:hAnsi="Times New Roman"/>
                <w:b/>
                <w:i w:val="0"/>
                <w:color w:val="FFFFFF"/>
                <w:sz w:val="20"/>
              </w:rPr>
              <w:t>Economic Gap/yr</w:t>
            </w:r>
          </w:p>
        </w:tc>
        <w:tc>
          <w:tcPr>
            <w:tcW w:type="dxa" w:w="2521"/>
            <w:shd w:val="clear" w:color="auto" w:fill="1F497D"/>
            <w:tcW w:w="4824" w:type="dxa"/>
          </w:tcPr>
          <w:p>
            <w:pPr>
              <w:spacing w:after="20" w:before="20"/>
              <w:jc w:val="center"/>
            </w:pPr>
            <w:r>
              <w:rPr>
                <w:rFonts w:ascii="Times New Roman" w:hAnsi="Times New Roman" w:cs="Times New Roman"/>
                <w:rFonts w:ascii="Times New Roman" w:hAnsi="Times New Roman"/>
                <w:b/>
                <w:i w:val="0"/>
                <w:color w:val="FFFFFF"/>
                <w:sz w:val="20"/>
              </w:rPr>
              <w:t>Treaty Implication</w:t>
            </w:r>
          </w:p>
        </w:tc>
      </w:tr>
      <w:tr>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Malaysia</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~15%</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USD 6.5M</w:t>
            </w:r>
          </w:p>
        </w:tc>
        <w:tc>
          <w:tcPr>
            <w:tcW w:type="dxa" w:w="2521"/>
            <w:shd w:val="clear" w:color="auto" w:fill="D9E2F3"/>
          </w:tcPr>
          <w:p>
            <w:pPr>
              <w:spacing w:after="20" w:before="20"/>
              <w:jc w:val="left"/>
            </w:pPr>
            <w:r>
              <w:rPr>
                <w:rFonts w:ascii="Times New Roman" w:hAnsi="Times New Roman" w:cs="Times New Roman"/>
                <w:rFonts w:ascii="Times New Roman" w:hAnsi="Times New Roman"/>
                <w:b w:val="0"/>
                <w:i w:val="0"/>
                <w:sz w:val="20"/>
              </w:rPr>
              <w:t>EAL understated +5.87%; R1 loading applies</w:t>
            </w:r>
          </w:p>
        </w:tc>
      </w:tr>
      <w:tr>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Philippines</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~8%</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USD 11.9M</w:t>
            </w:r>
          </w:p>
        </w:tc>
        <w:tc>
          <w:tcPr>
            <w:tcW w:type="dxa" w:w="2521"/>
            <w:shd w:val="clear" w:color="auto" w:fill="FFFFFF"/>
          </w:tcPr>
          <w:p>
            <w:pPr>
              <w:spacing w:after="20" w:before="20"/>
              <w:jc w:val="left"/>
            </w:pPr>
            <w:r>
              <w:rPr>
                <w:rFonts w:ascii="Times New Roman" w:hAnsi="Times New Roman" w:cs="Times New Roman"/>
                <w:rFonts w:ascii="Times New Roman" w:hAnsi="Times New Roman"/>
                <w:b w:val="0"/>
                <w:i w:val="0"/>
                <w:sz w:val="20"/>
              </w:rPr>
              <w:t>EAL understated +1.28%; elevated monitoring zone</w:t>
            </w:r>
          </w:p>
        </w:tc>
      </w:tr>
    </w:tbl>
    <w:p>
      <w:pPr>
        <w:spacing w:before="20" w:after="80"/>
        <w:jc w:val="center"/>
      </w:pPr>
      <w:r>
        <w:rPr>
          <w:rFonts w:ascii="Times New Roman" w:hAnsi="Times New Roman" w:cs="Times New Roman"/>
          <w:rFonts w:ascii="Times New Roman" w:hAnsi="Times New Roman"/>
          <w:b w:val="0"/>
          <w:i/>
          <w:sz w:val="18"/>
        </w:rPr>
        <w:t>Table 10 – Insurance penetration gap. Source: Swiss Re Sigma 1/2024.</w:t>
      </w:r>
    </w:p>
    <w:p>
      <w:r>
        <w:br w:type="page"/>
      </w:r>
    </w:p>
    <w:p>
      <w:pPr>
        <w:spacing w:before="160" w:after="60"/>
        <w:jc w:val="left"/>
      </w:pPr>
      <w:r>
        <w:rPr>
          <w:rFonts w:ascii="Times New Roman" w:hAnsi="Times New Roman" w:cs="Times New Roman"/>
          <w:rFonts w:ascii="Times New Roman" w:hAnsi="Times New Roman"/>
          <w:b/>
          <w:i w:val="0"/>
          <w:color w:val="1F497D"/>
          <w:sz w:val="26"/>
        </w:rPr>
        <w:t>9. Strategic Risk Management Recommendations</w:t>
      </w:r>
    </w:p>
    <w:p>
      <w:pPr>
        <w:spacing w:before="100" w:after="40"/>
        <w:jc w:val="left"/>
      </w:pPr>
      <w:r>
        <w:rPr>
          <w:rFonts w:ascii="Times New Roman" w:hAnsi="Times New Roman" w:cs="Times New Roman"/>
          <w:rFonts w:ascii="Times New Roman" w:hAnsi="Times New Roman"/>
          <w:b/>
          <w:i w:val="0"/>
          <w:color w:val="C00000"/>
          <w:sz w:val="24"/>
        </w:rPr>
        <w:t>R1 — EAL-Calibrated Flood Loading  (implement at next renewal)</w:t>
      </w:r>
    </w:p>
    <w:p>
      <w:pPr>
        <w:spacing w:before="0" w:after="60"/>
        <w:jc w:val="both"/>
      </w:pPr>
      <w:r>
        <w:rPr>
          <w:rFonts w:ascii="Times New Roman" w:hAnsi="Times New Roman" w:cs="Times New Roman"/>
          <w:rFonts w:ascii="Times New Roman" w:hAnsi="Times New Roman"/>
          <w:b w:val="0"/>
          <w:i w:val="0"/>
          <w:sz w:val="24"/>
        </w:rPr>
        <w:t>Apply a +35–36% flood loading to all MYS property cat treaties above USD 50M notional, derived from the Hosking-Wallis CI midpoint anchored to the 2007 PELT uplift. This exceeds the market benchmark of +18–24% (Aon 2024, GC APAC Q3) — HRe leads on technical pricing, accepting a ~5–8% volume reduction in exchange for a ~2.1pp improvement in SEA combined ratio. PHL receives a +1–2% floor pending R5 data. Regulatory anchor: BNM CCPT Pillar 1 s.3.4.</w:t>
      </w:r>
    </w:p>
    <w:p>
      <w:pPr>
        <w:jc w:val="center"/>
      </w:pPr>
      <w:r>
        <w:drawing>
          <wp:inline xmlns:a="http://schemas.openxmlformats.org/drawingml/2006/main" xmlns:pic="http://schemas.openxmlformats.org/drawingml/2006/picture">
            <wp:extent cx="5303520" cy="1883208"/>
            <wp:docPr id="15" name="Picture 15"/>
            <wp:cNvGraphicFramePr>
              <a:graphicFrameLocks noChangeAspect="1"/>
            </wp:cNvGraphicFramePr>
            <a:graphic>
              <a:graphicData uri="http://schemas.openxmlformats.org/drawingml/2006/picture">
                <pic:pic>
                  <pic:nvPicPr>
                    <pic:cNvPr id="0" name="r4_rec1_treaty_threshold.png"/>
                    <pic:cNvPicPr/>
                  </pic:nvPicPr>
                  <pic:blipFill>
                    <a:blip r:embed="rId23"/>
                    <a:stretch>
                      <a:fillRect/>
                    </a:stretch>
                  </pic:blipFill>
                  <pic:spPr>
                    <a:xfrm>
                      <a:off x="0" y="0"/>
                      <a:ext cx="5303520" cy="1883208"/>
                    </a:xfrm>
                    <a:prstGeom prst="rect"/>
                  </pic:spPr>
                </pic:pic>
              </a:graphicData>
            </a:graphic>
          </wp:inline>
        </w:drawing>
      </w:r>
    </w:p>
    <w:p>
      <w:pPr>
        <w:spacing w:before="20" w:after="80"/>
        <w:jc w:val="center"/>
      </w:pPr>
      <w:r>
        <w:rPr>
          <w:rFonts w:ascii="Times New Roman" w:hAnsi="Times New Roman" w:cs="Times New Roman"/>
          <w:rFonts w:ascii="Times New Roman" w:hAnsi="Times New Roman"/>
          <w:b w:val="0"/>
          <w:i/>
          <w:sz w:val="18"/>
        </w:rPr>
        <w:t>Fig 9 – R1 treaty threshold: GEV EAL loading (+35–36% MYS) vs. EM-DAT burning cost. The gap between curves represents current under-pricing.</w:t>
      </w:r>
    </w:p>
    <w:p>
      <w:pPr>
        <w:spacing w:before="100" w:after="40"/>
        <w:jc w:val="left"/>
      </w:pPr>
      <w:r>
        <w:rPr>
          <w:rFonts w:ascii="Times New Roman" w:hAnsi="Times New Roman" w:cs="Times New Roman"/>
          <w:rFonts w:ascii="Times New Roman" w:hAnsi="Times New Roman"/>
          <w:b/>
          <w:i w:val="0"/>
          <w:color w:val="C00000"/>
          <w:sz w:val="24"/>
        </w:rPr>
        <w:t>R2 — Country-Specific Transition Surcharges  (at renewal; review per NGFS Phase)</w:t>
      </w:r>
    </w:p>
    <w:p>
      <w:pPr>
        <w:spacing w:before="0" w:after="60"/>
        <w:jc w:val="both"/>
      </w:pPr>
      <w:r>
        <w:rPr>
          <w:rFonts w:ascii="Times New Roman" w:hAnsi="Times New Roman" w:cs="Times New Roman"/>
          <w:rFonts w:ascii="Times New Roman" w:hAnsi="Times New Roman"/>
          <w:b w:val="0"/>
          <w:i w:val="0"/>
          <w:sz w:val="24"/>
        </w:rPr>
        <w:t>MYS: 3–5% surcharge on CCPT C3/C4 cedants (Pillar 2 s.4.2); LULUCF emitter status triggers R4. PHL: 1–2% (BSP 1085 s.X.4); ITMO credits partially offset exposure. Both rates refresh annually against NGFS Phase updates.</w:t>
      </w:r>
    </w:p>
    <w:p>
      <w:pPr>
        <w:spacing w:before="100" w:after="40"/>
        <w:jc w:val="left"/>
      </w:pPr>
      <w:r>
        <w:rPr>
          <w:rFonts w:ascii="Times New Roman" w:hAnsi="Times New Roman" w:cs="Times New Roman"/>
          <w:rFonts w:ascii="Times New Roman" w:hAnsi="Times New Roman"/>
          <w:b/>
          <w:i w:val="0"/>
          <w:color w:val="C00000"/>
          <w:sz w:val="24"/>
        </w:rPr>
        <w:t>R3 — ENSO Conditional Audit  (NOAA OND monitoring)</w:t>
      </w:r>
    </w:p>
    <w:p>
      <w:pPr>
        <w:spacing w:before="0" w:after="60"/>
        <w:jc w:val="both"/>
      </w:pPr>
      <w:r>
        <w:rPr>
          <w:rFonts w:ascii="Times New Roman" w:hAnsi="Times New Roman" w:cs="Times New Roman"/>
          <w:rFonts w:ascii="Times New Roman" w:hAnsi="Times New Roman"/>
          <w:b w:val="0"/>
          <w:i w:val="0"/>
          <w:sz w:val="24"/>
        </w:rPr>
        <w:t>When NOAA OND ONI reaches ≤ -0.5°C (verified each October), trigger a facultative audit of MYS+PHL exposure, retention, and PML. If the audit shows &gt;15% increase versus a neutral year, apply the +6.9% PELT uplift to MYS treaties. This is a governance control, not a continuous pricing input — annual correlation (r = -0.016) confirms ENSO is not statistically significant as a standalone pricing variable. Anchor: TCFD Risk Management Rec (b).</w:t>
      </w:r>
    </w:p>
    <w:tbl>
      <w:tblPr>
        <w:tblStyle w:val="TableGrid"/>
        <w:tblW w:type="auto" w:w="0"/>
        <w:jc w:val="center"/>
        <w:tblLook w:firstColumn="1" w:firstRow="1" w:lastColumn="0" w:lastRow="0" w:noHBand="0" w:noVBand="1" w:val="04A0"/>
      </w:tblPr>
      <w:tblGrid>
        <w:gridCol w:w="5043"/>
        <w:gridCol w:w="5043"/>
      </w:tblGrid>
      <w:tr>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973606"/>
                  <wp:docPr id="16" name="Picture 16"/>
                  <wp:cNvGraphicFramePr>
                    <a:graphicFrameLocks noChangeAspect="1"/>
                  </wp:cNvGraphicFramePr>
                  <a:graphic>
                    <a:graphicData uri="http://schemas.openxmlformats.org/drawingml/2006/picture">
                      <pic:pic>
                        <pic:nvPicPr>
                          <pic:cNvPr id="0" name="r4_rec3_enso_protocol.png"/>
                          <pic:cNvPicPr/>
                        </pic:nvPicPr>
                        <pic:blipFill>
                          <a:blip r:embed="rId24"/>
                          <a:stretch>
                            <a:fillRect/>
                          </a:stretch>
                        </pic:blipFill>
                        <pic:spPr>
                          <a:xfrm>
                            <a:off x="0" y="0"/>
                            <a:ext cx="2743200" cy="973606"/>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10a – R3 ENSO protocol: ONI ≤ -0.5°C activates audit.</w:t>
            </w:r>
          </w:p>
        </w:tc>
        <w:tc>
          <w:tcPr>
            <w:tcW w:type="dxa" w:w="5043"/>
            <w:tcBorders>
              <w:top w:val="none" w:sz="0" w:space="0" w:color="auto"/>
            </w:tcBorders>
            <w:tcBorders>
              <w:bottom w:val="none" w:sz="0" w:space="0" w:color="auto"/>
            </w:tcBorders>
            <w:tcBorders>
              <w:left w:val="none" w:sz="0" w:space="0" w:color="auto"/>
            </w:tcBorders>
            <w:tcBorders>
              <w:right w:val="none" w:sz="0" w:space="0" w:color="auto"/>
            </w:tcBorders>
            <w:tcBorders>
              <w:insideH w:val="none" w:sz="0" w:space="0" w:color="auto"/>
            </w:tcBorders>
            <w:tcBorders>
              <w:insideV w:val="none" w:sz="0" w:space="0" w:color="auto"/>
            </w:tcBorders>
          </w:tcPr>
          <w:p>
            <w:pPr>
              <w:jc w:val="center"/>
            </w:pPr>
            <w:r>
              <w:drawing>
                <wp:inline xmlns:a="http://schemas.openxmlformats.org/drawingml/2006/main" xmlns:pic="http://schemas.openxmlformats.org/drawingml/2006/picture">
                  <wp:extent cx="2743200" cy="974073"/>
                  <wp:docPr id="17" name="Picture 17"/>
                  <wp:cNvGraphicFramePr>
                    <a:graphicFrameLocks noChangeAspect="1"/>
                  </wp:cNvGraphicFramePr>
                  <a:graphic>
                    <a:graphicData uri="http://schemas.openxmlformats.org/drawingml/2006/picture">
                      <pic:pic>
                        <pic:nvPicPr>
                          <pic:cNvPr id="0" name="r4_rec4_ci_loading.png"/>
                          <pic:cNvPicPr/>
                        </pic:nvPicPr>
                        <pic:blipFill>
                          <a:blip r:embed="rId25"/>
                          <a:stretch>
                            <a:fillRect/>
                          </a:stretch>
                        </pic:blipFill>
                        <pic:spPr>
                          <a:xfrm>
                            <a:off x="0" y="0"/>
                            <a:ext cx="2743200" cy="974073"/>
                          </a:xfrm>
                          <a:prstGeom prst="rect"/>
                        </pic:spPr>
                      </pic:pic>
                    </a:graphicData>
                  </a:graphic>
                </wp:inline>
              </w:drawing>
            </w:r>
          </w:p>
          <w:p>
            <w:pPr>
              <w:spacing w:after="60"/>
              <w:jc w:val="center"/>
            </w:pPr>
            <w:r>
              <w:rPr>
                <w:rFonts w:ascii="Times New Roman" w:hAnsi="Times New Roman" w:cs="Times New Roman"/>
                <w:rFonts w:ascii="Times New Roman" w:hAnsi="Times New Roman"/>
                <w:b w:val="0"/>
                <w:i/>
                <w:sz w:val="18"/>
              </w:rPr>
              <w:t>Fig 10b – R4 CI-derived loading derivation across sample sizes.</w:t>
            </w:r>
          </w:p>
        </w:tc>
      </w:tr>
    </w:tbl>
    <w:p>
      <w:pPr>
        <w:spacing w:before="100" w:after="40"/>
        <w:jc w:val="left"/>
      </w:pPr>
      <w:r>
        <w:rPr>
          <w:rFonts w:ascii="Times New Roman" w:hAnsi="Times New Roman" w:cs="Times New Roman"/>
          <w:rFonts w:ascii="Times New Roman" w:hAnsi="Times New Roman"/>
          <w:b/>
          <w:i w:val="0"/>
          <w:color w:val="C00000"/>
          <w:sz w:val="24"/>
        </w:rPr>
        <w:t>R4 &amp; R5 — Warranty Clause &amp; Data Procurement</w:t>
      </w:r>
    </w:p>
    <w:p>
      <w:pPr>
        <w:spacing w:before="0" w:after="60"/>
        <w:jc w:val="both"/>
      </w:pPr>
      <w:r>
        <w:rPr>
          <w:rFonts w:ascii="Times New Roman" w:hAnsi="Times New Roman" w:cs="Times New Roman"/>
          <w:rFonts w:ascii="Times New Roman" w:hAnsi="Times New Roman"/>
          <w:b w:val="0"/>
          <w:i w:val="0"/>
          <w:sz w:val="24"/>
        </w:rPr>
        <w:t>R4 (EUDR Art. 8 + Lloyd's ESG s.2.3): insert a 10% co-participation clause for MYS LULUCF cedants (palm oil, plantation forestry) triggered by non-disclosure of LULUCF change &gt;10% YoY. R5 (0–12 months, TCFD Metrics Rec (a)): procure cedant 10+ year loss triangles and 0.05-degree sub-national CHIRPS grids — growing the GEV sample from n=34 to n≥43 narrows the PHL CI from ±44.5pp to ±12pp and reduces the reserve band from USD 15.2M to USD 6.1M.</w:t>
      </w:r>
    </w:p>
    <w:p>
      <w:r>
        <w:br w:type="page"/>
      </w:r>
    </w:p>
    <w:p>
      <w:pPr>
        <w:spacing w:before="160" w:after="60"/>
        <w:jc w:val="left"/>
      </w:pPr>
      <w:r>
        <w:rPr>
          <w:rFonts w:ascii="Times New Roman" w:hAnsi="Times New Roman" w:cs="Times New Roman"/>
          <w:rFonts w:ascii="Times New Roman" w:hAnsi="Times New Roman"/>
          <w:b/>
          <w:i w:val="0"/>
          <w:color w:val="1F497D"/>
          <w:sz w:val="26"/>
        </w:rPr>
        <w:t>10. Limitations, Scalability &amp; Conclusion</w:t>
      </w:r>
    </w:p>
    <w:p>
      <w:pPr>
        <w:spacing w:before="100" w:after="40"/>
        <w:jc w:val="left"/>
      </w:pPr>
      <w:r>
        <w:rPr>
          <w:rFonts w:ascii="Times New Roman" w:hAnsi="Times New Roman" w:cs="Times New Roman"/>
          <w:rFonts w:ascii="Times New Roman" w:hAnsi="Times New Roman"/>
          <w:b/>
          <w:i w:val="0"/>
          <w:color w:val="1F497D"/>
          <w:sz w:val="24"/>
        </w:rPr>
        <w:t>10.1 Key Limitations</w:t>
      </w:r>
    </w:p>
    <w:p>
      <w:pPr>
        <w:pStyle w:val="ListBullet"/>
        <w:spacing w:after="40"/>
        <w:jc w:val="both"/>
      </w:pPr>
      <w:r>
        <w:rPr>
          <w:rFonts w:ascii="Times New Roman" w:hAnsi="Times New Roman" w:cs="Times New Roman"/>
          <w:rFonts w:ascii="Times New Roman" w:hAnsi="Times New Roman"/>
          <w:b w:val="0"/>
          <w:i w:val="0"/>
          <w:sz w:val="22"/>
        </w:rPr>
        <w:t>Sample size (n=34): PHL GEV CI spans [326–985mm] — a 3× range. Permutation testing at n=34 carries ~25% power, so the 2007 break is supported primarily by the PDO literature (Cinco et al. 2014) rather than statistical significance alone. PHL carries a floor loading only until R5 delivers n≥43.</w:t>
      </w:r>
    </w:p>
    <w:p>
      <w:pPr>
        <w:pStyle w:val="ListBullet"/>
        <w:spacing w:after="40"/>
        <w:jc w:val="both"/>
      </w:pPr>
      <w:r>
        <w:rPr>
          <w:rFonts w:ascii="Times New Roman" w:hAnsi="Times New Roman" w:cs="Times New Roman"/>
          <w:rFonts w:ascii="Times New Roman" w:hAnsi="Times New Roman"/>
          <w:b w:val="0"/>
          <w:i w:val="0"/>
          <w:sz w:val="22"/>
        </w:rPr>
        <w:t>Pass-through rate (±2pp): a single percentage point shift in the pass-through assumption drives a 5× change in the HRe reserve estimate (USD 3.0–14.9M at 10% alloc.). Figure 8 provides the full sensitivity surface; the rate refreshes with each NGFS Phase update.</w:t>
      </w:r>
    </w:p>
    <w:p>
      <w:pPr>
        <w:pStyle w:val="ListBullet"/>
        <w:spacing w:after="40"/>
        <w:jc w:val="both"/>
      </w:pPr>
      <w:r>
        <w:rPr>
          <w:rFonts w:ascii="Times New Roman" w:hAnsi="Times New Roman" w:cs="Times New Roman"/>
          <w:rFonts w:ascii="Times New Roman" w:hAnsi="Times New Roman"/>
          <w:b w:val="0"/>
          <w:i w:val="0"/>
          <w:sz w:val="22"/>
        </w:rPr>
        <w:t>ARIMA no-break assumption: the NETR 2023 policy trajectory may accelerate MYS decarbonisation, biasing GHG forecasts conservatively high. This creates a margin of safety in the transition surcharge calculation rather than a risk of understatement.</w:t>
      </w:r>
    </w:p>
    <w:p>
      <w:pPr>
        <w:pStyle w:val="ListBullet"/>
        <w:spacing w:after="40"/>
        <w:jc w:val="both"/>
      </w:pPr>
      <w:r>
        <w:rPr>
          <w:rFonts w:ascii="Times New Roman" w:hAnsi="Times New Roman" w:cs="Times New Roman"/>
          <w:rFonts w:ascii="Times New Roman" w:hAnsi="Times New Roman"/>
          <w:b w:val="0"/>
          <w:i w:val="0"/>
          <w:sz w:val="22"/>
        </w:rPr>
        <w:t>LULUCF uncertainty (±20–30%, FAO FRA 2020): re-evaluated against FRA 2025 when published. La Niña copula (n=14) is insufficient for block-maxima GEV; the USD 2.59M/yr figure is indicative only.</w:t>
      </w:r>
    </w:p>
    <w:p>
      <w:pPr>
        <w:spacing w:before="0" w:after="60"/>
        <w:jc w:val="both"/>
      </w:pPr>
    </w:p>
    <w:p>
      <w:pPr>
        <w:spacing w:before="100" w:after="40"/>
        <w:jc w:val="left"/>
      </w:pPr>
      <w:r>
        <w:rPr>
          <w:rFonts w:ascii="Times New Roman" w:hAnsi="Times New Roman" w:cs="Times New Roman"/>
          <w:rFonts w:ascii="Times New Roman" w:hAnsi="Times New Roman"/>
          <w:b/>
          <w:i w:val="0"/>
          <w:color w:val="1F497D"/>
          <w:sz w:val="24"/>
        </w:rPr>
        <w:t>10.2 Regulatory Anchor Mapping</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497D"/>
            <w:tcW w:w="648" w:type="dxa"/>
          </w:tcPr>
          <w:p>
            <w:pPr>
              <w:spacing w:after="20" w:before="20"/>
              <w:jc w:val="center"/>
            </w:pPr>
            <w:r>
              <w:rPr>
                <w:rFonts w:ascii="Times New Roman" w:hAnsi="Times New Roman" w:cs="Times New Roman"/>
                <w:rFonts w:ascii="Times New Roman" w:hAnsi="Times New Roman"/>
                <w:b/>
                <w:i w:val="0"/>
                <w:color w:val="FFFFFF"/>
                <w:sz w:val="20"/>
              </w:rPr>
              <w:t>Rec</w:t>
            </w:r>
          </w:p>
        </w:tc>
        <w:tc>
          <w:tcPr>
            <w:tcW w:type="dxa" w:w="3362"/>
            <w:shd w:val="clear" w:color="auto" w:fill="1F497D"/>
            <w:tcW w:w="2736" w:type="dxa"/>
          </w:tcPr>
          <w:p>
            <w:pPr>
              <w:spacing w:after="20" w:before="20"/>
              <w:jc w:val="center"/>
            </w:pPr>
            <w:r>
              <w:rPr>
                <w:rFonts w:ascii="Times New Roman" w:hAnsi="Times New Roman" w:cs="Times New Roman"/>
                <w:rFonts w:ascii="Times New Roman" w:hAnsi="Times New Roman"/>
                <w:b/>
                <w:i w:val="0"/>
                <w:color w:val="FFFFFF"/>
                <w:sz w:val="20"/>
              </w:rPr>
              <w:t>Regulatory Framework</w:t>
            </w:r>
          </w:p>
        </w:tc>
        <w:tc>
          <w:tcPr>
            <w:tcW w:type="dxa" w:w="3362"/>
            <w:shd w:val="clear" w:color="auto" w:fill="1F497D"/>
            <w:tcW w:w="5688" w:type="dxa"/>
          </w:tcPr>
          <w:p>
            <w:pPr>
              <w:spacing w:after="20" w:before="20"/>
              <w:jc w:val="center"/>
            </w:pPr>
            <w:r>
              <w:rPr>
                <w:rFonts w:ascii="Times New Roman" w:hAnsi="Times New Roman" w:cs="Times New Roman"/>
                <w:rFonts w:ascii="Times New Roman" w:hAnsi="Times New Roman"/>
                <w:b/>
                <w:i w:val="0"/>
                <w:color w:val="FFFFFF"/>
                <w:sz w:val="20"/>
              </w:rPr>
              <w:t>Specific Clause / Section</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R1</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BNM CCPT (2022)</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Pillar 1 s.3.4 — Physical Risk</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R2</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BNM CCPT (2022)</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Pillar 2 s.4.2 — Transition Pass-Through</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R2</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BSP Circular 1085 (2020)</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s.X.4 — ESG Pricing Integration</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R3</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TCFD (2017)</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Risk Mgmt Rec (b) — Identifying Climate Risks</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R4</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EUDR Reg. 2023/1115</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Art. 8 — Due Diligence</w:t>
            </w:r>
          </w:p>
        </w:tc>
      </w:tr>
      <w:tr>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R4</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Lloyd's ESG (2023)</w:t>
            </w:r>
          </w:p>
        </w:tc>
        <w:tc>
          <w:tcPr>
            <w:tcW w:type="dxa" w:w="3362"/>
            <w:shd w:val="clear" w:color="auto" w:fill="FFFFFF"/>
          </w:tcPr>
          <w:p>
            <w:pPr>
              <w:spacing w:after="20" w:before="20"/>
              <w:jc w:val="left"/>
            </w:pPr>
            <w:r>
              <w:rPr>
                <w:rFonts w:ascii="Times New Roman" w:hAnsi="Times New Roman" w:cs="Times New Roman"/>
                <w:rFonts w:ascii="Times New Roman" w:hAnsi="Times New Roman"/>
                <w:b w:val="0"/>
                <w:i w:val="0"/>
                <w:sz w:val="20"/>
              </w:rPr>
              <w:t>s.2.3 — Underwriting Disclosure</w:t>
            </w:r>
          </w:p>
        </w:tc>
      </w:tr>
      <w:tr>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R5</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TCFD (2017)</w:t>
            </w:r>
          </w:p>
        </w:tc>
        <w:tc>
          <w:tcPr>
            <w:tcW w:type="dxa" w:w="3362"/>
            <w:shd w:val="clear" w:color="auto" w:fill="D9E2F3"/>
          </w:tcPr>
          <w:p>
            <w:pPr>
              <w:spacing w:after="20" w:before="20"/>
              <w:jc w:val="left"/>
            </w:pPr>
            <w:r>
              <w:rPr>
                <w:rFonts w:ascii="Times New Roman" w:hAnsi="Times New Roman" w:cs="Times New Roman"/>
                <w:rFonts w:ascii="Times New Roman" w:hAnsi="Times New Roman"/>
                <w:b w:val="0"/>
                <w:i w:val="0"/>
                <w:sz w:val="20"/>
              </w:rPr>
              <w:t>Metrics &amp; Targets (a) — Climate Disclosure</w:t>
            </w:r>
          </w:p>
        </w:tc>
      </w:tr>
    </w:tbl>
    <w:p>
      <w:pPr>
        <w:spacing w:before="20" w:after="80"/>
        <w:jc w:val="center"/>
      </w:pPr>
      <w:r>
        <w:rPr>
          <w:rFonts w:ascii="Times New Roman" w:hAnsi="Times New Roman" w:cs="Times New Roman"/>
          <w:rFonts w:ascii="Times New Roman" w:hAnsi="Times New Roman"/>
          <w:b w:val="0"/>
          <w:i/>
          <w:sz w:val="18"/>
        </w:rPr>
        <w:t>Table 11 – Regulatory anchors. Full alignment with BNM CCPT, BSP 1085, TCFD, EUDR, and Lloyd's ESG.</w:t>
      </w:r>
    </w:p>
    <w:p>
      <w:pPr>
        <w:spacing w:before="0" w:after="60"/>
        <w:jc w:val="both"/>
      </w:pPr>
    </w:p>
    <w:p>
      <w:pPr>
        <w:spacing w:before="100" w:after="40"/>
        <w:jc w:val="left"/>
      </w:pPr>
      <w:r>
        <w:rPr>
          <w:rFonts w:ascii="Times New Roman" w:hAnsi="Times New Roman" w:cs="Times New Roman"/>
          <w:rFonts w:ascii="Times New Roman" w:hAnsi="Times New Roman"/>
          <w:b/>
          <w:i w:val="0"/>
          <w:color w:val="1F497D"/>
          <w:sz w:val="24"/>
        </w:rPr>
        <w:t>10.3 Scalability</w:t>
      </w:r>
    </w:p>
    <w:p>
      <w:pPr>
        <w:spacing w:before="0" w:after="60"/>
        <w:jc w:val="both"/>
      </w:pPr>
      <w:r>
        <w:rPr>
          <w:rFonts w:ascii="Times New Roman" w:hAnsi="Times New Roman" w:cs="Times New Roman"/>
          <w:rFonts w:ascii="Times New Roman" w:hAnsi="Times New Roman"/>
          <w:b w:val="0"/>
          <w:i w:val="0"/>
          <w:sz w:val="24"/>
        </w:rPr>
        <w:t>The R1–R5 pipeline extends naturally to ASEAN (Thailand, Indonesia, Vietnam) by substituting country-specific NGFS pass-through rates and CHIRPS sub-national grids. The NGFS model rebuilds in under two hours per Phase update, and ARIMA re-runs in under 30 minutes on new WDI vintages. R1–R5 are embedded as pricing rules mapped to TCFD for BNM/BSP 2026 reporting.</w:t>
      </w:r>
    </w:p>
    <w:p>
      <w:pPr>
        <w:spacing w:before="0" w:after="60"/>
        <w:jc w:val="both"/>
      </w:pPr>
    </w:p>
    <w:p>
      <w:pPr>
        <w:spacing w:before="100" w:after="40"/>
        <w:jc w:val="left"/>
      </w:pPr>
      <w:r>
        <w:rPr>
          <w:rFonts w:ascii="Times New Roman" w:hAnsi="Times New Roman" w:cs="Times New Roman"/>
          <w:rFonts w:ascii="Times New Roman" w:hAnsi="Times New Roman"/>
          <w:b/>
          <w:i w:val="0"/>
          <w:color w:val="1F497D"/>
          <w:sz w:val="24"/>
        </w:rPr>
        <w:t>10.4 Conclusion</w:t>
      </w:r>
    </w:p>
    <w:p>
      <w:pPr>
        <w:spacing w:before="0" w:after="60"/>
        <w:jc w:val="both"/>
      </w:pPr>
      <w:r>
        <w:rPr>
          <w:rFonts w:ascii="Times New Roman" w:hAnsi="Times New Roman" w:cs="Times New Roman"/>
          <w:rFonts w:ascii="Times New Roman" w:hAnsi="Times New Roman"/>
          <w:b w:val="0"/>
          <w:i w:val="0"/>
          <w:sz w:val="24"/>
        </w:rPr>
        <w:t>Two independent pricing gaps — physical (USD 18.4M/yr EAL shortfall from the 2007 PELT shift) and transitional (USD 1.1bn/yr SEA pool exposure at 3% pass-through under NGFS NZ2050) — are compounding undetected in HRe's current treaty book. The resulting annual reserve shortfall ranges from USD 3.4M (floor) to USD 18.6M (stress), with 2027 as the actionable repricing trigger before capital constraints bind. By 2030, the 2× stress compliance cost reaches USD 47.7bn (MYS) and USD 31.7bn (PHL). Recommendations R1–R5 operationalise HRe's 2026 climate-integration commitment for the MYS+PHL sub-book, anchored to CCPT, BSP 1085, TCFD, EUDR, and Lloyd's ESG frameworks.</w:t>
      </w:r>
    </w:p>
    <w:p>
      <w:pPr>
        <w:spacing w:before="0" w:after="60"/>
        <w:jc w:val="both"/>
      </w:pPr>
      <w:r>
        <w:rPr>
          <w:rFonts w:ascii="Times New Roman" w:hAnsi="Times New Roman" w:cs="Times New Roman"/>
          <w:rFonts w:ascii="Times New Roman" w:hAnsi="Times New Roman"/>
          <w:b w:val="0"/>
          <w:i/>
          <w:sz w:val="22"/>
        </w:rPr>
        <w:t>AI Usage: Claude Sonnet 4.6 (Anthropic) assisted code structuring and documentation drafting. All outputs verified against WDI, CHIRPS, EM-DAT, NOAA ONI, NGFS, Climate Watch, and the HRe 2023 Annual/Sustainability Report.</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