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补充材料：实施计划</w:t>
      </w:r>
    </w:p>
    <w:p>
      <w:r>
        <w:t>一、第一阶段（第 1-2 月）</w:t>
      </w:r>
    </w:p>
    <w:p>
      <w:r>
        <w:t>完成接入网关部署与协议适配。</w:t>
      </w:r>
    </w:p>
    <w:p>
      <w:r>
        <w:t>二、第二阶段（第 3-5 月）</w:t>
      </w:r>
    </w:p>
    <w:p>
      <w:r>
        <w:t>完成规则引擎与数据中台联调。</w:t>
      </w:r>
    </w:p>
    <w:p>
      <w:r>
        <w:t>三、第三阶段（第 6 月）</w:t>
      </w:r>
    </w:p>
    <w:p>
      <w:r>
        <w:t>三个试点园区上线试运行。</w:t>
      </w:r>
    </w:p>
  </w:body>
</w:document>
</file>