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A6A67">
      <w:pPr>
        <w:pStyle w:val="2"/>
        <w:keepNext w:val="0"/>
        <w:keepLines w:val="0"/>
        <w:widowControl/>
        <w:suppressLineNumbers w:val="0"/>
        <w:rPr>
          <w:rFonts w:hint="eastAsia" w:asciiTheme="minorEastAsia" w:hAnsiTheme="minorEastAsia" w:eastAsiaTheme="minorEastAsia" w:cstheme="minorEastAsia"/>
        </w:rPr>
      </w:pPr>
      <w:bookmarkStart w:id="0" w:name="_GoBack"/>
      <w:bookmarkEnd w:id="0"/>
    </w:p>
    <w:p w14:paraId="1387C9BD">
      <w:pPr>
        <w:rPr>
          <w:rFonts w:hint="default" w:asciiTheme="minorEastAsia" w:hAnsiTheme="minorEastAsia" w:cstheme="minorEastAsia"/>
          <w:lang w:val="en-US" w:eastAsia="zh-CN"/>
        </w:rPr>
      </w:pPr>
      <w:r>
        <w:rPr>
          <w:rFonts w:hint="eastAsia" w:asciiTheme="minorEastAsia" w:hAnsiTheme="minorEastAsia" w:cstheme="minorEastAsia"/>
          <w:lang w:val="en-US" w:eastAsia="zh-CN"/>
        </w:rPr>
        <w:t>不指定case</w:t>
      </w:r>
    </w:p>
    <w:p w14:paraId="5CAC6FBB">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Q1:你认为文化遗产具有哪几方面价值？/保护文化遗产需要关注哪几方面？（参考量表）</w:t>
      </w:r>
    </w:p>
    <w:p w14:paraId="226909D1">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Q2:你认为如何判断文化遗产价值的损害？</w:t>
      </w:r>
    </w:p>
    <w:p w14:paraId="27546076">
      <w:pPr>
        <w:rPr>
          <w:rFonts w:hint="eastAsia" w:asciiTheme="minorEastAsia" w:hAnsiTheme="minorEastAsia" w:cstheme="minorEastAsia"/>
          <w:lang w:val="en-US" w:eastAsia="zh-CN"/>
        </w:rPr>
      </w:pPr>
    </w:p>
    <w:p w14:paraId="30709530">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指定case</w:t>
      </w:r>
    </w:p>
    <w:p w14:paraId="72861C05">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Q1:你认为Golestan Palace作为文化遗产具有哪几方面的价值？分别描述</w:t>
      </w:r>
    </w:p>
    <w:p w14:paraId="365FF9F3">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Q2：你如何评价战争破坏Golestan Palace的事件</w:t>
      </w:r>
    </w:p>
    <w:p w14:paraId="73163186">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Q3：如何评价Golestan Palac受损害程度？哪些价值被破坏？</w:t>
      </w:r>
    </w:p>
    <w:p w14:paraId="4EE6CD47">
      <w:pPr>
        <w:rPr>
          <w:rFonts w:hint="eastAsia" w:asciiTheme="minorEastAsia" w:hAnsiTheme="minorEastAsia" w:cstheme="minorEastAsia"/>
          <w:lang w:val="en-US" w:eastAsia="zh-CN"/>
        </w:rPr>
      </w:pPr>
    </w:p>
    <w:p w14:paraId="573FBFAB">
      <w:pPr>
        <w:rPr>
          <w:rFonts w:hint="default" w:asciiTheme="minorEastAsia" w:hAnsiTheme="minorEastAsia" w:cstheme="minorEastAsia"/>
          <w:lang w:val="en-US" w:eastAsia="zh-CN"/>
        </w:rPr>
      </w:pPr>
      <w:r>
        <w:rPr>
          <w:rFonts w:hint="eastAsia" w:asciiTheme="minorEastAsia" w:hAnsiTheme="minorEastAsia" w:cstheme="minorEastAsia"/>
          <w:lang w:val="en-US" w:eastAsia="zh-CN"/>
        </w:rPr>
        <w:t>暂时不确定 可以讨论一下</w:t>
      </w:r>
    </w:p>
    <w:p w14:paraId="2B5FCF1E">
      <w:pPr>
        <w:rPr>
          <w:rFonts w:hint="eastAsia" w:asciiTheme="minorEastAsia" w:hAnsiTheme="minorEastAsia" w:cstheme="minorEastAsia"/>
          <w:lang w:val="en-US" w:eastAsia="zh-CN"/>
        </w:rPr>
      </w:pPr>
    </w:p>
    <w:p w14:paraId="3C7ACAB9">
      <w:pPr>
        <w:rPr>
          <w:rFonts w:hint="default" w:asciiTheme="minorEastAsia" w:hAnsiTheme="minorEastAsia" w:cstheme="minorEastAsia"/>
          <w:lang w:val="en-US" w:eastAsia="zh-CN"/>
        </w:rPr>
      </w:pPr>
    </w:p>
    <w:p w14:paraId="1CA6EAB0">
      <w:pPr>
        <w:rPr>
          <w:rFonts w:hint="default" w:asciiTheme="minorEastAsia" w:hAnsiTheme="minorEastAsia" w:cstheme="minorEastAsia"/>
          <w:lang w:val="en-US" w:eastAsia="zh-CN"/>
        </w:rPr>
      </w:pPr>
    </w:p>
    <w:p w14:paraId="42678FD6">
      <w:pPr>
        <w:pStyle w:val="2"/>
        <w:keepNext w:val="0"/>
        <w:keepLines w:val="0"/>
        <w:widowControl/>
        <w:suppressLineNumbers w:val="0"/>
        <w:rPr>
          <w:rFonts w:hint="eastAsia" w:asciiTheme="minorEastAsia" w:hAnsiTheme="minorEastAsia" w:eastAsiaTheme="minorEastAsia" w:cstheme="minorEastAsia"/>
        </w:rPr>
      </w:pPr>
    </w:p>
    <w:p w14:paraId="557D16AB">
      <w:pPr>
        <w:pStyle w:val="2"/>
        <w:keepNext w:val="0"/>
        <w:keepLines w:val="0"/>
        <w:widowControl/>
        <w:suppressLineNumbers w:val="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原有价值 参考文本</w:t>
      </w:r>
    </w:p>
    <w:p w14:paraId="1EE44F9E">
      <w:pPr>
        <w:rPr>
          <w:rFonts w:hint="eastAsia"/>
        </w:rPr>
      </w:pPr>
      <w:r>
        <w:rPr>
          <w:rFonts w:hint="eastAsia"/>
        </w:rPr>
        <w:fldChar w:fldCharType="begin"/>
      </w:r>
      <w:r>
        <w:rPr>
          <w:rFonts w:hint="eastAsia"/>
        </w:rPr>
        <w:instrText xml:space="preserve"> HYPERLINK "https://whc.unesco.org/en/list/1422" </w:instrText>
      </w:r>
      <w:r>
        <w:rPr>
          <w:rFonts w:hint="eastAsia"/>
        </w:rPr>
        <w:fldChar w:fldCharType="separate"/>
      </w:r>
      <w:r>
        <w:rPr>
          <w:rStyle w:val="11"/>
          <w:rFonts w:hint="eastAsia"/>
        </w:rPr>
        <w:t>https://whc.unesco.org/en/list/1422</w:t>
      </w:r>
      <w:r>
        <w:rPr>
          <w:rFonts w:hint="eastAsia"/>
        </w:rPr>
        <w:fldChar w:fldCharType="end"/>
      </w:r>
    </w:p>
    <w:p w14:paraId="59BF4D33">
      <w:pPr>
        <w:pStyle w:val="2"/>
        <w:keepNext w:val="0"/>
        <w:keepLines w:val="0"/>
        <w:widowControl/>
        <w:suppressLineNumbers w:val="0"/>
        <w:rPr>
          <w:rFonts w:hint="eastAsia" w:asciiTheme="minorEastAsia" w:hAnsiTheme="minorEastAsia" w:eastAsiaTheme="minorEastAsia" w:cstheme="minorEastAsia"/>
        </w:rPr>
      </w:pPr>
    </w:p>
    <w:p w14:paraId="2ECCFA8D">
      <w:pPr>
        <w:pStyle w:val="2"/>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古勒斯坦宫（Golestan Palace）</w:t>
      </w:r>
    </w:p>
    <w:p w14:paraId="1CC255D0">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富丽堂皇的古勒斯坦宫是卡扎尔王朝时期的建筑杰作，体现了早期波斯工艺与建筑同西方外来风格的成功融合。这座带围墙的宫殿是德黑兰现存最古老的建筑群之一，后来成为卡扎尔王室的政权中心。卡扎尔家族于 1779 年掌权，将德黑兰定为国家首都。宫殿依园林而建，园内设有水池与绿化区域，宫殿最具特色的建筑形制与繁复装饰大多成型于 19 世纪。这里是卡扎尔艺术与建筑的中心，也是该风格的杰出典范，直至今日仍持续为伊朗艺术家与建筑师提供创作灵感。宫殿开创了一种全新风格，融合传统波斯工艺与 18 世纪的建筑理念、工程技术。</w:t>
      </w:r>
    </w:p>
    <w:p w14:paraId="3D9283E8">
      <w:pPr>
        <w:pStyle w:val="3"/>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突出的普遍价值</w:t>
      </w:r>
    </w:p>
    <w:p w14:paraId="38E70A9C">
      <w:pPr>
        <w:pStyle w:val="4"/>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内容概述</w:t>
      </w:r>
    </w:p>
    <w:p w14:paraId="346B4ABE">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古勒斯坦宫坐落于德黑兰老城核心地带。宫殿建筑群是德黑兰历史最悠久的古迹之一，最早在萨法维王朝时期修建于带城墙的古城之内。历经多次扩建增建，到 19 世纪，卡扎尔王室将此地选为皇家居所与权力中枢，宫殿才形成如今最标志性的面貌。现在的古勒斯坦宫包含八座主要宫殿建筑（大多辟为博物馆），以及同名花园 —— 花园是整个建筑群绿意盎然的中心区域，外围环绕带城门的围墙。</w:t>
      </w:r>
    </w:p>
    <w:p w14:paraId="02D14945">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该建筑群集中展现卡扎尔王朝的建筑与艺术成就，其中一大亮点是将欧洲装饰母题与建筑风格引入波斯艺术。19 世纪，这里不仅是卡扎尔君主的统治基地，同时兼具休闲、居住功能，还是艺术创作中心。依托艺术生产活动，古勒斯坦宫成为卡扎尔艺术与建筑的发源地与核心阵地。</w:t>
      </w:r>
    </w:p>
    <w:p w14:paraId="4DA26AD9">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古勒斯坦宫是卡扎尔王朝建筑语言与装饰艺术独一无二且内涵丰富的实物见证，其中大量遗存来自纳赛尔丁・沙阿统治时期。宫殿吸纳源自欧洲的艺术灵感，是欧洲与波斯风格融合的早期代表，这种融合风格深刻塑造了 19 世纪晚期至 20 世纪的伊朗建筑与艺术。从这个意义上说，宫殿的部分遗存可视为伊朗现代艺术运动的源头。</w:t>
      </w:r>
    </w:p>
    <w:p w14:paraId="183D9F1A">
      <w:pPr>
        <w:pStyle w:val="7"/>
        <w:keepNext w:val="0"/>
        <w:keepLines w:val="0"/>
        <w:widowControl/>
        <w:suppressLineNumbers w:val="0"/>
        <w:rPr>
          <w:rFonts w:hint="eastAsia" w:asciiTheme="minorEastAsia" w:hAnsiTheme="minorEastAsia" w:eastAsiaTheme="minorEastAsia" w:cstheme="minorEastAsia"/>
          <w:i/>
          <w:iCs/>
        </w:rPr>
      </w:pPr>
      <w:r>
        <w:rPr>
          <w:rStyle w:val="10"/>
          <w:rFonts w:hint="eastAsia" w:asciiTheme="minorEastAsia" w:hAnsiTheme="minorEastAsia" w:eastAsiaTheme="minorEastAsia" w:cstheme="minorEastAsia"/>
          <w:i/>
          <w:iCs/>
        </w:rPr>
        <w:t>标准（ii）：</w:t>
      </w:r>
      <w:r>
        <w:rPr>
          <w:rFonts w:hint="eastAsia" w:asciiTheme="minorEastAsia" w:hAnsiTheme="minorEastAsia" w:eastAsiaTheme="minorEastAsia" w:cstheme="minorEastAsia"/>
          <w:i/>
          <w:iCs/>
        </w:rPr>
        <w:t xml:space="preserve"> 古勒斯坦宫建筑群是波斯建筑艺术与欧洲风格、装饰母题相融合的重要实例，同时波斯本土也吸收了欧洲建筑技术，例如使用铸铁作为承重结构。因此，古勒斯坦宫堪称大型纪念性建筑、空间布局与营造技术上东西方文化交融的杰出范例，持续启发着现代伊朗艺术家与建筑师。</w:t>
      </w:r>
    </w:p>
    <w:p w14:paraId="34EECFDA">
      <w:pPr>
        <w:pStyle w:val="7"/>
        <w:keepNext w:val="0"/>
        <w:keepLines w:val="0"/>
        <w:widowControl/>
        <w:suppressLineNumbers w:val="0"/>
        <w:rPr>
          <w:rFonts w:hint="eastAsia" w:asciiTheme="minorEastAsia" w:hAnsiTheme="minorEastAsia" w:eastAsiaTheme="minorEastAsia" w:cstheme="minorEastAsia"/>
          <w:i/>
          <w:iCs/>
        </w:rPr>
      </w:pPr>
      <w:r>
        <w:rPr>
          <w:rStyle w:val="10"/>
          <w:rFonts w:hint="eastAsia" w:asciiTheme="minorEastAsia" w:hAnsiTheme="minorEastAsia" w:eastAsiaTheme="minorEastAsia" w:cstheme="minorEastAsia"/>
          <w:i/>
          <w:iCs/>
        </w:rPr>
        <w:t>标准（iii）：</w:t>
      </w:r>
      <w:r>
        <w:rPr>
          <w:rFonts w:hint="eastAsia" w:asciiTheme="minorEastAsia" w:hAnsiTheme="minorEastAsia" w:eastAsiaTheme="minorEastAsia" w:cstheme="minorEastAsia"/>
          <w:i/>
          <w:iCs/>
        </w:rPr>
        <w:t xml:space="preserve"> 古勒斯坦宫完整留存了卡扎尔王朝艺术与建筑成果，见证了当时国家权力与艺术中心的面貌，是卡扎尔时代极具价值的实物遗存。</w:t>
      </w:r>
    </w:p>
    <w:p w14:paraId="2957BE17">
      <w:pPr>
        <w:pStyle w:val="7"/>
        <w:keepNext w:val="0"/>
        <w:keepLines w:val="0"/>
        <w:widowControl/>
        <w:suppressLineNumbers w:val="0"/>
        <w:rPr>
          <w:rFonts w:hint="eastAsia" w:asciiTheme="minorEastAsia" w:hAnsiTheme="minorEastAsia" w:eastAsiaTheme="minorEastAsia" w:cstheme="minorEastAsia"/>
          <w:i/>
          <w:iCs/>
        </w:rPr>
      </w:pPr>
      <w:r>
        <w:rPr>
          <w:rStyle w:val="10"/>
          <w:rFonts w:hint="eastAsia" w:asciiTheme="minorEastAsia" w:hAnsiTheme="minorEastAsia" w:eastAsiaTheme="minorEastAsia" w:cstheme="minorEastAsia"/>
          <w:i/>
          <w:iCs/>
        </w:rPr>
        <w:t>标准（iv）：</w:t>
      </w:r>
      <w:r>
        <w:rPr>
          <w:rFonts w:hint="eastAsia" w:asciiTheme="minorEastAsia" w:hAnsiTheme="minorEastAsia" w:eastAsiaTheme="minorEastAsia" w:cstheme="minorEastAsia"/>
          <w:i/>
          <w:iCs/>
        </w:rPr>
        <w:t xml:space="preserve"> 19 世纪的波斯正处在现代化转型进程中，古勒斯坦宫正是这一重要历史阶段建筑艺术的典范。古代波斯艺术建筑的深厚底蕴，叠加同时期西方带来的外来影响，在此交汇，孕育出这一转型时期独有的建筑艺术形态。</w:t>
      </w:r>
    </w:p>
    <w:p w14:paraId="176DD742">
      <w:pPr>
        <w:pStyle w:val="4"/>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完整性</w:t>
      </w:r>
    </w:p>
    <w:p w14:paraId="5F967B03">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宫殿遗产地边界囊括了所有承载其突出普遍价值的构成要素。尽管卡扎尔时期的古勒斯坦宫原本遗产规模更为宏大，后续历任统治者拆毁、改建了相当一部分建筑，但现存全部遗存都划入遗产保护范围之内。</w:t>
      </w:r>
    </w:p>
    <w:p w14:paraId="26AFEC00">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目前遗产地暂无重大威胁，尤其不存在破坏宫殿内部望向周边景观视线通廊的隐患。为长久维持这一状态，需要重点保护从古勒斯坦宫及花园向外眺望的景观视线。</w:t>
      </w:r>
    </w:p>
    <w:p w14:paraId="482B0EA6">
      <w:pPr>
        <w:pStyle w:val="4"/>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真实性</w:t>
      </w:r>
    </w:p>
    <w:p w14:paraId="3127E7A0">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卡扎尔时期特色建筑的空间布局与设计本体保持真实，内外墙面精美的装饰得以留存。所有保护修缮工作均充分尊重原材料、原有设计与传统工艺的真实性。此外，建筑群部分延续原有功能，尤其是卡扎尔时代就设立的展厅与配楼，至今仍作为博物馆使用。大量居室、礼仪厅与行政用房虽功能发生改变，但宫殿仍会承办当代国家级活动。巴列维王朝时期，宫殿整体环境风貌改动最大，相关历史场景信息仅碎片化留存。不过，鉴于建筑材料与设计层面的真实性得到保障，这一情况仍可接受；但必须妥善保护遗产地内所有残存的卡扎尔时代历史环境线索。</w:t>
      </w:r>
    </w:p>
    <w:p w14:paraId="2766E5C9">
      <w:pPr>
        <w:pStyle w:val="4"/>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保护与管理要求</w:t>
      </w:r>
    </w:p>
    <w:p w14:paraId="7A816839">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依据《国家遗产保护法（1930 年）》，古勒斯坦宫被列为国家级古迹。《历史遗迹土地、建筑与房产征购法（1969 年）》进一步将其收归国有，依靠法律制度与产权安排双重保障遗产安全。遗产缓冲区受伊朗文化遗产、手工艺品与旅游组织（ICHHTO）批准的法规管控，管控条款限制区域内新建工程、基础设施开发与树木采伐，划定步行区，并出台多项外立面与建筑修缮措施。必须严格遵守古勒斯坦宫缓冲区及德黑兰老城更大范围的建筑限高规定，保护从古勒斯坦宫建筑群向外的景观视线。</w:t>
      </w:r>
    </w:p>
    <w:p w14:paraId="0EC1CAFC">
      <w:pPr>
        <w:pStyle w:val="7"/>
        <w:keepNext w:val="0"/>
        <w:keepLines w:val="0"/>
        <w:widowControl/>
        <w:suppressLineNumbers w:val="0"/>
        <w:rPr>
          <w:rFonts w:hint="eastAsia" w:asciiTheme="minorEastAsia" w:hAnsiTheme="minorEastAsia" w:eastAsiaTheme="minorEastAsia" w:cstheme="minorEastAsia"/>
          <w:i/>
          <w:iCs/>
        </w:rPr>
      </w:pPr>
      <w:r>
        <w:rPr>
          <w:rFonts w:hint="eastAsia" w:asciiTheme="minorEastAsia" w:hAnsiTheme="minorEastAsia" w:eastAsiaTheme="minorEastAsia" w:cstheme="minorEastAsia"/>
          <w:i/>
          <w:iCs/>
        </w:rPr>
        <w:t>遗产管理工作按照短期、中期、长期目标推进，核心是宫殿建筑群的保护与修复。管理主体为古勒斯坦宫管理处，隶属于伊朗文化遗产、手工艺品与旅游组织，专门负责本遗产，相当于现场管理机构。虽然已经制定管理目标，但仍需编制完整的遗产管理规划，在规划中充分重视灾害风险预案与应急处置流程。</w:t>
      </w:r>
    </w:p>
    <w:p w14:paraId="04A278CE">
      <w:pPr>
        <w:rPr>
          <w:rFonts w:hint="eastAsia" w:asciiTheme="minorEastAsia" w:hAnsiTheme="minorEastAsia" w:eastAsiaTheme="minorEastAsia" w:cstheme="minorEastAsia"/>
          <w:i/>
          <w:iCs/>
        </w:rPr>
      </w:pPr>
    </w:p>
    <w:p w14:paraId="2377FF21">
      <w:pPr>
        <w:rPr>
          <w:rFonts w:hint="eastAsia" w:asciiTheme="minorEastAsia" w:hAnsiTheme="minorEastAsia" w:eastAsiaTheme="minorEastAsia" w:cstheme="minorEastAsia"/>
          <w:i/>
          <w:iCs/>
        </w:rPr>
      </w:pPr>
    </w:p>
    <w:p w14:paraId="3AFC4325">
      <w:pPr>
        <w:rPr>
          <w:rFonts w:hint="eastAsia" w:asciiTheme="minorEastAsia" w:hAnsiTheme="minorEastAsia" w:eastAsiaTheme="minorEastAsia" w:cstheme="minorEastAsia"/>
          <w:i/>
          <w:iCs/>
        </w:rPr>
      </w:pPr>
    </w:p>
    <w:p w14:paraId="1718C727">
      <w:pPr>
        <w:pStyle w:val="6"/>
        <w:keepNext w:val="0"/>
        <w:keepLines w:val="0"/>
        <w:widowControl/>
        <w:suppressLineNumbers w:val="0"/>
        <w:rPr>
          <w:i/>
          <w:iCs/>
        </w:rPr>
      </w:pPr>
      <w:r>
        <w:rPr>
          <w:i/>
          <w:iCs/>
        </w:rPr>
        <w:t>Golestan Palace</w:t>
      </w:r>
    </w:p>
    <w:p w14:paraId="4294AB5E">
      <w:pPr>
        <w:pStyle w:val="7"/>
        <w:keepNext w:val="0"/>
        <w:keepLines w:val="0"/>
        <w:widowControl/>
        <w:suppressLineNumbers w:val="0"/>
        <w:rPr>
          <w:i/>
          <w:iCs/>
        </w:rPr>
      </w:pPr>
      <w:r>
        <w:rPr>
          <w:i/>
          <w:iCs/>
        </w:rPr>
        <w:t>The lavish Golestan Palace is a masterpiece of the Qajar era, embodying the successful integration of earlier Persian crafts and architecture with Western influences. The walled Palace, one of the oldest groups of buildings in Teheran, became the seat of government of the Qajar family, which came into power in 1779 and made Teheran the capital of the country. Built around a garden featuring pools as well as planted areas, the Palace’s most characteristic features and rich ornaments date from the 19th century. It became a centre of Qajari arts and architecture of which it is an outstanding example and has remained a source of inspiration for Iranian artists and architects to this day. It represents a new style incorporating traditional Persian arts and crafts and elements of 18th century architecture and technology.</w:t>
      </w:r>
    </w:p>
    <w:p w14:paraId="5CEDEDC2">
      <w:pPr>
        <w:pStyle w:val="3"/>
        <w:keepNext w:val="0"/>
        <w:keepLines w:val="0"/>
        <w:widowControl/>
        <w:suppressLineNumbers w:val="0"/>
        <w:rPr>
          <w:i/>
          <w:iCs/>
        </w:rPr>
      </w:pPr>
      <w:r>
        <w:rPr>
          <w:i/>
          <w:iCs/>
        </w:rPr>
        <w:t>Outstanding Universal Value</w:t>
      </w:r>
    </w:p>
    <w:p w14:paraId="13798B1C">
      <w:pPr>
        <w:pStyle w:val="7"/>
        <w:keepNext w:val="0"/>
        <w:keepLines w:val="0"/>
        <w:widowControl/>
        <w:suppressLineNumbers w:val="0"/>
        <w:rPr>
          <w:i/>
          <w:iCs/>
        </w:rPr>
      </w:pPr>
      <w:r>
        <w:rPr>
          <w:rStyle w:val="10"/>
          <w:i/>
          <w:iCs/>
        </w:rPr>
        <w:t>Brief synthesis</w:t>
      </w:r>
    </w:p>
    <w:p w14:paraId="0D58C11B">
      <w:pPr>
        <w:pStyle w:val="7"/>
        <w:keepNext w:val="0"/>
        <w:keepLines w:val="0"/>
        <w:widowControl/>
        <w:suppressLineNumbers w:val="0"/>
        <w:rPr>
          <w:i/>
          <w:iCs/>
        </w:rPr>
      </w:pPr>
      <w:r>
        <w:rPr>
          <w:i/>
          <w:iCs/>
        </w:rPr>
        <w:t>Golestan Palace is located in the heart and historic core of Tehran. The palace complex is one of the oldest in Tehran, originally built during the Safavid dynasty in the historic walled city. Following extensions and additions, it received its most characteristic features in the 19th century, when the palace complex was selected as the royal residence and seat of power by the Qajar ruling family. At present, Golestan Palace complex consists of eight key palace structures mostly used as museums and the eponymous gardens, a green shared centre of the complex, surrounded by an outer wall with gates.</w:t>
      </w:r>
    </w:p>
    <w:p w14:paraId="5863C6E0">
      <w:pPr>
        <w:pStyle w:val="7"/>
        <w:keepNext w:val="0"/>
        <w:keepLines w:val="0"/>
        <w:widowControl/>
        <w:suppressLineNumbers w:val="0"/>
        <w:rPr>
          <w:i/>
          <w:iCs/>
        </w:rPr>
      </w:pPr>
      <w:r>
        <w:rPr>
          <w:i/>
          <w:iCs/>
        </w:rPr>
        <w:t>The complex exemplifies architectural and artistic achievements of the Qajar era including the introduction of European motifs and styles into Persian arts. It was not only used as the governing base of the Qajari Kings but also functioned as a recreational and residential compound and a centre of artistic production in the 19th century. Through the latter activity, it became the source and centre of Qajari arts and architecture.</w:t>
      </w:r>
    </w:p>
    <w:p w14:paraId="3ACDF62A">
      <w:pPr>
        <w:pStyle w:val="7"/>
        <w:keepNext w:val="0"/>
        <w:keepLines w:val="0"/>
        <w:widowControl/>
        <w:suppressLineNumbers w:val="0"/>
        <w:rPr>
          <w:i/>
          <w:iCs/>
        </w:rPr>
      </w:pPr>
      <w:r>
        <w:rPr>
          <w:i/>
          <w:iCs/>
        </w:rPr>
        <w:t>Golestan Palace represents a unique and rich testimony of the architectural language and decorative art during the Qajar era represented mostly in the legacy of Naser ed-Din Shah. It reflects artistic inspirations of European origin as the earliest representations of synthesized European and Persian style, which became so characteristic of Iranian art and architecture in the late 19th and 20th centuries. As such, parts of the palace complex can be seen as the origins of the modern Iranian artistic movement.</w:t>
      </w:r>
    </w:p>
    <w:p w14:paraId="5BB1AA1C">
      <w:pPr>
        <w:pStyle w:val="7"/>
        <w:keepNext w:val="0"/>
        <w:keepLines w:val="0"/>
        <w:widowControl/>
        <w:suppressLineNumbers w:val="0"/>
        <w:rPr>
          <w:i/>
          <w:iCs/>
        </w:rPr>
      </w:pPr>
      <w:r>
        <w:rPr>
          <w:rStyle w:val="10"/>
          <w:i/>
          <w:iCs/>
        </w:rPr>
        <w:t>Criterion (ii):</w:t>
      </w:r>
      <w:r>
        <w:rPr>
          <w:i/>
          <w:iCs/>
        </w:rPr>
        <w:t xml:space="preserve"> The complex of Golestan Palace represents an important example of the merging of Persian arts and architecture with European styles and motifs and the adaptation of European building technologies, such as the use of cast iron for load bearing, in Persia. As such Golestan Palace can be considered an exceptional example of an east-west synthesis in monumental arts, architectural layout and building technology, which has become a source of inspiration for modern Iranian artists and architects.</w:t>
      </w:r>
    </w:p>
    <w:p w14:paraId="4CA949F4">
      <w:pPr>
        <w:pStyle w:val="7"/>
        <w:keepNext w:val="0"/>
        <w:keepLines w:val="0"/>
        <w:widowControl/>
        <w:suppressLineNumbers w:val="0"/>
        <w:rPr>
          <w:i/>
          <w:iCs/>
        </w:rPr>
      </w:pPr>
      <w:r>
        <w:rPr>
          <w:rStyle w:val="10"/>
          <w:i/>
          <w:iCs/>
        </w:rPr>
        <w:t>Criterion (iii):</w:t>
      </w:r>
      <w:r>
        <w:rPr>
          <w:i/>
          <w:iCs/>
        </w:rPr>
        <w:t xml:space="preserve"> Golestan Palace contains the most complete representation of Qajari artistic and architectural production and bears witness to the centre of power and arts at the time. Hence, it is recognized as an exceptional testimony to the Qajari Era.</w:t>
      </w:r>
    </w:p>
    <w:p w14:paraId="6CEA19F1">
      <w:pPr>
        <w:pStyle w:val="7"/>
        <w:keepNext w:val="0"/>
        <w:keepLines w:val="0"/>
        <w:widowControl/>
        <w:suppressLineNumbers w:val="0"/>
        <w:rPr>
          <w:i/>
          <w:iCs/>
        </w:rPr>
      </w:pPr>
      <w:r>
        <w:rPr>
          <w:rStyle w:val="10"/>
          <w:i/>
          <w:iCs/>
        </w:rPr>
        <w:t>Criterion (iv):</w:t>
      </w:r>
      <w:r>
        <w:rPr>
          <w:i/>
          <w:iCs/>
        </w:rPr>
        <w:t xml:space="preserve"> Golestan Palace is a prime example of the arts and architecture in a significant period in Persia, throughout the 19th century when the society was subject to processes of modernization. The influential role of artistic and architectural values of ancient Persia as well as the contemporary impacts of the West on the arts and architecture were integrated into a new type of arts and architecture in a significant transitional period.</w:t>
      </w:r>
    </w:p>
    <w:p w14:paraId="3592C3F4">
      <w:pPr>
        <w:pStyle w:val="7"/>
        <w:keepNext w:val="0"/>
        <w:keepLines w:val="0"/>
        <w:widowControl/>
        <w:suppressLineNumbers w:val="0"/>
        <w:rPr>
          <w:i/>
          <w:iCs/>
        </w:rPr>
      </w:pPr>
      <w:r>
        <w:rPr>
          <w:rStyle w:val="10"/>
          <w:i/>
          <w:iCs/>
        </w:rPr>
        <w:t>Integrity</w:t>
      </w:r>
    </w:p>
    <w:p w14:paraId="54A6B577">
      <w:pPr>
        <w:pStyle w:val="7"/>
        <w:keepNext w:val="0"/>
        <w:keepLines w:val="0"/>
        <w:widowControl/>
        <w:suppressLineNumbers w:val="0"/>
        <w:rPr>
          <w:i/>
          <w:iCs/>
        </w:rPr>
      </w:pPr>
      <w:r>
        <w:rPr>
          <w:i/>
          <w:iCs/>
        </w:rPr>
        <w:t>The delimitation of the palace compound includes all elements which convey the Outstanding Universal Value of the property. Although the Qajari architectural heritage of Golestan Palace has been much richer in the past and a considerable proportion of the palace complex has been demolished and replaced under successive rulers, all elements which have survived until the present time are included within the property boundaries.</w:t>
      </w:r>
    </w:p>
    <w:p w14:paraId="1E61A291">
      <w:pPr>
        <w:pStyle w:val="7"/>
        <w:keepNext w:val="0"/>
        <w:keepLines w:val="0"/>
        <w:widowControl/>
        <w:suppressLineNumbers w:val="0"/>
        <w:rPr>
          <w:i/>
          <w:iCs/>
        </w:rPr>
      </w:pPr>
      <w:r>
        <w:rPr>
          <w:i/>
          <w:iCs/>
        </w:rPr>
        <w:t>At present the property is free of any acute threats, especially those which could compromise the visual perspectives into the wider landscape from within the palace compound. To ensure that this situation is retained in the future, emphasis should be given to the protection of visual perspectives from the inside of Golestan Palace and Gardens.</w:t>
      </w:r>
    </w:p>
    <w:p w14:paraId="6515D88E">
      <w:pPr>
        <w:pStyle w:val="7"/>
        <w:keepNext w:val="0"/>
        <w:keepLines w:val="0"/>
        <w:widowControl/>
        <w:suppressLineNumbers w:val="0"/>
        <w:rPr>
          <w:i/>
          <w:iCs/>
        </w:rPr>
      </w:pPr>
      <w:r>
        <w:rPr>
          <w:rStyle w:val="10"/>
          <w:i/>
          <w:iCs/>
        </w:rPr>
        <w:t>Authenticity</w:t>
      </w:r>
    </w:p>
    <w:p w14:paraId="698A63D7">
      <w:pPr>
        <w:pStyle w:val="7"/>
        <w:keepNext w:val="0"/>
        <w:keepLines w:val="0"/>
        <w:widowControl/>
        <w:suppressLineNumbers w:val="0"/>
        <w:rPr>
          <w:i/>
          <w:iCs/>
        </w:rPr>
      </w:pPr>
      <w:r>
        <w:rPr>
          <w:i/>
          <w:iCs/>
        </w:rPr>
        <w:t>The characteristic architectural structures of the Qajari era retain authenticity in design and layout and have preserved the exceptional interior and exterior façade decorations. All conservation activities carried out have paid due respect to authenticity of material, design and workmanship. In addition, the palace complex has partly retained its use and function, in particular those galleries and wings that were created as museums during Qajari times. Many of the residential, representative and administrative rooms have changed purpose but the palace is still used as a location for contemporary state activities. It is probably the setting of the Qajari monuments that has changed most significantly during Pahlavi times and the authenticity of which is only retained in fragmented form. While this situation is acceptable in light of the demonstrated authenticity in material and design, it is essential that all remaining references to the historic Qajari setting of the property are carefully managed and preserved.</w:t>
      </w:r>
    </w:p>
    <w:p w14:paraId="0ACF2CEA">
      <w:pPr>
        <w:pStyle w:val="7"/>
        <w:keepNext w:val="0"/>
        <w:keepLines w:val="0"/>
        <w:widowControl/>
        <w:suppressLineNumbers w:val="0"/>
        <w:rPr>
          <w:i/>
          <w:iCs/>
        </w:rPr>
      </w:pPr>
      <w:r>
        <w:rPr>
          <w:rStyle w:val="10"/>
          <w:i/>
          <w:iCs/>
        </w:rPr>
        <w:t>Protection and Management requirements</w:t>
      </w:r>
    </w:p>
    <w:p w14:paraId="2362937A">
      <w:pPr>
        <w:pStyle w:val="7"/>
        <w:keepNext w:val="0"/>
        <w:keepLines w:val="0"/>
        <w:widowControl/>
        <w:suppressLineNumbers w:val="0"/>
        <w:rPr>
          <w:i/>
          <w:iCs/>
        </w:rPr>
      </w:pPr>
      <w:r>
        <w:rPr>
          <w:i/>
          <w:iCs/>
        </w:rPr>
        <w:t>Golestan Palace is classified as a national monument according to the Law for Protection of National Heritage (1930). It has further been transferred into government ownership according to the Law Concerning the Acquisition of Land, Building and Premises for Protection of Historic Properties (1969) and is accordingly protected by both legislative means and property ownership. The buffer zone is protected by legal regulations, which were approved by ICHHTO. These limit construction and infrastructure developments, the cutting of trees, create a pedestrian zone and suggest a variety of measures for the improvement of facades and structures. It is important that the height restrictions in the buffer zone and wider surroundings of the historical district of Tehran are strictly observed to protect the sightlines from inside Golestan Palace complex.</w:t>
      </w:r>
    </w:p>
    <w:p w14:paraId="011EEF91">
      <w:pPr>
        <w:pStyle w:val="7"/>
        <w:keepNext w:val="0"/>
        <w:keepLines w:val="0"/>
        <w:widowControl/>
        <w:suppressLineNumbers w:val="0"/>
        <w:rPr>
          <w:i/>
          <w:iCs/>
        </w:rPr>
      </w:pPr>
      <w:r>
        <w:rPr>
          <w:i/>
          <w:iCs/>
        </w:rPr>
        <w:t>The management of the property is guided by short, medium and long-term objectives which emphasize the conservation and restoration of the palace complex. Management responsibility lies with the Golestan Palace Base, a subsection of ICHHTO exclusively responsible for the property and functioning as a site management office. While management objectives have been presented, it would be desirable to develop a full management plan for the property, in which risk preparedness and risk response procedures should be given adequate attention.</w:t>
      </w:r>
    </w:p>
    <w:p w14:paraId="7FBDB0BC">
      <w:pPr>
        <w:rPr>
          <w:rFonts w:hint="eastAsia" w:asciiTheme="minorEastAsia" w:hAnsiTheme="minorEastAsia" w:eastAsiaTheme="minorEastAsia" w:cstheme="minorEastAsia"/>
        </w:rPr>
      </w:pPr>
    </w:p>
    <w:p w14:paraId="2E18140F">
      <w:pPr>
        <w:pStyle w:val="5"/>
        <w:bidi w:val="0"/>
        <w:rPr>
          <w:rFonts w:hint="eastAsia" w:asciiTheme="minorEastAsia" w:hAnsiTheme="minorEastAsia" w:cstheme="minorEastAsia"/>
          <w:lang w:val="en-US" w:eastAsia="zh-CN"/>
        </w:rPr>
      </w:pPr>
      <w:r>
        <w:rPr>
          <w:rFonts w:hint="eastAsia"/>
          <w:lang w:val="en-US" w:eastAsia="zh-CN"/>
        </w:rPr>
        <w:t>价值 参考文段（可根据量表增加维度再提取文段）：</w:t>
      </w:r>
    </w:p>
    <w:p w14:paraId="1AC62533">
      <w:pPr>
        <w:pStyle w:val="7"/>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cstheme="minorEastAsia"/>
          <w:lang w:val="en-US" w:eastAsia="zh-CN"/>
        </w:rPr>
        <w:t>艺术价值：</w:t>
      </w:r>
      <w:r>
        <w:rPr>
          <w:rFonts w:hint="eastAsia" w:asciiTheme="minorEastAsia" w:hAnsiTheme="minorEastAsia" w:eastAsiaTheme="minorEastAsia" w:cstheme="minorEastAsia"/>
        </w:rPr>
        <w:t>古勒斯坦宫建筑群是波斯建筑艺术与欧洲风格、装饰母题相融合的重要实例，同时波斯本土也吸收了欧洲建筑技术，例如使用铸铁作为承重结构。因此，古勒斯坦宫堪称大型纪念性建筑、空间布局与营造技术上东西方文化交融的杰出范例，持续启发着现代伊朗艺术家与建筑师。</w:t>
      </w:r>
    </w:p>
    <w:p w14:paraId="1935315F">
      <w:pPr>
        <w:pStyle w:val="7"/>
        <w:keepNext w:val="0"/>
        <w:keepLines w:val="0"/>
        <w:widowControl/>
        <w:suppressLineNumbers w:val="0"/>
        <w:rPr>
          <w:rFonts w:hint="eastAsia" w:asciiTheme="minorEastAsia" w:hAnsiTheme="minorEastAsia" w:eastAsiaTheme="minorEastAsia" w:cstheme="minorEastAsia"/>
          <w:lang w:val="en-US" w:eastAsia="zh-CN"/>
        </w:rPr>
      </w:pPr>
      <w:r>
        <w:t>The complex of Golestan Palace represents an important example of the merging of Persian arts and architecture with European styles and motifs and the adaptation of European building technologies, such as the use of cast iron for load bearing, in Persia. As such Golestan Palace can be considered an exceptional example of an east-west synthesis in monumental arts, architectural layout and building technology, which has become a source of inspiration for modern Iranian artists and architects.</w:t>
      </w:r>
    </w:p>
    <w:p w14:paraId="17E0524B">
      <w:pPr>
        <w:pStyle w:val="7"/>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该建筑群集中展现卡扎尔王朝的建筑与艺术成就，其中一大亮点是将欧洲装饰母题与建筑风格引入波斯艺术。 19 世纪的波斯正处在现代化转型进程中，古勒斯坦宫正是这一重要历史阶段建筑艺术的典范。古代波斯艺术建筑的深厚底蕴，叠加同时期西方带来的外来影响，在此交汇，孕育出这一转型时期独有的建筑艺术形态。</w:t>
      </w:r>
    </w:p>
    <w:p w14:paraId="2C6C1D72">
      <w:pPr>
        <w:pStyle w:val="7"/>
        <w:keepNext w:val="0"/>
        <w:keepLines w:val="0"/>
        <w:widowControl/>
        <w:suppressLineNumbers w:val="0"/>
      </w:pPr>
      <w:r>
        <w:t xml:space="preserve">The complex exemplifies architectural and artistic achievements of the Qajar era including the introduction of European motifs and styles into Persian arts. </w:t>
      </w:r>
    </w:p>
    <w:p w14:paraId="761B32E1">
      <w:pPr>
        <w:pStyle w:val="7"/>
        <w:keepNext w:val="0"/>
        <w:keepLines w:val="0"/>
        <w:widowControl/>
        <w:suppressLineNumbers w:val="0"/>
      </w:pPr>
      <w:r>
        <w:t>Golestan Palace is a prime example of the arts and architecture in a significant period in Persia, throughout the 19th century when the society was subject to processes of modernization. The influential role of artistic and architectural values of ancient Persia as well as the contemporary impacts of the West on the arts and architecture were integrated into a new type of arts and architecture in a significant transitional period.</w:t>
      </w:r>
    </w:p>
    <w:p w14:paraId="12D001C8">
      <w:pPr>
        <w:pStyle w:val="7"/>
        <w:keepNext w:val="0"/>
        <w:keepLines w:val="0"/>
        <w:widowControl/>
        <w:suppressLineNumbers w:val="0"/>
        <w:rPr>
          <w:rFonts w:hint="eastAsia" w:asciiTheme="minorEastAsia" w:hAnsiTheme="minorEastAsia" w:eastAsiaTheme="minorEastAsia" w:cstheme="minorEastAsia"/>
        </w:rPr>
      </w:pPr>
    </w:p>
    <w:p w14:paraId="0F5BEA7E">
      <w:pPr>
        <w:pStyle w:val="7"/>
        <w:keepNext w:val="0"/>
        <w:keepLines w:val="0"/>
        <w:widowControl/>
        <w:suppressLineNumbers w:val="0"/>
        <w:rPr>
          <w:rFonts w:hint="eastAsia" w:asciiTheme="minorEastAsia" w:hAnsiTheme="minorEastAsia" w:eastAsiaTheme="minorEastAsia" w:cstheme="minorEastAsia"/>
        </w:rPr>
      </w:pPr>
    </w:p>
    <w:p w14:paraId="40444E1A">
      <w:pPr>
        <w:pStyle w:val="7"/>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cstheme="minorEastAsia"/>
          <w:lang w:val="en-US" w:eastAsia="zh-CN"/>
        </w:rPr>
        <w:t>历史价值：</w:t>
      </w:r>
      <w:r>
        <w:rPr>
          <w:rFonts w:hint="eastAsia" w:asciiTheme="minorEastAsia" w:hAnsiTheme="minorEastAsia" w:eastAsiaTheme="minorEastAsia" w:cstheme="minorEastAsia"/>
        </w:rPr>
        <w:t xml:space="preserve"> 古勒斯坦宫完整留存了卡扎尔王朝艺术与建筑成果，见证了当时国家权力与艺术中心的面貌，是卡扎尔时代极具价值的实物遗存。</w:t>
      </w:r>
    </w:p>
    <w:p w14:paraId="527A1457">
      <w:pPr>
        <w:pStyle w:val="7"/>
        <w:keepNext w:val="0"/>
        <w:keepLines w:val="0"/>
        <w:widowControl/>
        <w:suppressLineNumbers w:val="0"/>
        <w:rPr>
          <w:rFonts w:hint="eastAsia" w:asciiTheme="minorEastAsia" w:hAnsiTheme="minorEastAsia" w:eastAsiaTheme="minorEastAsia" w:cstheme="minorEastAsia"/>
          <w:lang w:val="en-US" w:eastAsia="zh-CN"/>
        </w:rPr>
      </w:pPr>
      <w:r>
        <w:t>Golestan Palace contains the most complete representation of Qajari artistic and architectural production and bears witness to the centre of power and arts at the time. Hence, it is recognized as an exceptional testimony to the Qajari Era.</w:t>
      </w:r>
    </w:p>
    <w:p w14:paraId="41A206B0">
      <w:pPr>
        <w:pStyle w:val="7"/>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宫殿建筑群是德黑兰历史最悠久的古迹之一，最早在萨法维王朝时期修建于带城墙的古城之内。历经多次扩建增建，到 19 世纪，卡扎尔王室将此地选为皇家居所与权力中枢，宫殿才形成如今最标志性的面貌。</w:t>
      </w:r>
    </w:p>
    <w:p w14:paraId="7522360A">
      <w:pPr>
        <w:pStyle w:val="7"/>
        <w:keepNext w:val="0"/>
        <w:keepLines w:val="0"/>
        <w:widowControl/>
        <w:suppressLineNumbers w:val="0"/>
        <w:rPr>
          <w:rFonts w:hint="eastAsia" w:asciiTheme="minorEastAsia" w:hAnsiTheme="minorEastAsia" w:eastAsiaTheme="minorEastAsia" w:cstheme="minorEastAsia"/>
          <w:lang w:val="en-US" w:eastAsia="zh-CN"/>
        </w:rPr>
      </w:pPr>
      <w:r>
        <w:t>The palace complex is one of the oldest in Tehran, originally built during the Safavid dynasty in the historic walled city. Following extensions and additions, it received its most characteristic features in the 19th century, when the palace complex was selected as the royal residence and seat of power by the Qajar ruling family.</w:t>
      </w:r>
    </w:p>
    <w:p w14:paraId="73D50257">
      <w:pPr>
        <w:rPr>
          <w:rFonts w:hint="default" w:asciiTheme="minorEastAsia" w:hAnsiTheme="minorEastAsia" w:cstheme="minorEastAsia"/>
          <w:lang w:val="en-US" w:eastAsia="zh-CN"/>
        </w:rPr>
      </w:pPr>
    </w:p>
    <w:p w14:paraId="67DE6DA3">
      <w:pPr>
        <w:rPr>
          <w:rFonts w:hint="eastAsia" w:asciiTheme="minorEastAsia" w:hAnsiTheme="minorEastAsia" w:eastAsiaTheme="minorEastAsia" w:cstheme="minorEastAsia"/>
        </w:rPr>
      </w:pPr>
    </w:p>
    <w:p w14:paraId="54FC50E3">
      <w:pPr>
        <w:rPr>
          <w:rFonts w:hint="eastAsia" w:asciiTheme="minorEastAsia" w:hAnsiTheme="minorEastAsia" w:eastAsiaTheme="minorEastAsia" w:cstheme="minorEastAsia"/>
        </w:rPr>
      </w:pPr>
    </w:p>
    <w:p w14:paraId="5F35FB12">
      <w:pPr>
        <w:pStyle w:val="2"/>
        <w:bidi w:val="0"/>
        <w:rPr>
          <w:rFonts w:hint="eastAsia"/>
          <w:lang w:val="en-US" w:eastAsia="zh-CN"/>
        </w:rPr>
      </w:pPr>
      <w:r>
        <w:rPr>
          <w:rFonts w:hint="eastAsia"/>
          <w:lang w:val="en-US" w:eastAsia="zh-CN"/>
        </w:rPr>
        <w:t xml:space="preserve">受损情况 </w:t>
      </w:r>
    </w:p>
    <w:p w14:paraId="7F2539FA">
      <w:pPr>
        <w:rPr>
          <w:rFonts w:hint="eastAsia"/>
          <w:lang w:val="en-US" w:eastAsia="zh-CN"/>
        </w:rPr>
      </w:pPr>
      <w:r>
        <w:rPr>
          <w:rFonts w:hint="eastAsia"/>
          <w:lang w:val="en-US" w:eastAsia="zh-CN"/>
        </w:rPr>
        <w:fldChar w:fldCharType="begin"/>
      </w:r>
      <w:r>
        <w:rPr>
          <w:rFonts w:hint="eastAsia"/>
          <w:lang w:val="en-US" w:eastAsia="zh-CN"/>
        </w:rPr>
        <w:instrText xml:space="preserve"> HYPERLINK "https://www.unesco.org/en/articles/unesco-expresses-concern-over-protection-cultural-heritage-sites-amidst-escalating-violence-middle?hub=68243" </w:instrText>
      </w:r>
      <w:r>
        <w:rPr>
          <w:rFonts w:hint="eastAsia"/>
          <w:lang w:val="en-US" w:eastAsia="zh-CN"/>
        </w:rPr>
        <w:fldChar w:fldCharType="separate"/>
      </w:r>
      <w:r>
        <w:rPr>
          <w:rStyle w:val="11"/>
          <w:rFonts w:hint="eastAsia"/>
          <w:lang w:val="en-US" w:eastAsia="zh-CN"/>
        </w:rPr>
        <w:t>https://www.unesco.org/en/articles/unesco-expresses-concern-over-protection-cultural-heritage-sites-amidst-escalating-violence-middle?hub=68243</w:t>
      </w:r>
      <w:r>
        <w:rPr>
          <w:rFonts w:hint="eastAsia"/>
          <w:lang w:val="en-US" w:eastAsia="zh-CN"/>
        </w:rPr>
        <w:fldChar w:fldCharType="end"/>
      </w:r>
    </w:p>
    <w:p w14:paraId="38A72913">
      <w:pPr>
        <w:rPr>
          <w:rFonts w:hint="eastAsia"/>
          <w:lang w:val="en-US" w:eastAsia="zh-CN"/>
        </w:rPr>
      </w:pPr>
    </w:p>
    <w:p w14:paraId="1259DF82">
      <w:pPr>
        <w:rPr>
          <w:rFonts w:hint="eastAsia"/>
          <w:lang w:val="en-US" w:eastAsia="zh-CN"/>
        </w:rPr>
      </w:pPr>
    </w:p>
    <w:p w14:paraId="631B1219">
      <w:pPr>
        <w:rPr>
          <w:rFonts w:hint="default"/>
          <w:i/>
          <w:iCs/>
          <w:lang w:val="en-US" w:eastAsia="zh-CN"/>
        </w:rPr>
      </w:pPr>
      <w:r>
        <w:rPr>
          <w:rFonts w:hint="default"/>
          <w:i/>
          <w:iCs/>
          <w:lang w:val="en-US" w:eastAsia="zh-CN"/>
        </w:rPr>
        <w:t>On Monday 2 March, the Golestan Palace in Tehran, a UNESCO World Heritage site, was reportedly damaged by debris and the shock wave following an airstrike to the Arag Square, located in the buffer zone of the site in the Iranian capital.</w:t>
      </w:r>
    </w:p>
    <w:p w14:paraId="050DED81">
      <w:pPr>
        <w:rPr>
          <w:rFonts w:hint="default"/>
          <w:i/>
          <w:iCs/>
          <w:lang w:val="en-US" w:eastAsia="zh-CN"/>
        </w:rPr>
      </w:pPr>
    </w:p>
    <w:p w14:paraId="187839C0">
      <w:pPr>
        <w:rPr>
          <w:rFonts w:hint="default"/>
          <w:i/>
          <w:iCs/>
          <w:lang w:val="en-US" w:eastAsia="zh-CN"/>
        </w:rPr>
      </w:pPr>
      <w:r>
        <w:rPr>
          <w:rFonts w:hint="default"/>
          <w:i/>
          <w:iCs/>
          <w:lang w:val="en-US" w:eastAsia="zh-CN"/>
        </w:rPr>
        <w:t>UNESCO continues to closely monitor the situation of cultural heritage in the country and across the region, with a view to ensuring its protection. To that end, the Organization has communicated to all parties concerned the geographical coordinates of sites on the World Heritage List as well as those of national significance, to avoid any potential damage.</w:t>
      </w:r>
    </w:p>
    <w:p w14:paraId="6C73E12C">
      <w:pPr>
        <w:rPr>
          <w:rFonts w:hint="default"/>
          <w:i/>
          <w:iCs/>
          <w:lang w:val="en-US" w:eastAsia="zh-CN"/>
        </w:rPr>
      </w:pPr>
    </w:p>
    <w:p w14:paraId="09FF3CBA">
      <w:pPr>
        <w:rPr>
          <w:rFonts w:hint="default"/>
          <w:i/>
          <w:iCs/>
          <w:lang w:val="en-US" w:eastAsia="zh-CN"/>
        </w:rPr>
      </w:pPr>
      <w:r>
        <w:rPr>
          <w:rFonts w:hint="default"/>
          <w:i/>
          <w:iCs/>
          <w:lang w:val="en-US" w:eastAsia="zh-CN"/>
        </w:rPr>
        <w:t>UNESCO recalls that cultural property is protected under international law, notably the 1954 Hague Convention for the Protection of Cultural Property in the Event of Armed Conflict, including its enhanced protection mechanism, as well as the 1972 Convention concerning the Protection of the World Cultural and Natural Heritage.</w:t>
      </w:r>
    </w:p>
    <w:p w14:paraId="33CE3CCA">
      <w:pPr>
        <w:rPr>
          <w:rFonts w:hint="default"/>
          <w:i/>
          <w:iCs/>
          <w:lang w:val="en-US" w:eastAsia="zh-CN"/>
        </w:rPr>
      </w:pPr>
    </w:p>
    <w:p w14:paraId="359E4AC5">
      <w:pPr>
        <w:rPr>
          <w:rFonts w:hint="default"/>
          <w:i/>
          <w:iCs/>
          <w:lang w:val="en-US" w:eastAsia="zh-CN"/>
        </w:rPr>
      </w:pPr>
      <w:r>
        <w:rPr>
          <w:rFonts w:hint="default"/>
          <w:i/>
          <w:iCs/>
          <w:lang w:val="en-US" w:eastAsia="zh-CN"/>
        </w:rPr>
        <w:t>据报道，3 月 2 日（周一），联合国教科文组织世界遗产地 —— 德黑兰古勒斯坦宫因伊朗首都该遗产缓冲区内阿拉格广场遭遇空袭，受到冲击波与散落残骸的破坏。</w:t>
      </w:r>
    </w:p>
    <w:p w14:paraId="72F2627C">
      <w:pPr>
        <w:rPr>
          <w:rFonts w:hint="default"/>
          <w:i/>
          <w:iCs/>
          <w:lang w:val="en-US" w:eastAsia="zh-CN"/>
        </w:rPr>
      </w:pPr>
    </w:p>
    <w:p w14:paraId="25745DAE">
      <w:pPr>
        <w:rPr>
          <w:rFonts w:hint="default"/>
          <w:i/>
          <w:iCs/>
          <w:lang w:val="en-US" w:eastAsia="zh-CN"/>
        </w:rPr>
      </w:pPr>
      <w:r>
        <w:rPr>
          <w:rFonts w:hint="default"/>
          <w:i/>
          <w:iCs/>
          <w:lang w:val="en-US" w:eastAsia="zh-CN"/>
        </w:rPr>
        <w:t>联合国教科文组织持续密切关注伊朗及整个地区文化遗产的状况，以保障文化遗产得到保护。为此，该组织已向所有相关方提供《世界遗产名录》遗产地以及国家级重要遗产的地理坐标，以期避免遗产遭受潜在损毁。</w:t>
      </w:r>
    </w:p>
    <w:p w14:paraId="0A090CC9">
      <w:pPr>
        <w:rPr>
          <w:rFonts w:hint="default"/>
          <w:i/>
          <w:iCs/>
          <w:lang w:val="en-US" w:eastAsia="zh-CN"/>
        </w:rPr>
      </w:pPr>
    </w:p>
    <w:p w14:paraId="7884388B">
      <w:pPr>
        <w:rPr>
          <w:rFonts w:hint="default"/>
          <w:i/>
          <w:iCs/>
          <w:lang w:val="en-US" w:eastAsia="zh-CN"/>
        </w:rPr>
      </w:pPr>
      <w:r>
        <w:rPr>
          <w:rFonts w:hint="default"/>
          <w:i/>
          <w:iCs/>
          <w:lang w:val="en-US" w:eastAsia="zh-CN"/>
        </w:rPr>
        <w:t>联合国教科文组织重申，文化财产受国际法保护，主要依据为《1954 年关于发生武装冲突时保护文化财产的海牙公约》（含其强化保护机制）以及《保护世界文化和自然遗产公约》（1972 年）。</w:t>
      </w:r>
    </w:p>
    <w:p w14:paraId="569005B1">
      <w:pPr>
        <w:rPr>
          <w:rFonts w:hint="default"/>
          <w:i/>
          <w:iCs/>
          <w:lang w:val="en-US" w:eastAsia="zh-CN"/>
        </w:rPr>
      </w:pPr>
    </w:p>
    <w:p w14:paraId="2F839873">
      <w:pPr>
        <w:rPr>
          <w:rFonts w:hint="default"/>
          <w:i/>
          <w:iCs/>
          <w:lang w:val="en-US" w:eastAsia="zh-CN"/>
        </w:rPr>
      </w:pPr>
    </w:p>
    <w:p w14:paraId="4CFDA581">
      <w:pPr>
        <w:rPr>
          <w:rFonts w:hint="default"/>
          <w:lang w:val="en-US" w:eastAsia="zh-CN"/>
        </w:rPr>
      </w:pPr>
      <w:r>
        <w:rPr>
          <w:rFonts w:hint="default"/>
          <w:lang w:val="en-US" w:eastAsia="zh-CN"/>
        </w:rPr>
        <w:fldChar w:fldCharType="begin"/>
      </w:r>
      <w:r>
        <w:rPr>
          <w:rFonts w:hint="default"/>
          <w:lang w:val="en-US" w:eastAsia="zh-CN"/>
        </w:rPr>
        <w:instrText xml:space="preserve"> HYPERLINK "https://geneva.mfa.ir/files/mfageneva/newsattachment/2026032722563521652637841.pdf" </w:instrText>
      </w:r>
      <w:r>
        <w:rPr>
          <w:rFonts w:hint="default"/>
          <w:lang w:val="en-US" w:eastAsia="zh-CN"/>
        </w:rPr>
        <w:fldChar w:fldCharType="separate"/>
      </w:r>
      <w:r>
        <w:rPr>
          <w:rStyle w:val="11"/>
          <w:rFonts w:hint="default"/>
          <w:lang w:val="en-US" w:eastAsia="zh-CN"/>
        </w:rPr>
        <w:t>https://geneva.mfa.ir/files/mfageneva/newsattachment/2026032722563521652637841.pdf</w:t>
      </w:r>
      <w:r>
        <w:rPr>
          <w:rFonts w:hint="default"/>
          <w:lang w:val="en-US" w:eastAsia="zh-CN"/>
        </w:rPr>
        <w:fldChar w:fldCharType="end"/>
      </w:r>
    </w:p>
    <w:p w14:paraId="769A059B">
      <w:pPr>
        <w:rPr>
          <w:rFonts w:hint="default"/>
          <w:lang w:val="en-US" w:eastAsia="zh-CN"/>
        </w:rPr>
      </w:pPr>
      <w:r>
        <w:rPr>
          <w:rFonts w:hint="default"/>
          <w:lang w:val="en-US" w:eastAsia="zh-CN"/>
        </w:rPr>
        <w:t>伊朗文化遗产、旅游与手工业部官方报告 Report on the Damages Inflicted Upon Cultural heritage and Museums in the Islamic Republic of Iran During the United States of America and the Zionist Regime Attacks</w:t>
      </w:r>
    </w:p>
    <w:p w14:paraId="73A6DCD0">
      <w:pPr>
        <w:keepNext w:val="0"/>
        <w:keepLines w:val="0"/>
        <w:widowControl/>
        <w:suppressLineNumbers w:val="0"/>
        <w:jc w:val="left"/>
      </w:pPr>
      <w:r>
        <w:rPr>
          <w:rFonts w:ascii="宋体" w:hAnsi="宋体" w:eastAsia="宋体" w:cs="宋体"/>
          <w:kern w:val="0"/>
          <w:sz w:val="24"/>
          <w:szCs w:val="24"/>
          <w:lang w:val="en-US" w:eastAsia="zh-CN" w:bidi="ar"/>
        </w:rPr>
        <w:t>伊朗驻都柏林大使馆官网</w:t>
      </w:r>
    </w:p>
    <w:p w14:paraId="366B4E56">
      <w:pPr>
        <w:rPr>
          <w:rFonts w:hint="default"/>
          <w:lang w:val="en-US" w:eastAsia="zh-CN"/>
        </w:rPr>
      </w:pPr>
    </w:p>
    <w:p w14:paraId="2EC15BE9">
      <w:pPr>
        <w:keepNext w:val="0"/>
        <w:keepLines w:val="0"/>
        <w:widowControl/>
        <w:suppressLineNumbers w:val="0"/>
        <w:spacing w:line="240" w:lineRule="auto"/>
        <w:jc w:val="left"/>
        <w:rPr>
          <w:rFonts w:hint="default" w:ascii="Times New Roman Regular" w:hAnsi="Times New Roman Regular" w:cs="Times New Roman Regular"/>
          <w:i/>
          <w:iCs/>
          <w:sz w:val="21"/>
          <w:szCs w:val="21"/>
        </w:rPr>
      </w:pPr>
      <w:r>
        <w:rPr>
          <w:rFonts w:hint="default" w:ascii="Times New Roman Regular" w:hAnsi="Times New Roman Regular" w:eastAsia="宋体" w:cs="Times New Roman Regular"/>
          <w:i/>
          <w:iCs/>
          <w:kern w:val="0"/>
          <w:sz w:val="21"/>
          <w:szCs w:val="21"/>
          <w:lang w:val="en-US" w:eastAsia="zh-CN" w:bidi="ar"/>
        </w:rPr>
        <w:t>The extensive explosions in the surroundings of Arg Square and Golestan Palace occurred with such intensity and scope that even prior protective measures were not able to fully protect the fragile physical structure of these buildings against the destructive waves. Although Golestan Palace and the Arg of Tehran were at the center of the events, other provinces were also severely affected.</w:t>
      </w:r>
    </w:p>
    <w:p w14:paraId="71D7DC6C">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Golestan Palace World Heritage Site. World Heritage Site.</w:t>
      </w:r>
    </w:p>
    <w:p w14:paraId="556D544B">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Registration/Inscription No: World Heritage List in 2013.</w:t>
      </w:r>
    </w:p>
    <w:p w14:paraId="6DFD6046">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Name &amp; Age: From the Safavid period.</w:t>
      </w:r>
    </w:p>
    <w:p w14:paraId="0985492B">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Inscription Status: World Inscription (UNESCO).</w:t>
      </w:r>
    </w:p>
    <w:p w14:paraId="0D5BB7F9">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Function: Palace Museum.</w:t>
      </w:r>
    </w:p>
    <w:p w14:paraId="3F62A475">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Date &amp; Time of Incident: 01.03.2026; 22 PM.</w:t>
      </w:r>
    </w:p>
    <w:p w14:paraId="5AC06551">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Type of Destructive Agent: Explosion wave (seismic)- warhead- sound wave.</w:t>
      </w:r>
    </w:p>
    <w:p w14:paraId="1FED3C76">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Precise Situation of Damage: Site/Precinct, Main Structure and architectural decorations.</w:t>
      </w:r>
    </w:p>
    <w:p w14:paraId="2ABDCB8B">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Level of Destruction: Physical and structural destructionand architectural decorations.</w:t>
      </w:r>
    </w:p>
    <w:p w14:paraId="1CD7DD55">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Type of Damage:</w:t>
      </w:r>
    </w:p>
    <w:p w14:paraId="0B3FC17E">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320 doors, windows and historic Eorosi.</w:t>
      </w:r>
    </w:p>
    <w:p w14:paraId="76353F73">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Collapse and cracking of 250 square meters of historic tilework.</w:t>
      </w:r>
    </w:p>
    <w:p w14:paraId="56AF2415">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1,100 square meters of historic Qajar mirrorwork and exquisite stucco.</w:t>
      </w:r>
    </w:p>
    <w:p w14:paraId="507C7745">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100 square meters of murals in the main hall.</w:t>
      </w:r>
    </w:p>
    <w:p w14:paraId="6B36BFDB">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2,500 square meters of roof gable sheets.</w:t>
      </w:r>
    </w:p>
    <w:p w14:paraId="4B9DA16B">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30 historic chandeliers.</w:t>
      </w:r>
    </w:p>
    <w:p w14:paraId="3965503C">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2,000 square meters of wooden roof trusses.</w:t>
      </w:r>
    </w:p>
    <w:p w14:paraId="089F91BF">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1,000 square meters of wooden roof framing.</w:t>
      </w:r>
    </w:p>
    <w:p w14:paraId="5261AC34">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Damage to 5 historic coffeehouse paintings.</w:t>
      </w:r>
    </w:p>
    <w:p w14:paraId="0821B5BF">
      <w:pPr>
        <w:spacing w:line="240" w:lineRule="auto"/>
        <w:rPr>
          <w:rFonts w:hint="default" w:ascii="Times New Roman Regular" w:hAnsi="Times New Roman Regular" w:cs="Times New Roman Regular"/>
          <w:i/>
          <w:iCs/>
          <w:sz w:val="21"/>
          <w:szCs w:val="21"/>
          <w:lang w:val="en-US" w:eastAsia="zh-CN"/>
        </w:rPr>
      </w:pPr>
    </w:p>
    <w:p w14:paraId="373A2F37">
      <w:pPr>
        <w:spacing w:line="240" w:lineRule="auto"/>
        <w:rPr>
          <w:rFonts w:hint="default" w:ascii="Times New Roman Regular" w:hAnsi="Times New Roman Regular" w:cs="Times New Roman Regular"/>
          <w:i/>
          <w:iCs/>
          <w:sz w:val="21"/>
          <w:szCs w:val="21"/>
          <w:lang w:val="en-US" w:eastAsia="zh-CN"/>
        </w:rPr>
      </w:pPr>
      <w:r>
        <w:rPr>
          <w:rFonts w:hint="default" w:ascii="Times New Roman Regular" w:hAnsi="Times New Roman Regular" w:cs="Times New Roman Regular"/>
          <w:i/>
          <w:iCs/>
          <w:sz w:val="21"/>
          <w:szCs w:val="21"/>
          <w:lang w:val="en-US" w:eastAsia="zh-CN"/>
        </w:rPr>
        <w:t>The damage inflicted on Iran’s World Heritage Sites—including Golestan Palace, Chehel Sotoun Palace, Meidan Emam (Imam Square) in Isfahan, and other structures on UNESCO’s Tentative List—not only harms the historical, architectural, and artistic value of these unique works but also threatens a shared treasure for all humanity.</w:t>
      </w:r>
    </w:p>
    <w:p w14:paraId="25899078">
      <w:pPr>
        <w:spacing w:line="240" w:lineRule="auto"/>
        <w:rPr>
          <w:rFonts w:hint="default" w:ascii="Times New Roman Regular" w:hAnsi="Times New Roman Regular" w:cs="Times New Roman Regular"/>
          <w:i/>
          <w:iCs/>
          <w:sz w:val="21"/>
          <w:szCs w:val="21"/>
          <w:lang w:val="en-US" w:eastAsia="zh-CN"/>
        </w:rPr>
      </w:pPr>
    </w:p>
    <w:p w14:paraId="5CECA013">
      <w:pPr>
        <w:keepNext w:val="0"/>
        <w:keepLines w:val="0"/>
        <w:widowControl/>
        <w:suppressLineNumbers w:val="0"/>
        <w:spacing w:line="240" w:lineRule="auto"/>
        <w:jc w:val="left"/>
        <w:rPr>
          <w:rFonts w:hint="default" w:ascii="Times New Roman Regular" w:hAnsi="Times New Roman Regular" w:cs="Times New Roman Regular"/>
          <w:i/>
          <w:iCs/>
          <w:sz w:val="21"/>
          <w:szCs w:val="21"/>
        </w:rPr>
      </w:pPr>
      <w:r>
        <w:rPr>
          <w:rFonts w:hint="default" w:ascii="Times New Roman Regular" w:hAnsi="Times New Roman Regular" w:eastAsia="宋体" w:cs="Times New Roman Regular"/>
          <w:i/>
          <w:iCs/>
          <w:kern w:val="0"/>
          <w:sz w:val="21"/>
          <w:szCs w:val="21"/>
          <w:lang w:val="en-US" w:eastAsia="zh-CN" w:bidi="ar"/>
        </w:rPr>
        <w:t>The damage inflicted on Iran’s World Heritage Sites—including Golestan Palace, Chehel Sotoun Palace, Meidan Emam (Imam Square) in Isfahan, and other structures on UNESCO’s Tentative List—not only harms the historical, architectural, and artistic value of these unique works but also threatens a shared treasure for all humanity.</w:t>
      </w:r>
    </w:p>
    <w:p w14:paraId="4CC55A33">
      <w:pPr>
        <w:spacing w:line="240" w:lineRule="auto"/>
        <w:rPr>
          <w:rFonts w:hint="default"/>
          <w:i/>
          <w:iCs/>
          <w:sz w:val="21"/>
          <w:szCs w:val="21"/>
          <w:lang w:val="en-US" w:eastAsia="zh-CN"/>
        </w:rPr>
      </w:pPr>
    </w:p>
    <w:p w14:paraId="1DD0BA74">
      <w:pPr>
        <w:spacing w:line="240" w:lineRule="auto"/>
        <w:rPr>
          <w:rFonts w:hint="default"/>
          <w:i/>
          <w:iCs/>
          <w:sz w:val="21"/>
          <w:szCs w:val="21"/>
          <w:lang w:val="en-US" w:eastAsia="zh-CN"/>
        </w:rPr>
      </w:pPr>
    </w:p>
    <w:p w14:paraId="09123021">
      <w:pPr>
        <w:keepNext w:val="0"/>
        <w:keepLines w:val="0"/>
        <w:widowControl/>
        <w:suppressLineNumbers w:val="0"/>
        <w:spacing w:line="240" w:lineRule="auto"/>
        <w:jc w:val="left"/>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kern w:val="0"/>
          <w:sz w:val="21"/>
          <w:szCs w:val="21"/>
          <w:lang w:val="en-US" w:eastAsia="zh-CN" w:bidi="ar"/>
        </w:rPr>
        <w:t>阿尔格广场和戈勒斯坦宫周边发生的大规模爆炸，其强度和波及范围如此之大，以至于即使事先采取了保护措施，也无法完全保护这些建筑脆弱的实体结构免受破坏性冲击波的影响。尽管戈勒斯坦宫和德黑兰阿尔格地区处于此次事件的中心，但其他省份也受到了严重影响。</w:t>
      </w:r>
    </w:p>
    <w:p w14:paraId="16FD3530">
      <w:pPr>
        <w:spacing w:line="240" w:lineRule="auto"/>
        <w:rPr>
          <w:rFonts w:hint="eastAsia" w:asciiTheme="minorEastAsia" w:hAnsiTheme="minorEastAsia" w:eastAsiaTheme="minorEastAsia" w:cstheme="minorEastAsia"/>
          <w:i/>
          <w:iCs/>
          <w:sz w:val="21"/>
          <w:szCs w:val="21"/>
          <w:lang w:val="en-US" w:eastAsia="zh-CN"/>
        </w:rPr>
      </w:pPr>
    </w:p>
    <w:p w14:paraId="5D83C0F4">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戈勒斯坦宫世界遗产地。世界遗产地。</w:t>
      </w:r>
    </w:p>
    <w:p w14:paraId="6DF1AD59">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登记／列入编号：2013年列入世界遗产名录。</w:t>
      </w:r>
    </w:p>
    <w:p w14:paraId="4F232CA9">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名称及年代：始建于萨法维时期。</w:t>
      </w:r>
    </w:p>
    <w:p w14:paraId="1AB8D79C">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列入状态：联合国教科文组织世界遗产。</w:t>
      </w:r>
    </w:p>
    <w:p w14:paraId="5F5201BE">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功能：宫殿博物馆。</w:t>
      </w:r>
    </w:p>
    <w:p w14:paraId="54830BCF">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事件发生日期及时间：2026年3月1日，22时。</w:t>
      </w:r>
    </w:p>
    <w:p w14:paraId="2C8B571F">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破坏因素类型：爆炸冲击波（震动）、弹头、声波。</w:t>
      </w:r>
    </w:p>
    <w:p w14:paraId="55E72662">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具体受损位置：遗址／建筑区域、主体结构以及建筑装饰。</w:t>
      </w:r>
    </w:p>
    <w:p w14:paraId="3AA30706">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损毁程度：实体和结构性破坏，以及建筑装饰损坏。</w:t>
      </w:r>
    </w:p>
    <w:p w14:paraId="5C26A6DE">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受损类型：</w:t>
      </w:r>
    </w:p>
    <w:p w14:paraId="10C04CF1">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320扇门、窗以及历史传统彩色玻璃窗（Eorosi）受损。</w:t>
      </w:r>
    </w:p>
    <w:p w14:paraId="7FD42143">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250平方米历史瓷砖装饰发生坍塌和开裂。</w:t>
      </w:r>
    </w:p>
    <w:p w14:paraId="18E0D065">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1100平方米历史恺加王朝镜面装饰及精细灰泥装饰受损。</w:t>
      </w:r>
    </w:p>
    <w:p w14:paraId="149A5D48">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主厅内100平方米壁画受损。</w:t>
      </w:r>
    </w:p>
    <w:p w14:paraId="756485F8">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2500平方米屋顶山墙板材受损。</w:t>
      </w:r>
    </w:p>
    <w:p w14:paraId="4999ECA9">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30盏历史吊灯受损。</w:t>
      </w:r>
    </w:p>
    <w:p w14:paraId="76FCEF39">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2000平方米木质屋顶桁架受损。</w:t>
      </w:r>
    </w:p>
    <w:p w14:paraId="38B81C2B">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1000平方米木质屋顶框架受损。</w:t>
      </w:r>
    </w:p>
    <w:p w14:paraId="724C1E65">
      <w:pPr>
        <w:pStyle w:val="7"/>
        <w:keepNext w:val="0"/>
        <w:keepLines w:val="0"/>
        <w:widowControl/>
        <w:suppressLineNumbers w:val="0"/>
        <w:spacing w:line="240" w:lineRule="auto"/>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sz w:val="21"/>
          <w:szCs w:val="21"/>
        </w:rPr>
        <w:t>5幅历史咖啡馆绘画受损。</w:t>
      </w:r>
    </w:p>
    <w:p w14:paraId="389F4A50">
      <w:pPr>
        <w:keepNext w:val="0"/>
        <w:keepLines w:val="0"/>
        <w:widowControl/>
        <w:suppressLineNumbers w:val="0"/>
        <w:spacing w:line="240" w:lineRule="auto"/>
        <w:jc w:val="left"/>
        <w:rPr>
          <w:rFonts w:hint="eastAsia" w:asciiTheme="minorEastAsia" w:hAnsiTheme="minorEastAsia" w:eastAsiaTheme="minorEastAsia" w:cstheme="minorEastAsia"/>
          <w:i/>
          <w:iCs/>
          <w:sz w:val="21"/>
          <w:szCs w:val="21"/>
        </w:rPr>
      </w:pPr>
      <w:r>
        <w:rPr>
          <w:rFonts w:hint="eastAsia" w:asciiTheme="minorEastAsia" w:hAnsiTheme="minorEastAsia" w:eastAsiaTheme="minorEastAsia" w:cstheme="minorEastAsia"/>
          <w:i/>
          <w:iCs/>
          <w:kern w:val="0"/>
          <w:sz w:val="21"/>
          <w:szCs w:val="21"/>
          <w:lang w:val="en-US" w:eastAsia="zh-CN" w:bidi="ar"/>
        </w:rPr>
        <w:t>报告还指出，对伊朗世界遗产造成的损害——包括戈勒斯坦宫、四十柱宫、伊斯法罕伊玛目广场以及联合国教科文组织世界遗产预备名单中的其他建筑——不仅损害了这些独特遗产的历史、建筑和艺术价值，也对全人类共同拥有的文化财富构成威胁。</w:t>
      </w:r>
    </w:p>
    <w:p w14:paraId="047805B9">
      <w:pPr>
        <w:spacing w:line="240" w:lineRule="auto"/>
        <w:rPr>
          <w:rFonts w:hint="eastAsia" w:asciiTheme="minorEastAsia" w:hAnsiTheme="minorEastAsia" w:eastAsiaTheme="minorEastAsia" w:cstheme="minorEastAsia"/>
          <w:i/>
          <w:iCs/>
          <w:sz w:val="21"/>
          <w:szCs w:val="21"/>
          <w:lang w:val="en-US" w:eastAsia="zh-CN"/>
        </w:rPr>
      </w:pPr>
    </w:p>
    <w:p w14:paraId="41CEB3B9">
      <w:pPr>
        <w:spacing w:line="240" w:lineRule="auto"/>
        <w:rPr>
          <w:rFonts w:hint="default"/>
          <w:i/>
          <w:iCs/>
          <w:sz w:val="21"/>
          <w:szCs w:val="21"/>
          <w:lang w:val="en-US" w:eastAsia="zh-CN"/>
        </w:rPr>
      </w:pPr>
    </w:p>
    <w:p w14:paraId="0DC8F57A">
      <w:pPr>
        <w:pStyle w:val="4"/>
        <w:bidi w:val="0"/>
        <w:rPr>
          <w:rFonts w:hint="eastAsia"/>
          <w:lang w:val="en-US" w:eastAsia="zh-CN"/>
        </w:rPr>
      </w:pPr>
      <w:r>
        <w:rPr>
          <w:rFonts w:hint="eastAsia"/>
          <w:lang w:val="en-US" w:eastAsia="zh-CN"/>
        </w:rPr>
        <w:t>基本受损情况 参考文段：</w:t>
      </w:r>
    </w:p>
    <w:p w14:paraId="6E1A7930">
      <w:pPr>
        <w:rPr>
          <w:rFonts w:hint="default"/>
          <w:lang w:val="en-US" w:eastAsia="zh-CN"/>
        </w:rPr>
      </w:pPr>
    </w:p>
    <w:p w14:paraId="1AE65F08">
      <w:pPr>
        <w:rPr>
          <w:rFonts w:hint="default"/>
          <w:i/>
          <w:iCs/>
          <w:lang w:val="en-US" w:eastAsia="zh-CN"/>
        </w:rPr>
      </w:pPr>
      <w:r>
        <w:rPr>
          <w:rFonts w:hint="default"/>
          <w:i/>
          <w:iCs/>
          <w:lang w:val="en-US" w:eastAsia="zh-CN"/>
        </w:rPr>
        <w:t>a UNESCO World Heritage site, was reportedly damaged by debris and the shock wave following an airstrike to the Arag Square, located in the buffer zone of the site in the Iranian capital.</w:t>
      </w:r>
    </w:p>
    <w:p w14:paraId="69A84F35">
      <w:pPr>
        <w:rPr>
          <w:rFonts w:hint="default"/>
          <w:lang w:val="en-US" w:eastAsia="zh-CN"/>
        </w:rPr>
      </w:pPr>
    </w:p>
    <w:p w14:paraId="7B607B2D">
      <w:pPr>
        <w:rPr>
          <w:rFonts w:hint="default"/>
          <w:i/>
          <w:iCs/>
          <w:lang w:val="en-US" w:eastAsia="zh-CN"/>
        </w:rPr>
      </w:pPr>
      <w:r>
        <w:rPr>
          <w:rFonts w:hint="default"/>
          <w:i/>
          <w:iCs/>
          <w:lang w:val="en-US" w:eastAsia="zh-CN"/>
        </w:rPr>
        <w:t>德黑兰古勒斯坦宫因伊朗首都该遗产缓冲区内阿拉格广场遭遇空袭，受到冲击波与散落残骸的破坏。</w:t>
      </w:r>
    </w:p>
    <w:p w14:paraId="5D5FA405">
      <w:pPr>
        <w:rPr>
          <w:rFonts w:hint="default"/>
          <w:lang w:val="en-US" w:eastAsia="zh-CN"/>
        </w:rPr>
      </w:pPr>
    </w:p>
    <w:p w14:paraId="5A6A6431">
      <w:pPr>
        <w:rPr>
          <w:rFonts w:hint="default"/>
          <w:lang w:val="en-US" w:eastAsia="zh-CN"/>
        </w:rPr>
      </w:pPr>
    </w:p>
    <w:p w14:paraId="09A2205B">
      <w:pPr>
        <w:pStyle w:val="4"/>
        <w:bidi w:val="0"/>
        <w:jc w:val="left"/>
        <w:rPr>
          <w:rFonts w:hint="eastAsia" w:ascii="宋体" w:hAnsi="宋体" w:eastAsia="宋体" w:cs="宋体"/>
          <w:lang w:val="en-US" w:eastAsia="zh-CN"/>
        </w:rPr>
      </w:pPr>
      <w:r>
        <w:rPr>
          <w:rFonts w:hint="eastAsia" w:ascii="宋体" w:hAnsi="宋体" w:eastAsia="宋体" w:cs="宋体"/>
          <w:lang w:val="en-US" w:eastAsia="zh-CN"/>
        </w:rPr>
        <w:t>具体受损情况 参考文段：</w:t>
      </w:r>
    </w:p>
    <w:p w14:paraId="5C0DB60C">
      <w:pPr>
        <w:pStyle w:val="7"/>
        <w:keepNext w:val="0"/>
        <w:keepLines w:val="0"/>
        <w:widowControl/>
        <w:suppressLineNumbers w:val="0"/>
      </w:pPr>
    </w:p>
    <w:p w14:paraId="2D058F9F">
      <w:pPr>
        <w:rPr>
          <w:rFonts w:hint="default"/>
          <w:lang w:val="en-US" w:eastAsia="zh-CN"/>
        </w:rPr>
      </w:pPr>
    </w:p>
    <w:p w14:paraId="52AADDC9">
      <w:pPr>
        <w:keepNext w:val="0"/>
        <w:keepLines w:val="0"/>
        <w:widowControl/>
        <w:suppressLineNumbers w:val="0"/>
        <w:jc w:val="left"/>
      </w:pPr>
      <w:r>
        <w:rPr>
          <w:rFonts w:ascii="宋体" w:hAnsi="宋体" w:eastAsia="宋体" w:cs="宋体"/>
          <w:kern w:val="0"/>
          <w:sz w:val="24"/>
          <w:szCs w:val="24"/>
          <w:lang w:val="en-US" w:eastAsia="zh-CN" w:bidi="ar"/>
        </w:rPr>
        <w:t xml:space="preserve">The extensive explosions in the surroundings of Arg Square and Golestan Palace occurred with such intensity and scope that even prior protective measures were not able to fully protect the fragile physical structure of these buildings against the destructive waves. Golestan Palace was affected on 1 March 2026 at 22:00, with the destructive agents identified as explosion waves (seismic), warhead, and sound waves. The damage involved the site/precinct, main structure, and architectural decorations, and the level of destruction was described as physical and structural destruction as well as damage to architectural decorations. Specifically, damage to 320 doors, windows and historic Eorosi; collapse and cracking of 250 square meters of historic tilework; damage to 1,100 square meters of historic Qajar mirrorwork and exquisite stucco; damage to 100 square meters of murals in the main hall; damage to 2,500 square meters of roof gable sheets; damage to 30 historic chandeliers; damage to 2,000 square meters of wooden roof trusses; damage to 1,000 square meters of wooden roof framing; and damage to 5 historic coffeehouse paintings. </w:t>
      </w:r>
      <w:r>
        <w:rPr>
          <w:rFonts w:hint="eastAsia" w:ascii="宋体" w:hAnsi="宋体" w:eastAsia="宋体" w:cs="宋体"/>
          <w:kern w:val="0"/>
          <w:sz w:val="24"/>
          <w:szCs w:val="24"/>
          <w:lang w:val="en-US" w:eastAsia="zh-CN" w:bidi="ar"/>
        </w:rPr>
        <w:t>T</w:t>
      </w:r>
      <w:r>
        <w:rPr>
          <w:rFonts w:ascii="宋体" w:hAnsi="宋体" w:eastAsia="宋体" w:cs="宋体"/>
          <w:kern w:val="0"/>
          <w:sz w:val="24"/>
          <w:szCs w:val="24"/>
          <w:lang w:val="en-US" w:eastAsia="zh-CN" w:bidi="ar"/>
        </w:rPr>
        <w:t>he damage inflicted on Heritage Sites, harms the historical, architectural, and artistic value of these unique works and threatens a shared treasure for all humanity.</w:t>
      </w:r>
    </w:p>
    <w:p w14:paraId="0F541D6E">
      <w:pPr>
        <w:rPr>
          <w:rFonts w:hint="default"/>
          <w:lang w:val="en-US" w:eastAsia="zh-CN"/>
        </w:rPr>
      </w:pPr>
    </w:p>
    <w:p w14:paraId="32C06B21">
      <w:pPr>
        <w:rPr>
          <w:rFonts w:hint="default"/>
          <w:lang w:val="en-US" w:eastAsia="zh-CN"/>
        </w:rPr>
      </w:pPr>
    </w:p>
    <w:p w14:paraId="6E82BA71">
      <w:pPr>
        <w:rPr>
          <w:rFonts w:hint="default"/>
          <w:lang w:val="en-US" w:eastAsia="zh-CN"/>
        </w:rPr>
      </w:pPr>
      <w:r>
        <w:rPr>
          <w:rFonts w:hint="default"/>
          <w:lang w:val="en-US" w:eastAsia="zh-CN"/>
        </w:rPr>
        <w:t>阿拉格广场及古勒斯坦宫周边发生了大规模爆炸，爆炸强度高、波及范围广，即便事先已经采取防护措施，依旧无法充分保护这些建筑脆弱的实体结构，使其免遭冲击波的破坏。古勒斯坦宫于 2026 年 3 月 1 日 22 时遭到波及，经确认，破坏来源为爆炸地震冲击波、战斗部冲击以及声波震荡。受损范围涵盖遗产场地与保护区、主体建筑结构以及各类建筑装饰；损毁程度表现为建筑实体、局部结构损毁，同时建筑装饰也遭到破坏。具体来看，320 扇门、窗户以及历史花格窗（Eorosi）受损；250 平方米的历史瓷砖饰面坍塌、开裂；1100 平方米卡扎尔王朝时期的镜面镶嵌装饰与精美灰塑受损；主大厅 100 平方米壁画遭到损毁；2500 平方米屋顶山墙面板损坏；30 件古式吊灯损毁；2000 平方米木质屋顶桁架受损；1000 平方米木质屋顶框架受损；另有 5 幅历史茶室题材绘画遭到破坏。世界遗产所遭受的损害，不仅破坏了这些独一无二遗存的历史、建筑与艺术价值，也对全人类的共同瑰宝构成威胁。</w:t>
      </w:r>
    </w:p>
    <w:p w14:paraId="30619F98">
      <w:pPr>
        <w:rPr>
          <w:rFonts w:hint="default"/>
          <w:lang w:val="en-US" w:eastAsia="zh-CN"/>
        </w:rPr>
      </w:pPr>
    </w:p>
    <w:p w14:paraId="4CE95988">
      <w:pPr>
        <w:rPr>
          <w:rFonts w:hint="default"/>
          <w:lang w:val="en-US" w:eastAsia="zh-CN"/>
        </w:rPr>
      </w:pPr>
    </w:p>
    <w:p w14:paraId="1FE96BCC">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7DDF90"/>
    <w:rsid w:val="677DDF90"/>
    <w:rsid w:val="7FDF4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2026-10-08T22:55:00Z</dcterms:created>
  <dc:creator>charl</dc:creator>
  <cp:lastModifiedBy>徐总请上座</cp:lastModifiedBy>
  <dcterms:modified xsi:type="dcterms:W3CDTF">2026-10-09T16:22:25Z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EC775D309420E96141A4C86AB9753162_43</vt:lpwstr>
  </property>
</Properties>
</file>