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Prediction Markets</w:t>
      </w:r>
    </w:p>
    <w:p>
      <w:pPr>
        <w:spacing w:after="120" w:line="276"/>
      </w:pPr>
      <w:r>
        <w:rPr>
          <w:b/>
          <w:bCs/>
          <w:sz w:val="24"/>
          <w:szCs w:val="24"/>
        </w:rPr>
        <w:t xml:space="preserve">Order Book Mechanics and Symmetric Quoting</w:t>
      </w:r>
    </w:p>
    <w:p>
      <w:pPr>
        <w:spacing w:after="120" w:line="276"/>
      </w:pPr>
      <w:r>
        <w:rPr>
          <w:i/>
          <w:iCs/>
          <w:color w:val="595959"/>
          <w:sz w:val="18"/>
          <w:szCs w:val="18"/>
        </w:rPr>
        <w:t xml:space="preserve">Companion note to “Contract Rules and Mechanics”</w:t>
      </w:r>
    </w:p>
    <w:p>
      <w:pPr>
        <w:pStyle w:val="Heading1"/>
      </w:pPr>
      <w:r>
        <w:t xml:space="preserve">1.  The order book</w:t>
      </w:r>
    </w:p>
    <w:p>
      <w:pPr>
        <w:spacing w:after="120" w:line="276"/>
      </w:pPr>
      <w:r>
        <w:t xml:space="preserve">On prediction-market venues such as Polymarket, Kalshi, predict.fun, Opinion, and Limitless, each sub-market has its own central limit order book. The book records resting limit orders on two sides:</w:t>
      </w:r>
    </w:p>
    <w:p>
      <w:pPr>
        <w:pStyle w:val="ListParagraph"/>
        <w:numPr>
          <w:ilvl w:val="0"/>
          <w:numId w:val="2"/>
        </w:numPr>
        <w:spacing w:after="80" w:line="270"/>
      </w:pPr>
      <w:r>
        <w:rPr>
          <w:b/>
          <w:bCs/>
        </w:rPr>
        <w:t xml:space="preserve">Bids</w:t>
      </w:r>
      <w:r>
        <w:t xml:space="preserve"> — offers to buy YES contracts, ranked from highest price (the best bid) downward.</w:t>
      </w:r>
    </w:p>
    <w:p>
      <w:pPr>
        <w:pStyle w:val="ListParagraph"/>
        <w:numPr>
          <w:ilvl w:val="0"/>
          <w:numId w:val="2"/>
        </w:numPr>
        <w:spacing w:after="80" w:line="270"/>
      </w:pPr>
      <w:r>
        <w:rPr>
          <w:b/>
          <w:bCs/>
        </w:rPr>
        <w:t xml:space="preserve">Asks</w:t>
      </w:r>
      <w:r>
        <w:t xml:space="preserve"> — offers to sell YES contracts, ranked from lowest price (the best ask) upward.</w:t>
      </w:r>
    </w:p>
    <w:p>
      <w:pPr>
        <w:spacing w:after="120" w:line="276"/>
      </w:pPr>
      <w:r>
        <w:t xml:space="preserve">Orders are matched by price-time priority: an incoming marketable order fills against the best price first, then deeper levels. The difference between the best ask and the best bid is the spread. A trader who needs more size than rests at the best level “walks the book,” paying progressively worse prices at each deeper level until the order is filled. Prices are stated in cents (1–99¢).</w:t>
      </w:r>
    </w:p>
    <w:p>
      <w:pPr>
        <w:pStyle w:val="Heading1"/>
      </w:pPr>
      <w:r>
        <w:t xml:space="preserve">2.  The binary identity: YES + NO = $1</w:t>
      </w:r>
    </w:p>
    <w:p>
      <w:pPr>
        <w:spacing w:after="120" w:line="276"/>
      </w:pPr>
      <w:r>
        <w:t xml:space="preserve">Because exactly one side of a sub-market pays $1.00 at resolution, a YES contract and a NO contract of the same sub-market are economic complements. Holding one of each guarantees a $1.00 redemption in every outcome. This single identity is the foundation of how the two sides are quoted.</w:t>
      </w:r>
    </w:p>
    <w:p>
      <w:pPr>
        <w:pStyle w:val="Heading1"/>
      </w:pPr>
      <w:r>
        <w:t xml:space="preserve">3.  One book, two contracts: the derived NO book</w:t>
      </w:r>
    </w:p>
    <w:p>
      <w:pPr>
        <w:spacing w:after="120" w:line="276"/>
      </w:pPr>
      <w:r>
        <w:t xml:space="preserve">Many platforms do not maintain a separate, independently quoted book for NO. Instead, NO liquidity is created from the YES book by minting fully-collateralized pairs:</w:t>
      </w:r>
    </w:p>
    <w:p>
      <w:pPr>
        <w:pStyle w:val="ListParagraph"/>
        <w:numPr>
          <w:ilvl w:val="0"/>
          <w:numId w:val="2"/>
        </w:numPr>
        <w:spacing w:after="80" w:line="270"/>
      </w:pPr>
      <w:r>
        <w:t xml:space="preserve">Buying a NO contract at price q is economically identical to selling a YES contract at price (100 − q). The platform takes $1.00 of collateral, hands the buyer a NO contract, and routes the complementary YES contract to the resting YES bidder.</w:t>
      </w:r>
    </w:p>
    <w:p>
      <w:pPr>
        <w:pStyle w:val="ListParagraph"/>
        <w:numPr>
          <w:ilvl w:val="0"/>
          <w:numId w:val="2"/>
        </w:numPr>
        <w:spacing w:after="80" w:line="270"/>
      </w:pPr>
      <w:r>
        <w:t xml:space="preserve">Selling a NO contract is identical to buying a YES contract at the mirrored price.</w:t>
      </w:r>
    </w:p>
    <w:p>
      <w:pPr>
        <w:spacing w:after="120" w:line="276"/>
      </w:pPr>
      <w:r>
        <w:t xml:space="preserve">Consequently the entire NO book is a deterministic reflection of the YES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before="0"/>
            </w:pPr>
            <w:r>
              <w:rPr>
                <w:b/>
                <w:bCs/>
                <w:color w:val="FFFFFF"/>
                <w:sz w:val="20"/>
                <w:szCs w:val="20"/>
              </w:rPr>
              <w:t xml:space="preserve">Quantity</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before="0"/>
            </w:pPr>
            <w:r>
              <w:rPr>
                <w:b/>
                <w:bCs/>
                <w:color w:val="FFFFFF"/>
                <w:sz w:val="20"/>
                <w:szCs w:val="20"/>
              </w:rPr>
              <w:t xml:space="preserve">Formula</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before="0"/>
            </w:pPr>
            <w:r>
              <w:rPr>
                <w:b/>
                <w:bCs/>
                <w:color w:val="FFFFFF"/>
                <w:sz w:val="20"/>
                <w:szCs w:val="20"/>
              </w:rPr>
              <w:t xml:space="preserve">Size available</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Best NO ask (cost to buy NO)</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100 − (best YES bid)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 size resting at that YES bid</w:t>
            </w:r>
          </w:p>
        </w:tc>
      </w:tr>
      <w:tr>
        <w:trPr>
          <w:tblHeader w:val="false"/>
        </w:trPr>
        <w:tc>
          <w:tcPr>
            <w:tcW w:type="dxa" w:w="312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pPr>
            <w:r>
              <w:rPr>
                <w:b w:val="false"/>
                <w:bCs w:val="false"/>
                <w:color w:val="000000"/>
                <w:sz w:val="20"/>
                <w:szCs w:val="20"/>
              </w:rPr>
              <w:t xml:space="preserve">Best NO bid (proceeds to sell NO)</w:t>
            </w:r>
          </w:p>
        </w:tc>
        <w:tc>
          <w:tcPr>
            <w:tcW w:type="dxa" w:w="312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pPr>
            <w:r>
              <w:rPr>
                <w:b w:val="false"/>
                <w:bCs w:val="false"/>
                <w:color w:val="000000"/>
                <w:sz w:val="20"/>
                <w:szCs w:val="20"/>
              </w:rPr>
              <w:t xml:space="preserve">100 − (best YES ask)</w:t>
            </w:r>
          </w:p>
        </w:tc>
        <w:tc>
          <w:tcPr>
            <w:tcW w:type="dxa" w:w="3120"/>
            <w:tcBorders>
              <w:top w:val="single" w:color="BFBFBF" w:sz="1"/>
              <w:left w:val="single" w:color="BFBFBF" w:sz="1"/>
              <w:bottom w:val="single" w:color="BFBFBF" w:sz="1"/>
              <w:right w:val="single" w:color="BFBFBF" w:sz="1"/>
            </w:tcBorders>
            <w:shd w:fill="F2F5FA" w:val="clear"/>
            <w:tcMar>
              <w:top w:type="dxa" w:w="60"/>
              <w:left w:type="dxa" w:w="110"/>
              <w:bottom w:type="dxa" w:w="60"/>
              <w:right w:type="dxa" w:w="110"/>
            </w:tcMar>
            <w:vAlign w:val="center"/>
          </w:tcPr>
          <w:p>
            <w:pPr>
              <w:spacing w:after="0" w:before="0"/>
            </w:pPr>
            <w:r>
              <w:rPr>
                <w:b w:val="false"/>
                <w:bCs w:val="false"/>
                <w:color w:val="000000"/>
                <w:sz w:val="20"/>
                <w:szCs w:val="20"/>
              </w:rPr>
              <w:t xml:space="preserve">= size resting at that YES ask</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k-th NO ask level</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100 − (k-th YES bid)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before="0"/>
            </w:pPr>
            <w:r>
              <w:rPr>
                <w:b w:val="false"/>
                <w:bCs w:val="false"/>
                <w:color w:val="000000"/>
                <w:sz w:val="20"/>
                <w:szCs w:val="20"/>
              </w:rPr>
              <w:t xml:space="preserve">= size at the k-th YES bid</w:t>
            </w:r>
          </w:p>
        </w:tc>
      </w:tr>
    </w:tbl>
    <w:p>
      <w:pPr>
        <w:spacing w:after="120" w:line="276"/>
      </w:pPr>
      <w:r>
        <w:rPr>
          <w:b/>
          <w:bCs/>
        </w:rPr>
        <w:t xml:space="preserve">Worked example. </w:t>
      </w:r>
      <w:r>
        <w:t xml:space="preserve">Take the “≥ 50 bps” sub-market of the Fed market. Suppose its YES book shows a best bid of 60¢ for 400 contracts and a best ask of 63¢ for 500 contracts. Then a trader can buy NO at 100 − 60 = 40¢ for up to 400 contracts, and sell NO at 100 − 63 = 37¢ for up to 500 contracts. No NO orders are posted anywhere; both figures are read directly off the YES book.</w:t>
      </w:r>
    </w:p>
    <w:p>
      <w:pPr>
        <w:spacing w:after="120" w:line="276"/>
      </w:pPr>
      <w:r>
        <w:rPr>
          <w:i/>
          <w:iCs/>
        </w:rPr>
        <w:t xml:space="preserve">This is what a “symmetric order book” means: the NO book is the mirror image of the YES book about the 50¢ axis, with matching depth at each mirrored level. A participant can reconstruct the full NO book from the YES book alone.</w:t>
      </w:r>
    </w:p>
    <w:p>
      <w:pPr>
        <w:pStyle w:val="Heading1"/>
      </w:pPr>
      <w:r>
        <w:t xml:space="preserve">4.  Why a market maker chooses a symmetric book</w:t>
      </w:r>
    </w:p>
    <w:p>
      <w:pPr>
        <w:spacing w:after="120" w:line="276"/>
      </w:pPr>
      <w:r>
        <w:t xml:space="preserve">Quoting NO as a strict reflection of YES is not merely a convenience; it is the economically rational design for the contract-issuing market maker (“MM”):</w:t>
      </w:r>
    </w:p>
    <w:p>
      <w:pPr>
        <w:pStyle w:val="ListParagraph"/>
        <w:numPr>
          <w:ilvl w:val="0"/>
          <w:numId w:val="3"/>
        </w:numPr>
        <w:spacing w:after="80" w:line="270"/>
      </w:pPr>
      <w:r>
        <w:rPr>
          <w:b/>
          <w:bCs/>
        </w:rPr>
        <w:t xml:space="preserve">Capital efficiency. </w:t>
      </w:r>
      <w:r>
        <w:t xml:space="preserve">A single $1.00 of collateral backs one YES/NO pair and therefore serves a YES buyer and a NO buyer simultaneously. Two independent books would tie up collateral twice over for the same economic exposure.</w:t>
      </w:r>
    </w:p>
    <w:p>
      <w:pPr>
        <w:pStyle w:val="ListParagraph"/>
        <w:numPr>
          <w:ilvl w:val="0"/>
          <w:numId w:val="3"/>
        </w:numPr>
        <w:spacing w:after="80" w:line="270"/>
      </w:pPr>
      <w:r>
        <w:rPr>
          <w:b/>
          <w:bCs/>
        </w:rPr>
        <w:t xml:space="preserve">Automatic two-sided, two-contract coverage. </w:t>
      </w:r>
      <w:r>
        <w:t xml:space="preserve">One set of YES quotes simultaneously serves four kinds of flow — buying YES, selling YES, buying NO, selling NO — without posting or managing any separate NO orders. Half the orders, half the operational risk, tighter quotes.</w:t>
      </w:r>
    </w:p>
    <w:p>
      <w:pPr>
        <w:pStyle w:val="ListParagraph"/>
        <w:numPr>
          <w:ilvl w:val="0"/>
          <w:numId w:val="3"/>
        </w:numPr>
        <w:spacing w:after="80" w:line="270"/>
      </w:pPr>
      <w:r>
        <w:rPr>
          <w:b/>
          <w:bCs/>
        </w:rPr>
        <w:t xml:space="preserve">Self-consistency / no self-arbitrage. </w:t>
      </w:r>
      <w:r>
        <w:t xml:space="preserve">If YES and NO were quoted on independent books, a careless pair of asks summing to less than 100¢ would let a trader buy YES and NO together for under $1.00 and lock in a riskless gain against the MM. Deriving NO from YES forces price(YES ask) + price(NO ask) = 100¢ + spread ≥ 100¢ within every sub-market, so the MM can never be picked off on its own pair.</w:t>
      </w:r>
    </w:p>
    <w:p>
      <w:pPr>
        <w:pStyle w:val="ListParagraph"/>
        <w:numPr>
          <w:ilvl w:val="0"/>
          <w:numId w:val="3"/>
        </w:numPr>
        <w:spacing w:after="80" w:line="270"/>
      </w:pPr>
      <w:r>
        <w:rPr>
          <w:b/>
          <w:bCs/>
        </w:rPr>
        <w:t xml:space="preserve">Symmetric spread capture and clean inventory. </w:t>
      </w:r>
      <w:r>
        <w:t xml:space="preserve">The MM earns the same half-spread whether the incoming order is YES or NO, and its net exposure collapses to a single number — net YES-equivalent inventory — which is far easier to monitor and hedge than two separate books.</w:t>
      </w:r>
    </w:p>
    <w:p>
      <w:pPr>
        <w:pStyle w:val="Heading1"/>
      </w:pPr>
      <w:r>
        <w:t xml:space="preserve">5.  What symmetry does and does not eliminate</w:t>
      </w:r>
    </w:p>
    <w:p>
      <w:pPr>
        <w:spacing w:after="120" w:line="276"/>
      </w:pPr>
      <w:r>
        <w:t xml:space="preserve">Symmetric quoting guarantees consistency only within a single sub-market’s YES/NO pair. It says nothing about prices across different sub-markets or across different markets and platforms. In particular:</w:t>
      </w:r>
    </w:p>
    <w:p>
      <w:pPr>
        <w:pStyle w:val="ListParagraph"/>
        <w:numPr>
          <w:ilvl w:val="0"/>
          <w:numId w:val="2"/>
        </w:numPr>
        <w:spacing w:after="80" w:line="270"/>
      </w:pPr>
      <w:r>
        <w:t xml:space="preserve">Within one sub-market, YES and NO cannot be bought together for less than $1.00 (after fees, strictly more), so there is no intra-pair arbitrage.</w:t>
      </w:r>
    </w:p>
    <w:p>
      <w:pPr>
        <w:pStyle w:val="ListParagraph"/>
        <w:numPr>
          <w:ilvl w:val="0"/>
          <w:numId w:val="2"/>
        </w:numPr>
        <w:spacing w:after="80" w:line="270"/>
      </w:pPr>
      <w:r>
        <w:t xml:space="preserve">Across sub-markets (e.g., nested thresholds or date cutoffs) and across separately quoted markets or platforms, prices are set by independent books and need not be mutually consistent. Relationships such as “a lower threshold must be at least as expensive as a higher one” are not enforced by any engine and can be violated by the resting quotes.</w:t>
      </w:r>
    </w:p>
    <w:p>
      <w:pPr>
        <w:spacing w:after="120" w:line="276"/>
      </w:pPr>
      <w:r>
        <w:rPr>
          <w:b/>
          <w:bCs/>
        </w:rPr>
        <w:t xml:space="preserve">Practical takeaway. </w:t>
      </w:r>
      <w:r>
        <w:t xml:space="preserve">To express the opposite view, buy the complementary contract at 100 − (best opposing YES quote), sized to the depth resting at that mirrored level. Any riskless opportunity must come from inconsistencies between different sub-markets, markets, or platforms — not from a single sub-market’s internally consistent pair.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4E79"/>
      <w:sz w:val="40"/>
      <w:szCs w:val="40"/>
    </w:rPr>
  </w:style>
  <w:style w:type="paragraph" w:styleId="Heading1">
    <w:name w:val="Heading 1"/>
    <w:basedOn w:val="Normal"/>
    <w:next w:val="Normal"/>
    <w:qFormat/>
    <w:pPr>
      <w:pBdr>
        <w:bottom w:val="single" w:color="1F4E79" w:sz="6" w:space="4"/>
      </w:pBd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2026-06-06T14:09:19.612Z</dcterms:created>
  <dcterms:modified xsi:type="dcterms:W3CDTF">2026-06-06T14:09:19.612Z</dcterms:modified>
</cp:coreProperties>
</file>

<file path=docProps/custom.xml><?xml version="1.0" encoding="utf-8"?>
<Properties xmlns="http://schemas.openxmlformats.org/officeDocument/2006/custom-properties" xmlns:vt="http://schemas.openxmlformats.org/officeDocument/2006/docPropsVTypes"/>
</file>