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Prediction Markets</w:t>
      </w:r>
    </w:p>
    <w:p>
      <w:pPr>
        <w:spacing w:after="120" w:line="276"/>
      </w:pPr>
      <w:r>
        <w:rPr>
          <w:b/>
          <w:bCs/>
          <w:sz w:val="24"/>
          <w:szCs w:val="24"/>
        </w:rPr>
        <w:t xml:space="preserve">Contract Rules and Mechanics — A Primer</w:t>
      </w:r>
    </w:p>
    <w:p>
      <w:pPr>
        <w:spacing w:after="120" w:line="276"/>
      </w:pPr>
      <w:r>
        <w:rPr>
          <w:i/>
          <w:iCs/>
          <w:color w:val="595959"/>
          <w:sz w:val="18"/>
          <w:szCs w:val="18"/>
        </w:rPr>
        <w:t xml:space="preserve">Binary event contracts: structure, trading, and resolution</w:t>
      </w:r>
    </w:p>
    <w:p>
      <w:pPr>
        <w:pStyle w:val="Heading1"/>
      </w:pPr>
      <w:r>
        <w:t xml:space="preserve">1.  Overview</w:t>
      </w:r>
    </w:p>
    <w:p>
      <w:pPr>
        <w:spacing w:after="120" w:line="276"/>
      </w:pPr>
      <w:r>
        <w:t xml:space="preserve">Prediction markets let participants trade contracts whose payoff depends on the outcome of a future, objectively verifiable event. Active venues include Polymarket, Kalshi, predict.fun, Opinion, and Limitless, among others. Interfaces, fee schedules, and settlement currencies differ across platforms, but they share the core mechanics described here: binary YES/NO contracts that settle to a fixed amount, a separate order book for each tradable proposition, and resolution against an objective source. Order-book matching and the relationship between the YES and NO sides are covered in the companion note, “Order Book Mechanics and Symmetric Quoting.”</w:t>
      </w:r>
    </w:p>
    <w:p>
      <w:pPr>
        <w:pStyle w:val="Heading1"/>
      </w:pPr>
      <w:r>
        <w:t xml:space="preserve">2.  Markets and sub-markets</w:t>
      </w:r>
    </w:p>
    <w:p>
      <w:pPr>
        <w:spacing w:after="120" w:line="276"/>
      </w:pPr>
      <w:r>
        <w:rPr>
          <w:b/>
          <w:bCs/>
        </w:rPr>
        <w:t xml:space="preserve">Market. </w:t>
      </w:r>
      <w:r>
        <w:t xml:space="preserve">A market is a single real-world question about a future event — for example, “How much will the Federal Reserve cut its policy rate in 2026?” A market is a container; it does not itself trade.</w:t>
      </w:r>
    </w:p>
    <w:p>
      <w:pPr>
        <w:spacing w:after="120" w:line="276"/>
      </w:pPr>
      <w:r>
        <w:rPr>
          <w:b/>
          <w:bCs/>
        </w:rPr>
        <w:t xml:space="preserve">Sub-market. </w:t>
      </w:r>
      <w:r>
        <w:t xml:space="preserve">A sub-market (also called a contract or outcome) is a specific, independently tradable proposition nested inside a market. Each sub-market resolves to YES or NO on its own and has its own order book. A single market usually lists several sub-markets that together describe the outcome space.</w:t>
      </w:r>
    </w:p>
    <w:p>
      <w:pPr>
        <w:spacing w:after="120" w:line="276"/>
      </w:pPr>
      <w:r>
        <w:t xml:space="preserve">Sub-markets are commonly structured in three ways:</w:t>
      </w:r>
    </w:p>
    <w:p>
      <w:pPr>
        <w:pStyle w:val="ListParagraph"/>
        <w:numPr>
          <w:ilvl w:val="0"/>
          <w:numId w:val="2"/>
        </w:numPr>
        <w:spacing w:after="80" w:line="270"/>
      </w:pPr>
      <w:r>
        <w:rPr>
          <w:b/>
          <w:bCs/>
        </w:rPr>
        <w:t xml:space="preserve">Threshold sub-markets</w:t>
      </w:r>
      <w:r>
        <w:t xml:space="preserve"> — of the form “≥ N”, resolving YES if the measured quantity reaches or exceeds the stated level (e.g., “at least 50 bps of cumulative cuts”). Threshold sub-markets are nested: a lower threshold is satisfied in every state where a higher threshold is satisfied.</w:t>
      </w:r>
    </w:p>
    <w:p>
      <w:pPr>
        <w:pStyle w:val="ListParagraph"/>
        <w:numPr>
          <w:ilvl w:val="0"/>
          <w:numId w:val="2"/>
        </w:numPr>
        <w:spacing w:after="80" w:line="270"/>
      </w:pPr>
      <w:r>
        <w:rPr>
          <w:b/>
          <w:bCs/>
        </w:rPr>
        <w:t xml:space="preserve">Range (bucket) sub-markets</w:t>
      </w:r>
      <w:r>
        <w:t xml:space="preserve"> — of the form “A – B”, resolving YES only if the measured quantity falls inside the half-open interval (e.g., “between 25 and 50 bps of cuts”). Range sub-markets within a market are mutually exclusive but need not be collectively exhaustive.</w:t>
      </w:r>
    </w:p>
    <w:p>
      <w:pPr>
        <w:pStyle w:val="ListParagraph"/>
        <w:numPr>
          <w:ilvl w:val="0"/>
          <w:numId w:val="2"/>
        </w:numPr>
        <w:spacing w:after="80" w:line="270"/>
      </w:pPr>
      <w:r>
        <w:rPr>
          <w:b/>
          <w:bCs/>
        </w:rPr>
        <w:t xml:space="preserve">Date sub-markets</w:t>
      </w:r>
      <w:r>
        <w:t xml:space="preserve"> — of the form “by [date]”, resolving YES if the event occurs on or before the stated cutoff (e.g., “first cut by the June meeting”). Date sub-markets are nested: an earlier cutoff being met implies every later cutoff is met.</w:t>
      </w:r>
    </w:p>
    <w:p>
      <w:pPr>
        <w:spacing w:after="120" w:line="276"/>
      </w:pPr>
      <w:r>
        <w:rPr>
          <w:i/>
          <w:iCs/>
        </w:rPr>
        <w:t xml:space="preserve">Each sub-market resolves strictly on its own definition. A platform’s matching engine does not enforce price relationships between sub-markets; consistency across nested or related sub-markets is a matter for traders, not the resolution engine.</w:t>
      </w:r>
    </w:p>
    <w:p>
      <w:pPr>
        <w:pStyle w:val="Heading2"/>
      </w:pPr>
      <w:r>
        <w:t xml:space="preserve">Worked example: a 2026 Federal Reserve rate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640"/>
        <w:gridCol w:w="4200"/>
      </w:tblGrid>
      <w:tr>
        <w:trPr>
          <w:tblHeader/>
        </w:trPr>
        <w:tc>
          <w:tcPr>
            <w:tcW w:type="dxa" w:w="25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before="0"/>
            </w:pPr>
            <w:r>
              <w:rPr>
                <w:b/>
                <w:bCs/>
                <w:color w:val="FFFFFF"/>
                <w:sz w:val="20"/>
                <w:szCs w:val="20"/>
              </w:rPr>
              <w:t xml:space="preserve">Market</w:t>
            </w:r>
          </w:p>
        </w:tc>
        <w:tc>
          <w:tcPr>
            <w:tcW w:type="dxa" w:w="264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before="0"/>
            </w:pPr>
            <w:r>
              <w:rPr>
                <w:b/>
                <w:bCs/>
                <w:color w:val="FFFFFF"/>
                <w:sz w:val="20"/>
                <w:szCs w:val="20"/>
              </w:rPr>
              <w:t xml:space="preserve">Sub-market type</w:t>
            </w:r>
          </w:p>
        </w:tc>
        <w:tc>
          <w:tcPr>
            <w:tcW w:type="dxa" w:w="4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before="0"/>
            </w:pPr>
            <w:r>
              <w:rPr>
                <w:b/>
                <w:bCs/>
                <w:color w:val="FFFFFF"/>
                <w:sz w:val="20"/>
                <w:szCs w:val="20"/>
              </w:rPr>
              <w:t xml:space="preserve">Listed sub-markets</w:t>
            </w:r>
          </w:p>
        </w:tc>
      </w:tr>
      <w:tr>
        <w:trPr>
          <w:tblHeader w:val="false"/>
        </w:trPr>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Cumulative 2026 rate cut</w:t>
            </w:r>
          </w:p>
        </w:tc>
        <w:tc>
          <w:tcPr>
            <w:tcW w:type="dxa" w:w="26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Threshold (≥ N bps)</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 25, ≥ 50, ≥ 75, ≥ 100 bps</w:t>
            </w:r>
          </w:p>
        </w:tc>
      </w:tr>
      <w:tr>
        <w:trPr>
          <w:tblHeader w:val="false"/>
        </w:trPr>
        <w:tc>
          <w:tcPr>
            <w:tcW w:type="dxa" w:w="252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pPr>
            <w:r>
              <w:rPr>
                <w:b w:val="false"/>
                <w:bCs w:val="false"/>
                <w:color w:val="000000"/>
                <w:sz w:val="20"/>
                <w:szCs w:val="20"/>
              </w:rPr>
              <w:t xml:space="preserve">Year-end 2026 rate move</w:t>
            </w:r>
          </w:p>
        </w:tc>
        <w:tc>
          <w:tcPr>
            <w:tcW w:type="dxa" w:w="264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pPr>
            <w:r>
              <w:rPr>
                <w:b w:val="false"/>
                <w:bCs w:val="false"/>
                <w:color w:val="000000"/>
                <w:sz w:val="20"/>
                <w:szCs w:val="20"/>
              </w:rPr>
              <w:t xml:space="preserve">Range (bucket)</w:t>
            </w:r>
          </w:p>
        </w:tc>
        <w:tc>
          <w:tcPr>
            <w:tcW w:type="dxa" w:w="42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pPr>
            <w:r>
              <w:rPr>
                <w:b w:val="false"/>
                <w:bCs w:val="false"/>
                <w:color w:val="000000"/>
                <w:sz w:val="20"/>
                <w:szCs w:val="20"/>
              </w:rPr>
              <w:t xml:space="preserve">0–25, 25–50, 50–75, 75–100 bps</w:t>
            </w:r>
          </w:p>
        </w:tc>
      </w:tr>
      <w:tr>
        <w:trPr>
          <w:tblHeader w:val="false"/>
        </w:trPr>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First 2026 cut, timing</w:t>
            </w:r>
          </w:p>
        </w:tc>
        <w:tc>
          <w:tcPr>
            <w:tcW w:type="dxa" w:w="26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Date (“by” cutoff)</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by Mar, by Jun, by Sep, by Dec (FOMC)</w:t>
            </w:r>
          </w:p>
        </w:tc>
      </w:tr>
    </w:tbl>
    <w:p>
      <w:pPr>
        <w:pStyle w:val="Heading1"/>
      </w:pPr>
      <w:r>
        <w:t xml:space="preserve">3.  YES and NO contracts</w:t>
      </w:r>
    </w:p>
    <w:p>
      <w:pPr>
        <w:spacing w:after="120" w:line="276"/>
      </w:pPr>
      <w:r>
        <w:t xml:space="preserve">Every sub-market issues paired YES and NO contracts that are perfect complements. At resolution exactly one side pays the fixed settlement amount (taken here as $1.00) per contract and the other pays $0.00:</w:t>
      </w:r>
    </w:p>
    <w:p>
      <w:pPr>
        <w:pStyle w:val="ListParagraph"/>
        <w:numPr>
          <w:ilvl w:val="0"/>
          <w:numId w:val="2"/>
        </w:numPr>
        <w:spacing w:after="80" w:line="270"/>
      </w:pPr>
      <w:r>
        <w:t xml:space="preserve">A YES contract pays $1.00 if the sub-market resolves YES, otherwise $0.00.</w:t>
      </w:r>
    </w:p>
    <w:p>
      <w:pPr>
        <w:pStyle w:val="ListParagraph"/>
        <w:numPr>
          <w:ilvl w:val="0"/>
          <w:numId w:val="2"/>
        </w:numPr>
        <w:spacing w:after="80" w:line="270"/>
      </w:pPr>
      <w:r>
        <w:t xml:space="preserve">A NO contract pays $1.00 if the sub-market resolves NO, otherwise $0.00.</w:t>
      </w:r>
    </w:p>
    <w:p>
      <w:pPr>
        <w:spacing w:after="120" w:line="276"/>
      </w:pPr>
      <w:r>
        <w:t xml:space="preserve">Prices are quoted in cents from 1¢ to 99¢ per contract (equivalently, 0.01 to 0.99 in dollar terms). A price of p cents corresponds to an implied probability of p%. Because the two sides are complementary, a fairly priced pair satisfies price(YES) + price(NO) = 100¢; any persistent deviation within a single sub-market would be an internal arbitrage and is prevented by the quoting mechanism described in the companion note.</w:t>
      </w:r>
    </w:p>
    <w:p>
      <w:pPr>
        <w:pStyle w:val="Heading1"/>
      </w:pPr>
      <w:r>
        <w:t xml:space="preserve">4.  Buying, fees, and holding</w:t>
      </w:r>
    </w:p>
    <w:p>
      <w:pPr>
        <w:spacing w:after="120" w:line="276"/>
      </w:pPr>
      <w:r>
        <w:t xml:space="preserve">Participants take positions by buying contracts at the best available ask in the relevant order book. To obtain exposure to the opposite outcome, a participant buys the complementary contract (for example, buying NO to express “this will not happen”); most platforms do not support naked short sales.</w:t>
      </w:r>
    </w:p>
    <w:p>
      <w:pPr>
        <w:spacing w:after="120" w:line="276"/>
      </w:pPr>
      <w:r>
        <w:t xml:space="preserve">Fee conventions vary by platform. The worked examples in this primer assume the following representative schedule:</w:t>
      </w:r>
    </w:p>
    <w:p>
      <w:pPr>
        <w:pStyle w:val="ListParagraph"/>
        <w:numPr>
          <w:ilvl w:val="0"/>
          <w:numId w:val="3"/>
        </w:numPr>
        <w:spacing w:after="80" w:line="270"/>
      </w:pPr>
      <w:r>
        <w:rPr>
          <w:b/>
          <w:bCs/>
        </w:rPr>
        <w:t xml:space="preserve">Trading fee. </w:t>
      </w:r>
      <w:r>
        <w:t xml:space="preserve">0.5% of the purchase price, charged on every buy order at execution. A fill of one contract at an ask of p cents therefore costs p × 1.005 cents.</w:t>
      </w:r>
    </w:p>
    <w:p>
      <w:pPr>
        <w:pStyle w:val="ListParagraph"/>
        <w:numPr>
          <w:ilvl w:val="0"/>
          <w:numId w:val="3"/>
        </w:numPr>
        <w:spacing w:after="80" w:line="270"/>
      </w:pPr>
      <w:r>
        <w:rPr>
          <w:b/>
          <w:bCs/>
        </w:rPr>
        <w:t xml:space="preserve">Settlement fee. </w:t>
      </w:r>
      <w:r>
        <w:t xml:space="preserve">None. Redeeming a winning contract for $1.00 at resolution incurs no fee, and contracts that expire worthless incur no fee.</w:t>
      </w:r>
    </w:p>
    <w:p>
      <w:pPr>
        <w:pStyle w:val="ListParagraph"/>
        <w:numPr>
          <w:ilvl w:val="0"/>
          <w:numId w:val="3"/>
        </w:numPr>
        <w:spacing w:after="80" w:line="270"/>
      </w:pPr>
      <w:r>
        <w:rPr>
          <w:b/>
          <w:bCs/>
        </w:rPr>
        <w:t xml:space="preserve">Position lifecycle. </w:t>
      </w:r>
      <w:r>
        <w:t xml:space="preserve">Unless sold beforehand, contracts are held to resolution and redeemed automatically. The examples here assume a buy-and-hold-to-resolution participant.</w:t>
      </w:r>
    </w:p>
    <w:p>
      <w:pPr>
        <w:spacing w:after="120" w:line="276"/>
      </w:pPr>
      <w:r>
        <w:rPr>
          <w:b/>
          <w:bCs/>
        </w:rPr>
        <w:t xml:space="preserve">Worked cost example. </w:t>
      </w:r>
      <w:r>
        <w:t xml:space="preserve">Buying 100 YES contracts at an ask of 60¢ costs 100 × 60 × 1.005 = 6,030¢ = $60.30. If the sub-market resolves YES, the holder redeems 100 × $1.00 = $100.00 with no settlement fee, a net profit of $39.70; if it resolves NO, the holder loses the $60.30 outlay.</w:t>
      </w:r>
    </w:p>
    <w:p>
      <w:pPr>
        <w:pStyle w:val="Heading1"/>
      </w:pPr>
      <w:r>
        <w:t xml:space="preserve">5.  Settlement and collateral</w:t>
      </w:r>
    </w:p>
    <w:p>
      <w:pPr>
        <w:spacing w:after="120" w:line="276"/>
      </w:pPr>
      <w:r>
        <w:t xml:space="preserve">On a fully-collateralized platform, every YES/NO pair in existence is backed by $1.00 held in reserve, so winning redemptions are guaranteed regardless of counterparty behavior. The examples in this primer assume full collateralization (no platform credit or default risk) and a single resolution authority (“the oracle”) applying each sub-market’s rule uniformly.</w:t>
      </w:r>
    </w:p>
    <w:p>
      <w:pPr>
        <w:pStyle w:val="Heading1"/>
      </w:pPr>
      <w:r>
        <w:t xml:space="preserve">6.  Resolution rules — worked example</w:t>
      </w:r>
    </w:p>
    <w:p>
      <w:pPr>
        <w:spacing w:after="120" w:line="276"/>
      </w:pPr>
      <w:r>
        <w:t xml:space="preserve">The rules below illustrate, for the 2026 Federal Reserve rate market, how the three sub-market types are written. The drafting style — a measured quantity, a measurement window, a primary source, and contingency provisions — is typical of how real sub-markets are specified.</w:t>
      </w:r>
    </w:p>
    <w:p>
      <w:pPr>
        <w:pStyle w:val="Heading2"/>
      </w:pPr>
      <w:r>
        <w:t xml:space="preserve">6.1  Measurement</w:t>
      </w:r>
    </w:p>
    <w:p>
      <w:pPr>
        <w:spacing w:after="120" w:line="276"/>
      </w:pPr>
      <w:r>
        <w:t xml:space="preserve">All sub-markets in this market are settled against the federal funds target range set by the Federal Open Market Committee (FOMC), measured at two points: its level at market creation (the “Opening Level”) and its level immediately following the final scheduled FOMC meeting of 2026 (the “Settlement Level”). The “Total 2026 Cut” is the reduction, in basis points, of the midpoint of the target range from the Opening Level to the Settlement Level; a rate increase counts as a negative cut. The same figure governs every threshold and range sub-market, so their outcomes are mutually consistent by construction.</w:t>
      </w:r>
    </w:p>
    <w:p>
      <w:pPr>
        <w:pStyle w:val="Heading2"/>
      </w:pPr>
      <w:r>
        <w:t xml:space="preserve">6.2  Threshold and range sub-markets</w:t>
      </w:r>
    </w:p>
    <w:p>
      <w:pPr>
        <w:spacing w:after="120" w:line="276"/>
      </w:pPr>
      <w:r>
        <w:rPr>
          <w:b/>
          <w:bCs/>
        </w:rPr>
        <w:t xml:space="preserve">Threshold sub-markets. </w:t>
      </w:r>
      <w:r>
        <w:t xml:space="preserve">A “≥ N bps” sub-market resolves YES if the Total 2026 Cut is at least N basis points; otherwise NO.</w:t>
      </w:r>
    </w:p>
    <w:p>
      <w:pPr>
        <w:spacing w:after="120" w:line="276"/>
      </w:pPr>
      <w:r>
        <w:rPr>
          <w:b/>
          <w:bCs/>
        </w:rPr>
        <w:t xml:space="preserve">Range sub-markets. </w:t>
      </w:r>
      <w:r>
        <w:t xml:space="preserve">An “A – B bps” sub-market resolves YES if the Total 2026 Cut is strictly greater than A and less than or equal to B basis points; otherwise NO.</w:t>
      </w:r>
    </w:p>
    <w:p>
      <w:pPr>
        <w:spacing w:after="120" w:line="276"/>
      </w:pPr>
      <w:r>
        <w:rPr>
          <w:b/>
          <w:bCs/>
        </w:rPr>
        <w:t xml:space="preserve">Resolution source. </w:t>
      </w:r>
      <w:r>
        <w:t xml:space="preserve">The FOMC’s official post-meeting policy statements and implementation notes published by the Board of Governors of the Federal Reserve System are primary; a consensus of credible reporting may supplement where official wording is ambiguous.</w:t>
      </w:r>
    </w:p>
    <w:p>
      <w:pPr>
        <w:pStyle w:val="Heading2"/>
      </w:pPr>
      <w:r>
        <w:t xml:space="preserve">6.3  First-cut date sub-markets</w:t>
      </w:r>
    </w:p>
    <w:p>
      <w:pPr>
        <w:spacing w:after="120" w:line="276"/>
      </w:pPr>
      <w:r>
        <w:t xml:space="preserve">A “first cut by [meeting]” sub-market resolves YES if the FOMC reduces the target range at or before the specified 2026 meeting; otherwise NO. An unscheduled inter-meeting reduction counts as of its effective date.</w:t>
      </w:r>
    </w:p>
    <w:p>
      <w:pPr>
        <w:pStyle w:val="Heading2"/>
      </w:pPr>
      <w:r>
        <w:t xml:space="preserve">6.4  General provisions</w:t>
      </w:r>
    </w:p>
    <w:p>
      <w:pPr>
        <w:pStyle w:val="ListParagraph"/>
        <w:numPr>
          <w:ilvl w:val="0"/>
          <w:numId w:val="2"/>
        </w:numPr>
        <w:spacing w:after="80" w:line="270"/>
      </w:pPr>
      <w:r>
        <w:rPr>
          <w:b/>
          <w:bCs/>
        </w:rPr>
        <w:t xml:space="preserve">Inter-meeting actions. </w:t>
      </w:r>
      <w:r>
        <w:t xml:space="preserve">Any unscheduled change to the target range counts toward the Total 2026 Cut and toward the first-cut date sub-markets as of its effective date.</w:t>
      </w:r>
    </w:p>
    <w:p>
      <w:pPr>
        <w:pStyle w:val="ListParagraph"/>
        <w:numPr>
          <w:ilvl w:val="0"/>
          <w:numId w:val="2"/>
        </w:numPr>
        <w:spacing w:after="80" w:line="270"/>
      </w:pPr>
      <w:r>
        <w:rPr>
          <w:b/>
          <w:bCs/>
        </w:rPr>
        <w:t xml:space="preserve">Schedule changes. </w:t>
      </w:r>
      <w:r>
        <w:t xml:space="preserve">If a scheduled meeting is cancelled or rescheduled, the next officially published target range governs the relevant measurement.</w:t>
      </w:r>
    </w:p>
    <w:p>
      <w:pPr>
        <w:pStyle w:val="ListParagraph"/>
        <w:numPr>
          <w:ilvl w:val="0"/>
          <w:numId w:val="2"/>
        </w:numPr>
        <w:spacing w:after="80" w:line="270"/>
      </w:pPr>
      <w:r>
        <w:rPr>
          <w:b/>
          <w:bCs/>
        </w:rPr>
        <w:t xml:space="preserve">Units. </w:t>
      </w:r>
      <w:r>
        <w:t xml:space="preserve">All amounts are in basis points (bps); 100 bps = 1.00 percentage point.</w:t>
      </w:r>
    </w:p>
    <w:p>
      <w:pPr>
        <w:pStyle w:val="ListParagraph"/>
        <w:numPr>
          <w:ilvl w:val="0"/>
          <w:numId w:val="2"/>
        </w:numPr>
        <w:spacing w:after="80" w:line="270"/>
      </w:pPr>
      <w:r>
        <w:rPr>
          <w:b/>
          <w:bCs/>
        </w:rPr>
        <w:t xml:space="preserve">Finality. </w:t>
      </w:r>
      <w:r>
        <w:t xml:space="preserve">Resolutions published by the oracle are final once the primary source is available; resolution may be delayed pending an authoritative source but will not be reversed absent manifest error.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4E79"/>
      <w:sz w:val="40"/>
      <w:szCs w:val="40"/>
    </w:rPr>
  </w:style>
  <w:style w:type="paragraph" w:styleId="Heading1">
    <w:name w:val="Heading 1"/>
    <w:basedOn w:val="Normal"/>
    <w:next w:val="Normal"/>
    <w:qFormat/>
    <w:pPr>
      <w:pBdr>
        <w:bottom w:val="single" w:color="1F4E79" w:sz="6" w:space="4"/>
      </w:pBd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2026-06-06T14:09:19.568Z</dcterms:created>
  <dcterms:modified xsi:type="dcterms:W3CDTF">2026-06-06T14:09:19.568Z</dcterms:modified>
</cp:coreProperties>
</file>

<file path=docProps/custom.xml><?xml version="1.0" encoding="utf-8"?>
<Properties xmlns="http://schemas.openxmlformats.org/officeDocument/2006/custom-properties" xmlns:vt="http://schemas.openxmlformats.org/officeDocument/2006/docPropsVTypes"/>
</file>