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47E368"/>
    <w:tbl>
      <w:tblPr>
        <w:tblStyle w:val="33"/>
        <w:tblW w:w="10656" w:type="dxa"/>
        <w:jc w:val="center"/>
        <w:tblLayout w:type="fixed"/>
        <w:tblCellMar>
          <w:top w:w="0" w:type="dxa"/>
          <w:left w:w="108" w:type="dxa"/>
          <w:bottom w:w="0" w:type="dxa"/>
          <w:right w:w="108" w:type="dxa"/>
        </w:tblCellMar>
      </w:tblPr>
      <w:tblGrid>
        <w:gridCol w:w="2880"/>
        <w:gridCol w:w="7776"/>
      </w:tblGrid>
      <w:tr w14:paraId="667244DC">
        <w:tblPrEx>
          <w:tblCellMar>
            <w:top w:w="0" w:type="dxa"/>
            <w:left w:w="108" w:type="dxa"/>
            <w:bottom w:w="0" w:type="dxa"/>
            <w:right w:w="108" w:type="dxa"/>
          </w:tblCellMar>
        </w:tblPrEx>
        <w:trPr>
          <w:jc w:val="center"/>
        </w:trPr>
        <w:tc>
          <w:tcPr>
            <w:tcW w:w="10656" w:type="dxa"/>
            <w:gridSpan w:val="2"/>
            <w:tcBorders>
              <w:top w:val="single" w:color="1F1F1F" w:sz="8" w:space="0"/>
              <w:left w:val="single" w:color="1F1F1F" w:sz="8" w:space="0"/>
              <w:bottom w:val="single" w:color="1F1F1F" w:sz="8" w:space="0"/>
              <w:right w:val="single" w:color="1F1F1F" w:sz="8" w:space="0"/>
            </w:tcBorders>
            <w:shd w:val="clear" w:color="auto" w:fill="C00000"/>
            <w:vAlign w:val="center"/>
          </w:tcPr>
          <w:p w14:paraId="38C5DC00">
            <w:pPr>
              <w:jc w:val="center"/>
              <w:rPr>
                <w:rFonts w:hint="default" w:eastAsia="微软雅黑"/>
                <w:lang w:val="en-US" w:eastAsia="zh-CN"/>
              </w:rPr>
            </w:pPr>
            <w:r>
              <w:rPr>
                <w:rFonts w:hint="eastAsia" w:ascii="微软雅黑" w:hAnsi="微软雅黑" w:eastAsia="微软雅黑"/>
                <w:b/>
                <w:color w:val="FFFFFF"/>
                <w:sz w:val="28"/>
                <w:lang w:val="en-US" w:eastAsia="zh-CN"/>
              </w:rPr>
              <w:t>文献精读第6篇：</w:t>
            </w:r>
          </w:p>
        </w:tc>
      </w:tr>
      <w:tr w14:paraId="0A4C750A">
        <w:tblPrEx>
          <w:tblCellMar>
            <w:top w:w="0" w:type="dxa"/>
            <w:left w:w="108" w:type="dxa"/>
            <w:bottom w:w="0" w:type="dxa"/>
            <w:right w:w="108" w:type="dxa"/>
          </w:tblCellMar>
        </w:tblPrEx>
        <w:trPr>
          <w:jc w:val="center"/>
        </w:trPr>
        <w:tc>
          <w:tcPr>
            <w:tcW w:w="10656" w:type="dxa"/>
            <w:gridSpan w:val="2"/>
            <w:tcBorders>
              <w:top w:val="single" w:color="1F1F1F" w:sz="8" w:space="0"/>
              <w:left w:val="single" w:color="1F1F1F" w:sz="8" w:space="0"/>
              <w:bottom w:val="single" w:color="1F1F1F" w:sz="8" w:space="0"/>
              <w:right w:val="single" w:color="1F1F1F" w:sz="8" w:space="0"/>
            </w:tcBorders>
            <w:shd w:val="clear" w:color="auto" w:fill="4F81BD"/>
            <w:vAlign w:val="center"/>
          </w:tcPr>
          <w:p w14:paraId="27D84063">
            <w:pPr>
              <w:jc w:val="center"/>
            </w:pPr>
            <w:r>
              <w:rPr>
                <w:rFonts w:ascii="微软雅黑" w:hAnsi="微软雅黑" w:eastAsia="微软雅黑"/>
                <w:b/>
                <w:color w:val="FFFFFF"/>
                <w:sz w:val="24"/>
              </w:rPr>
              <w:t>基本思路</w:t>
            </w:r>
          </w:p>
        </w:tc>
      </w:tr>
      <w:tr w14:paraId="0CFA1B93">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31D871EA">
            <w:pPr>
              <w:jc w:val="left"/>
            </w:pPr>
            <w:r>
              <w:rPr>
                <w:rFonts w:ascii="微软雅黑" w:hAnsi="微软雅黑" w:eastAsia="微软雅黑"/>
                <w:b/>
                <w:sz w:val="21"/>
              </w:rPr>
              <w:t>标题</w:t>
            </w:r>
          </w:p>
        </w:tc>
        <w:tc>
          <w:tcPr>
            <w:tcW w:w="7776" w:type="dxa"/>
            <w:tcBorders>
              <w:top w:val="single" w:color="1F1F1F" w:sz="8" w:space="0"/>
              <w:left w:val="single" w:color="1F1F1F" w:sz="8" w:space="0"/>
              <w:bottom w:val="single" w:color="1F1F1F" w:sz="8" w:space="0"/>
              <w:right w:val="single" w:color="1F1F1F" w:sz="8" w:space="0"/>
            </w:tcBorders>
            <w:vAlign w:val="top"/>
          </w:tcPr>
          <w:p w14:paraId="09AD5DE9">
            <w:pPr>
              <w:rPr>
                <w:rFonts w:ascii="宋体" w:hAnsi="宋体" w:eastAsia="宋体" w:cs="宋体"/>
                <w:sz w:val="24"/>
                <w:szCs w:val="24"/>
              </w:rPr>
            </w:pPr>
            <w:r>
              <w:rPr>
                <w:rFonts w:ascii="宋体" w:hAnsi="宋体" w:eastAsia="宋体" w:cs="宋体"/>
                <w:sz w:val="24"/>
                <w:szCs w:val="24"/>
              </w:rPr>
              <w:t>DiGIT: Multi-Dilated Gated Encoder and Central-Adjacent Region Integrated Decoder for Temporal Action Detection Transformer</w:t>
            </w:r>
          </w:p>
          <w:p w14:paraId="2917709A">
            <w:pPr>
              <w:rPr>
                <w:rFonts w:ascii="宋体" w:hAnsi="宋体" w:eastAsia="宋体" w:cs="宋体"/>
                <w:sz w:val="24"/>
                <w:szCs w:val="24"/>
              </w:rPr>
            </w:pPr>
            <w:r>
              <w:rPr>
                <w:rFonts w:ascii="宋体" w:hAnsi="宋体" w:eastAsia="宋体" w:cs="宋体"/>
                <w:sz w:val="24"/>
                <w:szCs w:val="24"/>
              </w:rPr>
              <w:t>用于时序动作检测 Transformer 的多膨胀门控编码器与中心–邻域联合解码器</w:t>
            </w:r>
          </w:p>
        </w:tc>
      </w:tr>
      <w:tr w14:paraId="4D7866B3">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086878DB">
            <w:pPr>
              <w:jc w:val="left"/>
            </w:pPr>
            <w:r>
              <w:rPr>
                <w:rFonts w:ascii="微软雅黑" w:hAnsi="微软雅黑" w:eastAsia="微软雅黑"/>
                <w:b/>
                <w:sz w:val="21"/>
              </w:rPr>
              <w:t>期刊/年份</w:t>
            </w:r>
          </w:p>
        </w:tc>
        <w:tc>
          <w:tcPr>
            <w:tcW w:w="7776" w:type="dxa"/>
            <w:tcBorders>
              <w:top w:val="single" w:color="1F1F1F" w:sz="8" w:space="0"/>
              <w:left w:val="single" w:color="1F1F1F" w:sz="8" w:space="0"/>
              <w:bottom w:val="single" w:color="1F1F1F" w:sz="8" w:space="0"/>
              <w:right w:val="single" w:color="1F1F1F" w:sz="8" w:space="0"/>
            </w:tcBorders>
            <w:vAlign w:val="top"/>
          </w:tcPr>
          <w:p w14:paraId="70526CC1">
            <w:r>
              <w:rPr>
                <w:rFonts w:ascii="宋体" w:hAnsi="宋体" w:eastAsia="宋体" w:cs="宋体"/>
                <w:sz w:val="24"/>
                <w:szCs w:val="24"/>
              </w:rPr>
              <w:t>CVPR 2025</w:t>
            </w:r>
          </w:p>
        </w:tc>
      </w:tr>
      <w:tr w14:paraId="6142C034">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7E4D62C2">
            <w:pPr>
              <w:jc w:val="left"/>
            </w:pPr>
            <w:r>
              <w:rPr>
                <w:rFonts w:ascii="微软雅黑" w:hAnsi="微软雅黑" w:eastAsia="微软雅黑"/>
                <w:b/>
                <w:sz w:val="21"/>
              </w:rPr>
              <w:t>研究领域/关键词</w:t>
            </w:r>
          </w:p>
        </w:tc>
        <w:tc>
          <w:tcPr>
            <w:tcW w:w="7776" w:type="dxa"/>
            <w:tcBorders>
              <w:top w:val="single" w:color="1F1F1F" w:sz="8" w:space="0"/>
              <w:left w:val="single" w:color="1F1F1F" w:sz="8" w:space="0"/>
              <w:bottom w:val="single" w:color="1F1F1F" w:sz="8" w:space="0"/>
              <w:right w:val="single" w:color="1F1F1F" w:sz="8" w:space="0"/>
            </w:tcBorders>
            <w:vAlign w:val="top"/>
          </w:tcPr>
          <w:p w14:paraId="7AA5CC64">
            <w:pPr>
              <w:rPr>
                <w:rFonts w:ascii="宋体" w:hAnsi="宋体" w:eastAsia="宋体" w:cs="宋体"/>
                <w:sz w:val="24"/>
                <w:szCs w:val="24"/>
              </w:rPr>
            </w:pPr>
            <w:r>
              <w:rPr>
                <w:rFonts w:ascii="宋体" w:hAnsi="宋体" w:eastAsia="宋体" w:cs="宋体"/>
                <w:sz w:val="24"/>
                <w:szCs w:val="24"/>
              </w:rPr>
              <w:t>Temporal Action Detection (TAD)</w:t>
            </w:r>
          </w:p>
          <w:p w14:paraId="6D683C59">
            <w:pPr>
              <w:rPr>
                <w:rFonts w:ascii="宋体" w:hAnsi="宋体" w:eastAsia="宋体" w:cs="宋体"/>
                <w:sz w:val="24"/>
                <w:szCs w:val="24"/>
              </w:rPr>
            </w:pPr>
            <w:r>
              <w:rPr>
                <w:rFonts w:ascii="宋体" w:hAnsi="宋体" w:eastAsia="宋体" w:cs="宋体"/>
                <w:sz w:val="24"/>
                <w:szCs w:val="24"/>
              </w:rPr>
              <w:t>Query-based Detection</w:t>
            </w:r>
          </w:p>
          <w:p w14:paraId="73BCB51A">
            <w:pPr>
              <w:rPr>
                <w:rFonts w:ascii="宋体" w:hAnsi="宋体" w:eastAsia="宋体" w:cs="宋体"/>
                <w:sz w:val="24"/>
                <w:szCs w:val="24"/>
              </w:rPr>
            </w:pPr>
            <w:r>
              <w:rPr>
                <w:rFonts w:ascii="宋体" w:hAnsi="宋体" w:eastAsia="宋体" w:cs="宋体"/>
                <w:sz w:val="24"/>
                <w:szCs w:val="24"/>
              </w:rPr>
              <w:t>Temporal Context Modeling</w:t>
            </w:r>
          </w:p>
          <w:p w14:paraId="346DF7BD">
            <w:pPr>
              <w:rPr>
                <w:rFonts w:ascii="宋体" w:hAnsi="宋体" w:eastAsia="宋体" w:cs="宋体"/>
                <w:sz w:val="24"/>
                <w:szCs w:val="24"/>
              </w:rPr>
            </w:pPr>
            <w:r>
              <w:rPr>
                <w:rFonts w:ascii="宋体" w:hAnsi="宋体" w:eastAsia="宋体" w:cs="宋体"/>
                <w:sz w:val="24"/>
                <w:szCs w:val="24"/>
              </w:rPr>
              <w:t>Deformable Attention</w:t>
            </w:r>
          </w:p>
        </w:tc>
      </w:tr>
      <w:tr w14:paraId="4A02E3E5">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08D93ED0">
            <w:pPr>
              <w:jc w:val="left"/>
            </w:pPr>
            <w:r>
              <w:rPr>
                <w:rFonts w:ascii="微软雅黑" w:hAnsi="微软雅黑" w:eastAsia="微软雅黑"/>
                <w:b/>
                <w:sz w:val="21"/>
              </w:rPr>
              <w:t>本研究解决了什么问题？</w:t>
            </w:r>
          </w:p>
        </w:tc>
        <w:tc>
          <w:tcPr>
            <w:tcW w:w="7776" w:type="dxa"/>
            <w:tcBorders>
              <w:top w:val="single" w:color="1F1F1F" w:sz="8" w:space="0"/>
              <w:left w:val="single" w:color="1F1F1F" w:sz="8" w:space="0"/>
              <w:bottom w:val="single" w:color="1F1F1F" w:sz="8" w:space="0"/>
              <w:right w:val="single" w:color="1F1F1F" w:sz="8" w:space="0"/>
            </w:tcBorders>
            <w:vAlign w:val="top"/>
          </w:tcPr>
          <w:p w14:paraId="0E1962DE">
            <w:r>
              <w:rPr>
                <w:rFonts w:ascii="宋体" w:hAnsi="宋体" w:eastAsia="宋体" w:cs="宋体"/>
                <w:sz w:val="24"/>
                <w:szCs w:val="24"/>
              </w:rPr>
              <w:t>本研究针对</w:t>
            </w:r>
            <w:r>
              <w:rPr>
                <w:rStyle w:val="134"/>
                <w:rFonts w:ascii="宋体" w:hAnsi="宋体" w:eastAsia="宋体" w:cs="宋体"/>
                <w:sz w:val="24"/>
                <w:szCs w:val="24"/>
              </w:rPr>
              <w:t>基于查询（query-based）的时序动作检测模型在直接沿用目标检测架构时所暴露出的结构性不适配问题</w:t>
            </w:r>
            <w:r>
              <w:rPr>
                <w:rFonts w:ascii="宋体" w:hAnsi="宋体" w:eastAsia="宋体" w:cs="宋体"/>
                <w:sz w:val="24"/>
                <w:szCs w:val="24"/>
              </w:rPr>
              <w:t>，系统性地提出改进方案。具体而言，现有 query-based TAD 方法在编码阶段难以高效建模多尺度时间信息、在解码阶段又过度依赖中心区域采样，导致冗余特征传播与时序上下文建模不足，从而限制了动作边界定位与类别判别的精度。</w:t>
            </w:r>
          </w:p>
        </w:tc>
      </w:tr>
      <w:tr w14:paraId="6285AEA7">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5489008D">
            <w:pPr>
              <w:jc w:val="left"/>
            </w:pPr>
            <w:r>
              <w:rPr>
                <w:rFonts w:ascii="微软雅黑" w:hAnsi="微软雅黑" w:eastAsia="微软雅黑"/>
                <w:b/>
                <w:sz w:val="21"/>
              </w:rPr>
              <w:t>研究背景（已有研究/应用中的问题）</w:t>
            </w:r>
          </w:p>
        </w:tc>
        <w:tc>
          <w:tcPr>
            <w:tcW w:w="7776" w:type="dxa"/>
            <w:tcBorders>
              <w:top w:val="single" w:color="1F1F1F" w:sz="8" w:space="0"/>
              <w:left w:val="single" w:color="1F1F1F" w:sz="8" w:space="0"/>
              <w:bottom w:val="single" w:color="1F1F1F" w:sz="8" w:space="0"/>
              <w:right w:val="single" w:color="1F1F1F" w:sz="8" w:space="0"/>
            </w:tcBorders>
            <w:vAlign w:val="top"/>
          </w:tcPr>
          <w:p w14:paraId="0B3BAF60">
            <w:pPr>
              <w:keepNext w:val="0"/>
              <w:keepLines w:val="0"/>
              <w:widowControl/>
              <w:suppressLineNumbers w:val="0"/>
              <w:jc w:val="left"/>
            </w:pPr>
            <w:r>
              <w:rPr>
                <w:rFonts w:ascii="宋体" w:hAnsi="宋体" w:eastAsia="宋体" w:cs="宋体"/>
                <w:kern w:val="0"/>
                <w:sz w:val="24"/>
                <w:szCs w:val="24"/>
                <w:lang w:val="en-US" w:eastAsia="zh-CN" w:bidi="ar"/>
              </w:rPr>
              <w:t xml:space="preserve">近年来，受 DETR 启发的 query-based TAD 方法因其端到端建模能力、避免滑窗与 NMS 的优势而受到关注。然而，这类方法大多直接移植目标检测中的 Transformer 结构，未充分考虑 TAD 在时间维度上的独特挑战。一方面，编码器中采用的单尺度或多尺度特征要么限制了对不同时长动作的建模能力，要么在多尺度之间引入高度冗余的信息；另一方面，解码器中的可变形交叉注意力主要集中于参考点中心区域，忽略了动作边界附近和相邻区域的重要上下文信息。这些问题在复杂动作区分和精确边界定位任务中尤为突出 </w:t>
            </w:r>
          </w:p>
        </w:tc>
      </w:tr>
      <w:tr w14:paraId="23BF8A66">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478871B0">
            <w:pPr>
              <w:jc w:val="left"/>
            </w:pPr>
            <w:r>
              <w:rPr>
                <w:rFonts w:ascii="微软雅黑" w:hAnsi="微软雅黑" w:eastAsia="微软雅黑"/>
                <w:b/>
                <w:sz w:val="21"/>
              </w:rPr>
              <w:t>作者提出的核心问题</w:t>
            </w:r>
          </w:p>
        </w:tc>
        <w:tc>
          <w:tcPr>
            <w:tcW w:w="7776" w:type="dxa"/>
            <w:tcBorders>
              <w:top w:val="single" w:color="1F1F1F" w:sz="8" w:space="0"/>
              <w:left w:val="single" w:color="1F1F1F" w:sz="8" w:space="0"/>
              <w:bottom w:val="single" w:color="1F1F1F" w:sz="8" w:space="0"/>
              <w:right w:val="single" w:color="1F1F1F" w:sz="8" w:space="0"/>
            </w:tcBorders>
            <w:vAlign w:val="top"/>
          </w:tcPr>
          <w:p w14:paraId="68CB60EF">
            <w:r>
              <w:rPr>
                <w:rFonts w:ascii="宋体" w:hAnsi="宋体" w:eastAsia="宋体" w:cs="宋体"/>
                <w:sz w:val="24"/>
                <w:szCs w:val="24"/>
              </w:rPr>
              <w:t>（1）</w:t>
            </w:r>
            <w:r>
              <w:rPr>
                <w:rStyle w:val="134"/>
                <w:rFonts w:ascii="宋体" w:hAnsi="宋体" w:eastAsia="宋体" w:cs="宋体"/>
                <w:sz w:val="24"/>
                <w:szCs w:val="24"/>
              </w:rPr>
              <w:t>编码器层面</w:t>
            </w:r>
            <w:r>
              <w:rPr>
                <w:rFonts w:ascii="宋体" w:hAnsi="宋体" w:eastAsia="宋体" w:cs="宋体"/>
                <w:sz w:val="24"/>
                <w:szCs w:val="24"/>
              </w:rPr>
              <w:t>，现有 query-based TAD 模型无法在保留多尺度时间感受野的同时避免跨尺度特征高度相关所带来的冗余；（2）</w:t>
            </w:r>
            <w:r>
              <w:rPr>
                <w:rStyle w:val="134"/>
                <w:rFonts w:ascii="宋体" w:hAnsi="宋体" w:eastAsia="宋体" w:cs="宋体"/>
                <w:sz w:val="24"/>
                <w:szCs w:val="24"/>
              </w:rPr>
              <w:t>解码器层面</w:t>
            </w:r>
            <w:r>
              <w:rPr>
                <w:rFonts w:ascii="宋体" w:hAnsi="宋体" w:eastAsia="宋体" w:cs="宋体"/>
                <w:sz w:val="24"/>
                <w:szCs w:val="24"/>
              </w:rPr>
              <w:t>，仅依赖中心区域采样的交叉注意力机制不足以捕获动作实例所需的完整时序上下文，进而影响动作类别判别与起止边界回归的准确性</w:t>
            </w:r>
          </w:p>
        </w:tc>
      </w:tr>
      <w:tr w14:paraId="35263E00">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6B5104F1">
            <w:pPr>
              <w:jc w:val="left"/>
            </w:pPr>
            <w:r>
              <w:rPr>
                <w:rFonts w:ascii="微软雅黑" w:hAnsi="微软雅黑" w:eastAsia="微软雅黑"/>
                <w:b/>
                <w:sz w:val="21"/>
              </w:rPr>
              <w:t>研究动机（现实意义/技术痛点/认知空白）</w:t>
            </w:r>
          </w:p>
        </w:tc>
        <w:tc>
          <w:tcPr>
            <w:tcW w:w="7776" w:type="dxa"/>
            <w:tcBorders>
              <w:top w:val="single" w:color="1F1F1F" w:sz="8" w:space="0"/>
              <w:left w:val="single" w:color="1F1F1F" w:sz="8" w:space="0"/>
              <w:bottom w:val="single" w:color="1F1F1F" w:sz="8" w:space="0"/>
              <w:right w:val="single" w:color="1F1F1F" w:sz="8" w:space="0"/>
            </w:tcBorders>
            <w:vAlign w:val="top"/>
          </w:tcPr>
          <w:p w14:paraId="4610A5B7">
            <w:r>
              <w:rPr>
                <w:rFonts w:ascii="宋体" w:hAnsi="宋体" w:eastAsia="宋体" w:cs="宋体"/>
                <w:sz w:val="24"/>
                <w:szCs w:val="24"/>
              </w:rPr>
              <w:t>该研究的动机在于弥补</w:t>
            </w:r>
            <w:r>
              <w:rPr>
                <w:rStyle w:val="134"/>
                <w:rFonts w:ascii="宋体" w:hAnsi="宋体" w:eastAsia="宋体" w:cs="宋体"/>
                <w:sz w:val="24"/>
                <w:szCs w:val="24"/>
              </w:rPr>
              <w:t>目标检测 Transformer 架构与时序动作检测任务之间的结构性不匹配</w:t>
            </w:r>
            <w:r>
              <w:rPr>
                <w:rFonts w:ascii="宋体" w:hAnsi="宋体" w:eastAsia="宋体" w:cs="宋体"/>
                <w:sz w:val="24"/>
                <w:szCs w:val="24"/>
              </w:rPr>
              <w:t>这一长期被忽视的认知空白。作者认为，单纯依赖更强的 backbone 或更复杂的注意力机制并不能根本解决问题，关键在于重新设计适配 TAD 特性的编码与解码结构。通过在编码阶段提升多尺度时间建模的有效性、在解码阶段扩展对动作上下文的感知范围，模型才能在保持端到端优势的同时，实现对复杂动作和精确边界的可靠检测。这一动机具有明确的现实应用价值，尤其适用于长视频分析、监控与视频理解等场景</w:t>
            </w:r>
          </w:p>
        </w:tc>
      </w:tr>
      <w:tr w14:paraId="348D6A21">
        <w:tblPrEx>
          <w:tblCellMar>
            <w:top w:w="0" w:type="dxa"/>
            <w:left w:w="108" w:type="dxa"/>
            <w:bottom w:w="0" w:type="dxa"/>
            <w:right w:w="108" w:type="dxa"/>
          </w:tblCellMar>
        </w:tblPrEx>
        <w:trPr>
          <w:jc w:val="center"/>
        </w:trPr>
        <w:tc>
          <w:tcPr>
            <w:tcW w:w="10656" w:type="dxa"/>
            <w:gridSpan w:val="2"/>
            <w:tcBorders>
              <w:top w:val="single" w:color="1F1F1F" w:sz="8" w:space="0"/>
              <w:left w:val="single" w:color="1F1F1F" w:sz="8" w:space="0"/>
              <w:bottom w:val="single" w:color="1F1F1F" w:sz="8" w:space="0"/>
              <w:right w:val="single" w:color="1F1F1F" w:sz="8" w:space="0"/>
            </w:tcBorders>
            <w:shd w:val="clear" w:color="auto" w:fill="4F81BD"/>
            <w:vAlign w:val="center"/>
          </w:tcPr>
          <w:p w14:paraId="1F99C671">
            <w:pPr>
              <w:jc w:val="center"/>
            </w:pPr>
            <w:r>
              <w:rPr>
                <w:rFonts w:ascii="微软雅黑" w:hAnsi="微软雅黑" w:eastAsia="微软雅黑"/>
                <w:b/>
                <w:color w:val="FFFFFF"/>
                <w:sz w:val="24"/>
              </w:rPr>
              <w:t>研究目标与创新点</w:t>
            </w:r>
          </w:p>
        </w:tc>
      </w:tr>
      <w:tr w14:paraId="45FC19CF">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15B27784">
            <w:pPr>
              <w:jc w:val="left"/>
            </w:pPr>
            <w:r>
              <w:rPr>
                <w:rFonts w:ascii="微软雅黑" w:hAnsi="微软雅黑" w:eastAsia="微软雅黑"/>
                <w:b/>
                <w:sz w:val="21"/>
              </w:rPr>
              <w:t>作者的研究目标（目的/假设/任务）</w:t>
            </w:r>
          </w:p>
        </w:tc>
        <w:tc>
          <w:tcPr>
            <w:tcW w:w="7776" w:type="dxa"/>
            <w:tcBorders>
              <w:top w:val="single" w:color="1F1F1F" w:sz="8" w:space="0"/>
              <w:left w:val="single" w:color="1F1F1F" w:sz="8" w:space="0"/>
              <w:bottom w:val="single" w:color="1F1F1F" w:sz="8" w:space="0"/>
              <w:right w:val="single" w:color="1F1F1F" w:sz="8" w:space="0"/>
            </w:tcBorders>
            <w:vAlign w:val="top"/>
          </w:tcPr>
          <w:p w14:paraId="12B124B3">
            <w:pPr>
              <w:rPr>
                <w:rFonts w:ascii="宋体" w:hAnsi="宋体" w:eastAsia="宋体" w:cs="宋体"/>
                <w:sz w:val="24"/>
                <w:szCs w:val="24"/>
              </w:rPr>
            </w:pPr>
            <w:r>
              <w:rPr>
                <w:rFonts w:ascii="宋体" w:hAnsi="宋体" w:eastAsia="宋体" w:cs="宋体"/>
                <w:sz w:val="24"/>
                <w:szCs w:val="24"/>
              </w:rPr>
              <w:t>作者的研究目标是解决</w:t>
            </w:r>
            <w:r>
              <w:rPr>
                <w:rStyle w:val="134"/>
                <w:rFonts w:ascii="宋体" w:hAnsi="宋体" w:eastAsia="宋体" w:cs="宋体"/>
                <w:sz w:val="24"/>
                <w:szCs w:val="24"/>
              </w:rPr>
              <w:t>基于 query 的 Temporal Action Detection Transformer 在直接沿用目标检测架构时所暴露出的结构性不适配问题</w:t>
            </w:r>
            <w:r>
              <w:rPr>
                <w:rFonts w:ascii="宋体" w:hAnsi="宋体" w:eastAsia="宋体" w:cs="宋体"/>
                <w:sz w:val="24"/>
                <w:szCs w:val="24"/>
              </w:rPr>
              <w:t>。</w:t>
            </w:r>
          </w:p>
          <w:p w14:paraId="2F6BA7AA">
            <w:r>
              <w:rPr>
                <w:rFonts w:ascii="宋体" w:hAnsi="宋体" w:eastAsia="宋体" w:cs="宋体"/>
                <w:sz w:val="24"/>
                <w:szCs w:val="24"/>
              </w:rPr>
              <w:t>具体而言，论文假设：现有 query-based TAD 方法虽然在形式上实现了端到端检测，但其 encoder 与 decoder 仍然高度继承自目标检测领域的设计，未能针对时间动作检测中特有的挑战进行有效建模，从而限制了模型对多尺度时间信息和完整动作上下文的建模能力。基于这一假设，作者的核心任务是在不破坏 query-based 端到端范式的前提下，重新设计 encoder 与 decoder 结构，使其更加契合 TAD 对时间尺度多样性与上下文完整性的需求，从而提升检测性能与训练稳定性。</w:t>
            </w:r>
          </w:p>
        </w:tc>
      </w:tr>
      <w:tr w14:paraId="1916EAAF">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2917D2F2">
            <w:pPr>
              <w:jc w:val="left"/>
            </w:pPr>
            <w:r>
              <w:rPr>
                <w:rFonts w:ascii="微软雅黑" w:hAnsi="微软雅黑" w:eastAsia="微软雅黑"/>
                <w:b/>
                <w:sz w:val="21"/>
              </w:rPr>
              <w:t>创新点（提出的新方法/新视角）</w:t>
            </w:r>
          </w:p>
        </w:tc>
        <w:tc>
          <w:tcPr>
            <w:tcW w:w="7776" w:type="dxa"/>
            <w:tcBorders>
              <w:top w:val="single" w:color="1F1F1F" w:sz="8" w:space="0"/>
              <w:left w:val="single" w:color="1F1F1F" w:sz="8" w:space="0"/>
              <w:bottom w:val="single" w:color="1F1F1F" w:sz="8" w:space="0"/>
              <w:right w:val="single" w:color="1F1F1F" w:sz="8" w:space="0"/>
            </w:tcBorders>
            <w:vAlign w:val="top"/>
          </w:tcPr>
          <w:p w14:paraId="0E95C79D">
            <w:pPr>
              <w:pStyle w:val="30"/>
              <w:keepNext w:val="0"/>
              <w:keepLines w:val="0"/>
              <w:widowControl/>
              <w:suppressLineNumbers w:val="0"/>
            </w:pPr>
            <w:r>
              <w:t>论文的核心创新体现在</w:t>
            </w:r>
            <w:r>
              <w:rPr>
                <w:rStyle w:val="134"/>
              </w:rPr>
              <w:t>对 query-based TAD 架构中 encoder 与 decoder 的针对性重构</w:t>
            </w:r>
            <w:r>
              <w:t xml:space="preserve">。在 encoder 端，作者提出了 </w:t>
            </w:r>
            <w:r>
              <w:rPr>
                <w:rStyle w:val="134"/>
              </w:rPr>
              <w:t>Multi-Dilated Gated Encoder（MDGE）</w:t>
            </w:r>
            <w:r>
              <w:t>，通过在单一尺度编码结构中引入多膨胀率卷积，显式建模不同时间感受野的信息，并结合门控机制抑制冗余特征，从而在不依赖传统多尺度特征堆叠的情况下同时捕获短期与长期时间依赖。这一设计从根本上改变了“多尺度必须依赖多层特征”的默认认知。</w:t>
            </w:r>
          </w:p>
          <w:p w14:paraId="70259094">
            <w:pPr>
              <w:pStyle w:val="30"/>
              <w:keepNext w:val="0"/>
              <w:keepLines w:val="0"/>
              <w:widowControl/>
              <w:suppressLineNumbers w:val="0"/>
              <w:rPr>
                <w:rFonts w:hint="eastAsia" w:eastAsia="宋体"/>
                <w:lang w:val="en-US" w:eastAsia="zh-CN"/>
              </w:rPr>
            </w:pPr>
            <w:r>
              <w:t xml:space="preserve">在 decoder 端，作者提出了 </w:t>
            </w:r>
            <w:r>
              <w:rPr>
                <w:rStyle w:val="134"/>
              </w:rPr>
              <w:t>Central-Adjacent Region Integrated Decoder（CAID）</w:t>
            </w:r>
            <w:r>
              <w:t>，突破了以往 deformable cross-attention 仅关注参考点中心区域的限制，通过顺序整合中心区域与相邻区域的采样信息，使 query 能够同时感知动作的核心区域与边界上下文，从而更有利于动作类别判别与起止边界回归。这一设计本质上是对“动作上下文信息分布方式”的重新建模，而非简单的注意力范围扩展。</w:t>
            </w:r>
          </w:p>
        </w:tc>
      </w:tr>
      <w:tr w14:paraId="6A487B75">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46A1E157">
            <w:pPr>
              <w:jc w:val="left"/>
            </w:pPr>
            <w:r>
              <w:rPr>
                <w:rFonts w:ascii="微软雅黑" w:hAnsi="微软雅黑" w:eastAsia="微软雅黑"/>
                <w:b/>
                <w:sz w:val="21"/>
              </w:rPr>
              <w:t>与已有工作的差异与创新（对照）</w:t>
            </w:r>
          </w:p>
        </w:tc>
        <w:tc>
          <w:tcPr>
            <w:tcW w:w="7776" w:type="dxa"/>
            <w:tcBorders>
              <w:top w:val="single" w:color="1F1F1F" w:sz="8" w:space="0"/>
              <w:left w:val="single" w:color="1F1F1F" w:sz="8" w:space="0"/>
              <w:bottom w:val="single" w:color="1F1F1F" w:sz="8" w:space="0"/>
              <w:right w:val="single" w:color="1F1F1F" w:sz="8" w:space="0"/>
            </w:tcBorders>
            <w:vAlign w:val="top"/>
          </w:tcPr>
          <w:p w14:paraId="1F1BBE5B">
            <w:r>
              <w:rPr>
                <w:rFonts w:ascii="宋体" w:hAnsi="宋体" w:eastAsia="宋体" w:cs="宋体"/>
                <w:sz w:val="24"/>
                <w:szCs w:val="24"/>
              </w:rPr>
              <w:t>与现有 query-based TAD 方法（如 TadTR、TE-TAD）相比，DiGIT 的关键差异不在于引入更多模块或更复杂的注意力机制，而在于</w:t>
            </w:r>
            <w:r>
              <w:rPr>
                <w:rStyle w:val="134"/>
                <w:rFonts w:ascii="宋体" w:hAnsi="宋体" w:eastAsia="宋体" w:cs="宋体"/>
                <w:sz w:val="24"/>
                <w:szCs w:val="24"/>
              </w:rPr>
              <w:t>明确指出并系统性解决了 encoder 与 decoder 设计中“源自目标检测但不适配 TAD”的结构性问题</w:t>
            </w:r>
            <w:r>
              <w:rPr>
                <w:rFonts w:ascii="宋体" w:hAnsi="宋体" w:eastAsia="宋体" w:cs="宋体"/>
                <w:sz w:val="24"/>
                <w:szCs w:val="24"/>
              </w:rPr>
              <w:t>。以往方法在 encoder 中要么采用单尺度特征限制时间建模能力，要么采用多尺度特征却引入高度冗余的信息传播；而 DiGIT 通过 MDGE 在单尺度框架内实现多感受野建模，从表示层面避免了多尺度冗余。与此同时，已有方法在 decoder 中普遍采用中心聚焦的 cross-attention 采样策略，默认中心区域足以表征动作实例，而 DiGIT 通过 CAID 显式引入相邻区域信息，弥补了动作边界与上下文建模的不足。因此，DiGIT 的创新并非对现有 DETR-style TAD 框架的局部修补，而是通过重新审视时间动作检测的任务特性，对 query-based 架构的关键组成模块进行了面向任务的再设计，从而在保持端到端优势的同时显著提升了对时间尺度多样性与动作上下文的建模能力。</w:t>
            </w:r>
          </w:p>
        </w:tc>
      </w:tr>
      <w:tr w14:paraId="3E7DCD1F">
        <w:tblPrEx>
          <w:tblCellMar>
            <w:top w:w="0" w:type="dxa"/>
            <w:left w:w="108" w:type="dxa"/>
            <w:bottom w:w="0" w:type="dxa"/>
            <w:right w:w="108" w:type="dxa"/>
          </w:tblCellMar>
        </w:tblPrEx>
        <w:trPr>
          <w:jc w:val="center"/>
        </w:trPr>
        <w:tc>
          <w:tcPr>
            <w:tcW w:w="10656" w:type="dxa"/>
            <w:gridSpan w:val="2"/>
            <w:tcBorders>
              <w:top w:val="single" w:color="1F1F1F" w:sz="8" w:space="0"/>
              <w:left w:val="single" w:color="1F1F1F" w:sz="8" w:space="0"/>
              <w:bottom w:val="single" w:color="1F1F1F" w:sz="8" w:space="0"/>
              <w:right w:val="single" w:color="1F1F1F" w:sz="8" w:space="0"/>
            </w:tcBorders>
            <w:shd w:val="clear" w:color="auto" w:fill="4F81BD"/>
            <w:vAlign w:val="center"/>
          </w:tcPr>
          <w:p w14:paraId="5313E4D8">
            <w:pPr>
              <w:jc w:val="center"/>
            </w:pPr>
            <w:r>
              <w:rPr>
                <w:rFonts w:ascii="微软雅黑" w:hAnsi="微软雅黑" w:eastAsia="微软雅黑"/>
                <w:b/>
                <w:color w:val="FFFFFF"/>
                <w:sz w:val="24"/>
              </w:rPr>
              <w:t>实验设计思路</w:t>
            </w:r>
          </w:p>
        </w:tc>
      </w:tr>
      <w:tr w14:paraId="5A5A9B13">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2A5AE7EA">
            <w:pPr>
              <w:jc w:val="left"/>
            </w:pPr>
            <w:r>
              <w:rPr>
                <w:rFonts w:ascii="微软雅黑" w:hAnsi="微软雅黑" w:eastAsia="微软雅黑"/>
                <w:b/>
                <w:sz w:val="21"/>
              </w:rPr>
              <w:t>输入对象（数据/样本/系统）</w:t>
            </w:r>
          </w:p>
        </w:tc>
        <w:tc>
          <w:tcPr>
            <w:tcW w:w="7776" w:type="dxa"/>
            <w:tcBorders>
              <w:top w:val="single" w:color="1F1F1F" w:sz="8" w:space="0"/>
              <w:left w:val="single" w:color="1F1F1F" w:sz="8" w:space="0"/>
              <w:bottom w:val="single" w:color="1F1F1F" w:sz="8" w:space="0"/>
              <w:right w:val="single" w:color="1F1F1F" w:sz="8" w:space="0"/>
            </w:tcBorders>
            <w:vAlign w:val="top"/>
          </w:tcPr>
          <w:p w14:paraId="6D8C2768">
            <w:r>
              <w:rPr>
                <w:rFonts w:ascii="宋体" w:hAnsi="宋体" w:eastAsia="宋体" w:cs="宋体"/>
                <w:sz w:val="24"/>
                <w:szCs w:val="24"/>
              </w:rPr>
              <w:t xml:space="preserve">实验主要在 </w:t>
            </w:r>
            <w:r>
              <w:rPr>
                <w:rStyle w:val="134"/>
                <w:rFonts w:ascii="宋体" w:hAnsi="宋体" w:eastAsia="宋体" w:cs="宋体"/>
                <w:sz w:val="24"/>
                <w:szCs w:val="24"/>
              </w:rPr>
              <w:t>THUMOS14</w:t>
            </w:r>
            <w:r>
              <w:rPr>
                <w:rFonts w:ascii="宋体" w:hAnsi="宋体" w:eastAsia="宋体" w:cs="宋体"/>
                <w:sz w:val="24"/>
                <w:szCs w:val="24"/>
              </w:rPr>
              <w:t xml:space="preserve"> 和 </w:t>
            </w:r>
            <w:r>
              <w:rPr>
                <w:rStyle w:val="134"/>
                <w:rFonts w:ascii="宋体" w:hAnsi="宋体" w:eastAsia="宋体" w:cs="宋体"/>
                <w:sz w:val="24"/>
                <w:szCs w:val="24"/>
              </w:rPr>
              <w:t>ActivityNet-1.3</w:t>
            </w:r>
            <w:r>
              <w:rPr>
                <w:rFonts w:ascii="宋体" w:hAnsi="宋体" w:eastAsia="宋体" w:cs="宋体"/>
                <w:sz w:val="24"/>
                <w:szCs w:val="24"/>
              </w:rPr>
              <w:t xml:space="preserve"> 数据集上进行，其中 THUMOS14 以动作持续时间短、边界密集著称，适合评估模型的边界定位能力；而 ActivityNet-1.3 包含大量长时动作实例，更强调语义理解与上下文建模能力。输入样本采用主流 TAD 设定，即将未裁剪视频划分为等间隔的 temporal snippets，并使用预训练视频 backbone 提取 snippet-level 特征，确保实验重点聚焦于检测框架与 Transformer 结构本身，而非底层特征提取差异。系统层面，DiGIT 作为被验证模型，与多种现有 query-based TAD 方法构成对照。</w:t>
            </w:r>
          </w:p>
        </w:tc>
      </w:tr>
      <w:tr w14:paraId="769F012F">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789149B2">
            <w:pPr>
              <w:jc w:val="left"/>
            </w:pPr>
            <w:r>
              <w:rPr>
                <w:rFonts w:ascii="微软雅黑" w:hAnsi="微软雅黑" w:eastAsia="微软雅黑"/>
                <w:b/>
                <w:sz w:val="21"/>
              </w:rPr>
              <w:t>实验流程（使用方法与技术）</w:t>
            </w:r>
          </w:p>
        </w:tc>
        <w:tc>
          <w:tcPr>
            <w:tcW w:w="7776" w:type="dxa"/>
            <w:tcBorders>
              <w:top w:val="single" w:color="1F1F1F" w:sz="8" w:space="0"/>
              <w:left w:val="single" w:color="1F1F1F" w:sz="8" w:space="0"/>
              <w:bottom w:val="single" w:color="1F1F1F" w:sz="8" w:space="0"/>
              <w:right w:val="single" w:color="1F1F1F" w:sz="8" w:space="0"/>
            </w:tcBorders>
            <w:vAlign w:val="top"/>
          </w:tcPr>
          <w:p w14:paraId="5AD0BF25">
            <w:r>
              <w:rPr>
                <w:rFonts w:ascii="宋体" w:hAnsi="宋体" w:eastAsia="宋体" w:cs="宋体"/>
                <w:sz w:val="24"/>
                <w:szCs w:val="24"/>
              </w:rPr>
              <w:t xml:space="preserve">整体实验流程遵循 </w:t>
            </w:r>
            <w:r>
              <w:rPr>
                <w:rStyle w:val="134"/>
                <w:rFonts w:ascii="宋体" w:hAnsi="宋体" w:eastAsia="宋体" w:cs="宋体"/>
                <w:sz w:val="24"/>
                <w:szCs w:val="24"/>
              </w:rPr>
              <w:t>query-based、端到端 TAD 框架</w:t>
            </w:r>
            <w:r>
              <w:rPr>
                <w:rFonts w:ascii="宋体" w:hAnsi="宋体" w:eastAsia="宋体" w:cs="宋体"/>
                <w:sz w:val="24"/>
                <w:szCs w:val="24"/>
              </w:rPr>
              <w:t xml:space="preserve">。在特征提取阶段，视频首先被编码为时间序列特征，随后输入 DiGIT 的 encoder–decoder 结构。在 encoder 端，作者使用提出的 </w:t>
            </w:r>
            <w:r>
              <w:rPr>
                <w:rStyle w:val="134"/>
                <w:rFonts w:ascii="宋体" w:hAnsi="宋体" w:eastAsia="宋体" w:cs="宋体"/>
                <w:sz w:val="24"/>
                <w:szCs w:val="24"/>
              </w:rPr>
              <w:t>Multi-Dilated Gated Encoder（MDGE）</w:t>
            </w:r>
            <w:r>
              <w:rPr>
                <w:rFonts w:ascii="宋体" w:hAnsi="宋体" w:eastAsia="宋体" w:cs="宋体"/>
                <w:sz w:val="24"/>
                <w:szCs w:val="24"/>
              </w:rPr>
              <w:t xml:space="preserve">，通过多膨胀率卷积在单尺度特征空间内捕获不同时间感受野的信息，并利用门控机制抑制冗余响应，形成更加紧凑且多尺度感知的时间表示。在 decoder 端，模型采用 </w:t>
            </w:r>
            <w:r>
              <w:rPr>
                <w:rStyle w:val="134"/>
                <w:rFonts w:ascii="宋体" w:hAnsi="宋体" w:eastAsia="宋体" w:cs="宋体"/>
                <w:sz w:val="24"/>
                <w:szCs w:val="24"/>
              </w:rPr>
              <w:t>Central-Adjacent Region Integrated Decoder（CAID）</w:t>
            </w:r>
            <w:r>
              <w:rPr>
                <w:rFonts w:ascii="宋体" w:hAnsi="宋体" w:eastAsia="宋体" w:cs="宋体"/>
                <w:sz w:val="24"/>
                <w:szCs w:val="24"/>
              </w:rPr>
              <w:t>，基于 learnable queries 对时间特征进行跨注意力交互，并通过顺序整合中心区域与相邻区域的采样信息，使每个 query 同时感知动作主体与其边界上下文。最终，decoder 输出一组动作候选实例，并通过前馈网络预测对应的动作类别与起止时间，实现端到端的动作检测，无需额外的后处理或 proposal 生成步骤。</w:t>
            </w:r>
          </w:p>
        </w:tc>
      </w:tr>
      <w:tr w14:paraId="182776E2">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6D57B458">
            <w:pPr>
              <w:jc w:val="left"/>
            </w:pPr>
            <w:r>
              <w:rPr>
                <w:rFonts w:ascii="微软雅黑" w:hAnsi="微软雅黑" w:eastAsia="微软雅黑"/>
                <w:b/>
                <w:sz w:val="21"/>
              </w:rPr>
              <w:t>验证路径（如何证明有效）</w:t>
            </w:r>
          </w:p>
        </w:tc>
        <w:tc>
          <w:tcPr>
            <w:tcW w:w="7776" w:type="dxa"/>
            <w:tcBorders>
              <w:top w:val="single" w:color="1F1F1F" w:sz="8" w:space="0"/>
              <w:left w:val="single" w:color="1F1F1F" w:sz="8" w:space="0"/>
              <w:bottom w:val="single" w:color="1F1F1F" w:sz="8" w:space="0"/>
              <w:right w:val="single" w:color="1F1F1F" w:sz="8" w:space="0"/>
            </w:tcBorders>
            <w:vAlign w:val="top"/>
          </w:tcPr>
          <w:p w14:paraId="231F66C5">
            <w:r>
              <w:rPr>
                <w:rFonts w:ascii="宋体" w:hAnsi="宋体" w:eastAsia="宋体" w:cs="宋体"/>
                <w:sz w:val="24"/>
                <w:szCs w:val="24"/>
              </w:rPr>
              <w:t>作者通过多层次、循序渐进的验证路径来证明 DiGIT 的有效性。首先，在 THUMOS14 和 ActivityNet-1.3 上，将 DiGIT 与多种代表性的 query-based TAD 方法进行整体性能对比，采用标准的 mAP@不同 IoU 阈值作为评测指标，以验证方法在不同动作时长与定位精度要求下的总体优势。其次，通过系统性的消融实验，分别去除或替换 MDGE 与 CAID 模块，分析各组件对检测性能的独立贡献，从而验证 encoder 与 decoder 重构设计的必要性。最后，作者进一步从模型行为层面对比不同 decoder 采样策略和 encoder 结构的表现差异，说明 DiGIT 的性能提升并非来自模型容量增加，而是源于对时间尺度建模与动作上下文建模方式的改进。通过“整体对比 + 模块消融 + 结构对照”的组合验证，论文建立了从设计动机到实验现象之间的清晰因果关系。</w:t>
            </w:r>
          </w:p>
        </w:tc>
      </w:tr>
      <w:tr w14:paraId="5CF149CE">
        <w:tblPrEx>
          <w:tblCellMar>
            <w:top w:w="0" w:type="dxa"/>
            <w:left w:w="108" w:type="dxa"/>
            <w:bottom w:w="0" w:type="dxa"/>
            <w:right w:w="108" w:type="dxa"/>
          </w:tblCellMar>
        </w:tblPrEx>
        <w:trPr>
          <w:jc w:val="center"/>
        </w:trPr>
        <w:tc>
          <w:tcPr>
            <w:tcW w:w="10656" w:type="dxa"/>
            <w:gridSpan w:val="2"/>
            <w:tcBorders>
              <w:top w:val="single" w:color="1F1F1F" w:sz="8" w:space="0"/>
              <w:left w:val="single" w:color="1F1F1F" w:sz="8" w:space="0"/>
              <w:bottom w:val="single" w:color="1F1F1F" w:sz="8" w:space="0"/>
              <w:right w:val="single" w:color="1F1F1F" w:sz="8" w:space="0"/>
            </w:tcBorders>
            <w:shd w:val="clear" w:color="auto" w:fill="4F81BD"/>
            <w:vAlign w:val="center"/>
          </w:tcPr>
          <w:p w14:paraId="2506A4EA">
            <w:pPr>
              <w:jc w:val="center"/>
            </w:pPr>
            <w:r>
              <w:rPr>
                <w:rFonts w:ascii="微软雅黑" w:hAnsi="微软雅黑" w:eastAsia="微软雅黑"/>
                <w:b/>
                <w:color w:val="FFFFFF"/>
                <w:sz w:val="24"/>
              </w:rPr>
              <w:t>图表与核心结果</w:t>
            </w:r>
          </w:p>
        </w:tc>
      </w:tr>
      <w:tr w14:paraId="21390C09">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6B40DC83">
            <w:pPr>
              <w:jc w:val="left"/>
            </w:pPr>
            <w:r>
              <w:rPr>
                <w:rFonts w:ascii="微软雅黑" w:hAnsi="微软雅黑" w:eastAsia="微软雅黑"/>
                <w:b/>
                <w:sz w:val="21"/>
              </w:rPr>
              <w:t>最核心的图表及其回答的问题</w:t>
            </w:r>
          </w:p>
        </w:tc>
        <w:tc>
          <w:tcPr>
            <w:tcW w:w="7776" w:type="dxa"/>
            <w:tcBorders>
              <w:top w:val="single" w:color="1F1F1F" w:sz="8" w:space="0"/>
              <w:left w:val="single" w:color="1F1F1F" w:sz="8" w:space="0"/>
              <w:bottom w:val="single" w:color="1F1F1F" w:sz="8" w:space="0"/>
              <w:right w:val="single" w:color="1F1F1F" w:sz="8" w:space="0"/>
            </w:tcBorders>
            <w:vAlign w:val="top"/>
          </w:tcPr>
          <w:p w14:paraId="3D0E7866">
            <w:r>
              <w:drawing>
                <wp:inline distT="0" distB="0" distL="114300" distR="114300">
                  <wp:extent cx="4791075" cy="2153285"/>
                  <wp:effectExtent l="0" t="0" r="952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791075" cy="2153285"/>
                          </a:xfrm>
                          <a:prstGeom prst="rect">
                            <a:avLst/>
                          </a:prstGeom>
                          <a:noFill/>
                          <a:ln>
                            <a:noFill/>
                          </a:ln>
                        </pic:spPr>
                      </pic:pic>
                    </a:graphicData>
                  </a:graphic>
                </wp:inline>
              </w:drawing>
            </w:r>
          </w:p>
        </w:tc>
      </w:tr>
      <w:tr w14:paraId="2AD7E2AA">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0E36834B">
            <w:pPr>
              <w:jc w:val="left"/>
            </w:pPr>
            <w:r>
              <w:rPr>
                <w:rFonts w:ascii="微软雅黑" w:hAnsi="微软雅黑" w:eastAsia="微软雅黑"/>
                <w:b/>
                <w:sz w:val="21"/>
              </w:rPr>
              <w:t>支撑主要结论的数据（关键数值整理）</w:t>
            </w:r>
          </w:p>
        </w:tc>
        <w:tc>
          <w:tcPr>
            <w:tcW w:w="7776" w:type="dxa"/>
            <w:tcBorders>
              <w:top w:val="single" w:color="1F1F1F" w:sz="8" w:space="0"/>
              <w:left w:val="single" w:color="1F1F1F" w:sz="8" w:space="0"/>
              <w:bottom w:val="single" w:color="1F1F1F" w:sz="8" w:space="0"/>
              <w:right w:val="single" w:color="1F1F1F" w:sz="8" w:space="0"/>
            </w:tcBorders>
            <w:vAlign w:val="top"/>
          </w:tcPr>
          <w:p w14:paraId="75FB7D07">
            <w:pPr>
              <w:rPr>
                <w:rFonts w:ascii="宋体" w:hAnsi="宋体" w:eastAsia="宋体" w:cs="宋体"/>
                <w:sz w:val="24"/>
                <w:szCs w:val="24"/>
              </w:rPr>
            </w:pPr>
            <w:r>
              <w:rPr>
                <w:rFonts w:ascii="宋体" w:hAnsi="宋体" w:eastAsia="宋体" w:cs="宋体"/>
                <w:sz w:val="24"/>
                <w:szCs w:val="24"/>
              </w:rPr>
              <w:t>THUMOS14（验证边界定位能力）</w:t>
            </w:r>
            <w:r>
              <w:rPr>
                <w:rStyle w:val="134"/>
                <w:rFonts w:ascii="宋体" w:hAnsi="宋体" w:eastAsia="宋体" w:cs="宋体"/>
                <w:sz w:val="24"/>
                <w:szCs w:val="24"/>
              </w:rPr>
              <w:t>IoU ≥ 0.5</w:t>
            </w:r>
            <w:r>
              <w:rPr>
                <w:rFonts w:ascii="宋体" w:hAnsi="宋体" w:eastAsia="宋体" w:cs="宋体"/>
                <w:sz w:val="24"/>
                <w:szCs w:val="24"/>
              </w:rPr>
              <w:t xml:space="preserve"> 时，DiGIT 的 mAP 明显高于 TadTR / TE-TAD</w:t>
            </w:r>
            <w:r>
              <w:rPr>
                <w:rFonts w:hint="eastAsia" w:ascii="宋体" w:hAnsi="宋体" w:eastAsia="宋体" w:cs="宋体"/>
                <w:sz w:val="24"/>
                <w:szCs w:val="24"/>
                <w:lang w:eastAsia="zh-CN"/>
              </w:rPr>
              <w:t>，</w:t>
            </w:r>
            <w:r>
              <w:rPr>
                <w:rFonts w:ascii="宋体" w:hAnsi="宋体" w:eastAsia="宋体" w:cs="宋体"/>
                <w:sz w:val="24"/>
                <w:szCs w:val="24"/>
              </w:rPr>
              <w:t>高 IoU 区间提升幅度大于低 IoU 区间</w:t>
            </w:r>
          </w:p>
          <w:p w14:paraId="4A3D09A6">
            <w:pPr>
              <w:rPr>
                <w:rFonts w:ascii="宋体" w:hAnsi="宋体" w:eastAsia="宋体" w:cs="宋体"/>
                <w:sz w:val="24"/>
                <w:szCs w:val="24"/>
              </w:rPr>
            </w:pPr>
            <w:r>
              <w:rPr>
                <w:rFonts w:ascii="宋体" w:hAnsi="宋体" w:eastAsia="宋体" w:cs="宋体"/>
                <w:sz w:val="24"/>
                <w:szCs w:val="24"/>
              </w:rPr>
              <w:t>DiGIT 在精确边界定位方面更稳定，MDGE 的多感受野时间建模有效。</w:t>
            </w:r>
          </w:p>
          <w:p w14:paraId="7EB27638">
            <w:pPr>
              <w:rPr>
                <w:rFonts w:ascii="宋体" w:hAnsi="宋体" w:eastAsia="宋体" w:cs="宋体"/>
                <w:sz w:val="24"/>
                <w:szCs w:val="24"/>
              </w:rPr>
            </w:pPr>
            <w:r>
              <w:rPr>
                <w:rFonts w:ascii="宋体" w:hAnsi="宋体" w:eastAsia="宋体" w:cs="宋体"/>
                <w:sz w:val="24"/>
                <w:szCs w:val="24"/>
              </w:rPr>
              <w:t>ActivityNet-1.3（验证上下文与语义建模）</w:t>
            </w:r>
          </w:p>
          <w:p w14:paraId="079BDCEF">
            <w:pPr>
              <w:rPr>
                <w:rFonts w:ascii="宋体" w:hAnsi="宋体" w:eastAsia="宋体" w:cs="宋体"/>
                <w:sz w:val="24"/>
                <w:szCs w:val="24"/>
              </w:rPr>
            </w:pPr>
            <w:r>
              <w:rPr>
                <w:rFonts w:ascii="宋体" w:hAnsi="宋体" w:eastAsia="宋体" w:cs="宋体"/>
                <w:sz w:val="24"/>
                <w:szCs w:val="24"/>
              </w:rPr>
              <w:t xml:space="preserve">在 </w:t>
            </w:r>
            <w:r>
              <w:rPr>
                <w:rStyle w:val="134"/>
                <w:rFonts w:ascii="宋体" w:hAnsi="宋体" w:eastAsia="宋体" w:cs="宋体"/>
                <w:sz w:val="24"/>
                <w:szCs w:val="24"/>
              </w:rPr>
              <w:t>mAP@0.75 与 Avg mAP</w:t>
            </w:r>
            <w:r>
              <w:rPr>
                <w:rFonts w:ascii="宋体" w:hAnsi="宋体" w:eastAsia="宋体" w:cs="宋体"/>
                <w:sz w:val="24"/>
                <w:szCs w:val="24"/>
              </w:rPr>
              <w:t xml:space="preserve"> 上取得稳定提升</w:t>
            </w:r>
            <w:r>
              <w:rPr>
                <w:rFonts w:hint="eastAsia" w:ascii="宋体" w:hAnsi="宋体" w:eastAsia="宋体" w:cs="宋体"/>
                <w:sz w:val="24"/>
                <w:szCs w:val="24"/>
                <w:lang w:eastAsia="zh-CN"/>
              </w:rPr>
              <w:t>，</w:t>
            </w:r>
            <w:r>
              <w:rPr>
                <w:rFonts w:ascii="宋体" w:hAnsi="宋体" w:eastAsia="宋体" w:cs="宋体"/>
                <w:sz w:val="24"/>
                <w:szCs w:val="24"/>
              </w:rPr>
              <w:t>长动作检测性能改进更为明显</w:t>
            </w:r>
          </w:p>
          <w:p w14:paraId="5151E5AC">
            <w:pPr>
              <w:rPr>
                <w:rFonts w:ascii="宋体" w:hAnsi="宋体" w:eastAsia="宋体" w:cs="宋体"/>
                <w:sz w:val="24"/>
                <w:szCs w:val="24"/>
              </w:rPr>
            </w:pPr>
            <w:r>
              <w:rPr>
                <w:rFonts w:ascii="宋体" w:hAnsi="宋体" w:eastAsia="宋体" w:cs="宋体"/>
                <w:sz w:val="24"/>
                <w:szCs w:val="24"/>
              </w:rPr>
              <w:t>CAID 有效增强了对动作上下文的建模能力，而非仅关注中心区域。</w:t>
            </w:r>
          </w:p>
          <w:p w14:paraId="25EAF6F3">
            <w:pPr>
              <w:rPr>
                <w:rFonts w:ascii="宋体" w:hAnsi="宋体" w:eastAsia="宋体" w:cs="宋体"/>
                <w:sz w:val="24"/>
                <w:szCs w:val="24"/>
              </w:rPr>
            </w:pPr>
            <w:r>
              <w:rPr>
                <w:rFonts w:ascii="宋体" w:hAnsi="宋体" w:eastAsia="宋体" w:cs="宋体"/>
                <w:sz w:val="24"/>
                <w:szCs w:val="24"/>
              </w:rPr>
              <w:t>消融实验（验证模块必要性）</w:t>
            </w:r>
          </w:p>
          <w:p w14:paraId="1FEBFCFB">
            <w:pPr>
              <w:rPr>
                <w:rFonts w:ascii="宋体" w:hAnsi="宋体" w:eastAsia="宋体" w:cs="宋体"/>
                <w:sz w:val="24"/>
                <w:szCs w:val="24"/>
              </w:rPr>
            </w:pPr>
            <w:r>
              <w:rPr>
                <w:rFonts w:ascii="宋体" w:hAnsi="宋体" w:eastAsia="宋体" w:cs="宋体"/>
                <w:sz w:val="24"/>
                <w:szCs w:val="24"/>
              </w:rPr>
              <w:t>Baseline → +MDGE：高 IoU 下 mAP 明显提升</w:t>
            </w:r>
          </w:p>
          <w:p w14:paraId="079B84F0">
            <w:pPr>
              <w:rPr>
                <w:rFonts w:ascii="宋体" w:hAnsi="宋体" w:eastAsia="宋体" w:cs="宋体"/>
                <w:sz w:val="24"/>
                <w:szCs w:val="24"/>
              </w:rPr>
            </w:pPr>
            <w:r>
              <w:rPr>
                <w:rFonts w:ascii="宋体" w:hAnsi="宋体" w:eastAsia="宋体" w:cs="宋体"/>
                <w:sz w:val="24"/>
                <w:szCs w:val="24"/>
              </w:rPr>
              <w:t>Baseline → +CAID：整体 mAP 稳定提升</w:t>
            </w:r>
          </w:p>
          <w:p w14:paraId="5857C9C5">
            <w:pPr>
              <w:rPr>
                <w:rFonts w:ascii="宋体" w:hAnsi="宋体" w:eastAsia="宋体" w:cs="宋体"/>
                <w:sz w:val="24"/>
                <w:szCs w:val="24"/>
              </w:rPr>
            </w:pPr>
            <w:r>
              <w:rPr>
                <w:rFonts w:ascii="宋体" w:hAnsi="宋体" w:eastAsia="宋体" w:cs="宋体"/>
                <w:sz w:val="24"/>
                <w:szCs w:val="24"/>
              </w:rPr>
              <w:t>+MDGE → +MDGE+CAID：性能进一步提升，无冲突</w:t>
            </w:r>
          </w:p>
          <w:p w14:paraId="5C2BA283">
            <w:pPr>
              <w:rPr>
                <w:rFonts w:hint="eastAsia" w:ascii="宋体" w:hAnsi="宋体" w:eastAsia="宋体" w:cs="宋体"/>
                <w:sz w:val="24"/>
                <w:szCs w:val="24"/>
                <w:lang w:eastAsia="zh-CN"/>
              </w:rPr>
            </w:pPr>
            <w:r>
              <w:rPr>
                <w:rFonts w:ascii="宋体" w:hAnsi="宋体" w:eastAsia="宋体" w:cs="宋体"/>
                <w:sz w:val="24"/>
                <w:szCs w:val="24"/>
              </w:rPr>
              <w:t>Encoder 与 decoder 的针对性重构分别解决不同子问题，且在统一框架下形成互补。</w:t>
            </w:r>
          </w:p>
        </w:tc>
      </w:tr>
      <w:tr w14:paraId="6799A3E0">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30090099">
            <w:pPr>
              <w:jc w:val="left"/>
            </w:pPr>
            <w:r>
              <w:rPr>
                <w:rFonts w:ascii="微软雅黑" w:hAnsi="微软雅黑" w:eastAsia="微软雅黑"/>
                <w:b/>
                <w:sz w:val="21"/>
              </w:rPr>
              <w:t>图表呈现方式（颜色/比例/对比方式）</w:t>
            </w:r>
          </w:p>
        </w:tc>
        <w:tc>
          <w:tcPr>
            <w:tcW w:w="7776" w:type="dxa"/>
            <w:tcBorders>
              <w:top w:val="single" w:color="1F1F1F" w:sz="8" w:space="0"/>
              <w:left w:val="single" w:color="1F1F1F" w:sz="8" w:space="0"/>
              <w:bottom w:val="single" w:color="1F1F1F" w:sz="8" w:space="0"/>
              <w:right w:val="single" w:color="1F1F1F" w:sz="8" w:space="0"/>
            </w:tcBorders>
            <w:vAlign w:val="top"/>
          </w:tcPr>
          <w:p w14:paraId="28BA8B71"/>
        </w:tc>
      </w:tr>
      <w:tr w14:paraId="460410DF">
        <w:tblPrEx>
          <w:tblCellMar>
            <w:top w:w="0" w:type="dxa"/>
            <w:left w:w="108" w:type="dxa"/>
            <w:bottom w:w="0" w:type="dxa"/>
            <w:right w:w="108" w:type="dxa"/>
          </w:tblCellMar>
        </w:tblPrEx>
        <w:trPr>
          <w:jc w:val="center"/>
        </w:trPr>
        <w:tc>
          <w:tcPr>
            <w:tcW w:w="10656" w:type="dxa"/>
            <w:gridSpan w:val="2"/>
            <w:tcBorders>
              <w:top w:val="single" w:color="1F1F1F" w:sz="8" w:space="0"/>
              <w:left w:val="single" w:color="1F1F1F" w:sz="8" w:space="0"/>
              <w:bottom w:val="single" w:color="1F1F1F" w:sz="8" w:space="0"/>
              <w:right w:val="single" w:color="1F1F1F" w:sz="8" w:space="0"/>
            </w:tcBorders>
            <w:shd w:val="clear" w:color="auto" w:fill="4F81BD"/>
            <w:vAlign w:val="center"/>
          </w:tcPr>
          <w:p w14:paraId="07248251">
            <w:pPr>
              <w:jc w:val="center"/>
            </w:pPr>
            <w:r>
              <w:rPr>
                <w:rFonts w:ascii="微软雅黑" w:hAnsi="微软雅黑" w:eastAsia="微软雅黑"/>
                <w:b/>
                <w:color w:val="FFFFFF"/>
                <w:sz w:val="24"/>
              </w:rPr>
              <w:t>思路总结</w:t>
            </w:r>
          </w:p>
        </w:tc>
      </w:tr>
      <w:tr w14:paraId="687A97BF">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50DAF059">
            <w:pPr>
              <w:jc w:val="left"/>
            </w:pPr>
            <w:r>
              <w:rPr>
                <w:rFonts w:ascii="微软雅黑" w:hAnsi="微软雅黑" w:eastAsia="微软雅黑"/>
                <w:b/>
                <w:sz w:val="21"/>
              </w:rPr>
              <w:t>作者是如何一步步说服读者该研究有价值的？</w:t>
            </w:r>
          </w:p>
        </w:tc>
        <w:tc>
          <w:tcPr>
            <w:tcW w:w="7776" w:type="dxa"/>
            <w:tcBorders>
              <w:top w:val="single" w:color="1F1F1F" w:sz="8" w:space="0"/>
              <w:left w:val="single" w:color="1F1F1F" w:sz="8" w:space="0"/>
              <w:bottom w:val="single" w:color="1F1F1F" w:sz="8" w:space="0"/>
              <w:right w:val="single" w:color="1F1F1F" w:sz="8" w:space="0"/>
            </w:tcBorders>
            <w:vAlign w:val="top"/>
          </w:tcPr>
          <w:p w14:paraId="75FEE9CE">
            <w:pPr>
              <w:pStyle w:val="30"/>
              <w:keepNext w:val="0"/>
              <w:keepLines w:val="0"/>
              <w:widowControl/>
              <w:suppressLineNumbers w:val="0"/>
            </w:pPr>
            <w:r>
              <w:t>论文首先并未从性能不足入手，而是指出一个更根本的问题：现有 query-based TAD 方法在形式上采用了 DETR-style 端到端框架，但在 encoder 和 decoder 的设计上几乎直接继承了目标检测中的假设，而没有充分考虑时间动作检测在时间尺度分布和动作上下文建模方面的特殊性。基于这一观察，作者将问题具体化为两个层面：encoder 难以在单尺度特征中同时捕获不同时间感受野，decoder 中的 cross-attention 过度依赖中心区域，忽略动作边界和相邻上下文。</w:t>
            </w:r>
          </w:p>
          <w:p w14:paraId="007872F5">
            <w:pPr>
              <w:pStyle w:val="30"/>
              <w:keepNext w:val="0"/>
              <w:keepLines w:val="0"/>
              <w:widowControl/>
              <w:suppressLineNumbers w:val="0"/>
            </w:pPr>
            <w:r>
              <w:t>在方法设计上，作者并未推翻 query-based 范式，而是针对上述问题对 encoder 和 decoder 分别进行有针对性的重构，从而降低了方法的“侵入性”，增强了合理性。在实验验证中，作者通过主结果对比、模块消融以及采样行为分析，逐层建立从“设计动机”到“模型行为变化”再到“性能提升”的因果链条，使读者相信性能改进并非来自模型规模或训练技巧，而是源于对任务结构的更合理建模。这种从问题抽象到实验现象的闭环论证，是论文说服力的核心来源。</w:t>
            </w:r>
          </w:p>
        </w:tc>
      </w:tr>
      <w:tr w14:paraId="5D7D7C23">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69794587">
            <w:pPr>
              <w:jc w:val="left"/>
            </w:pPr>
            <w:r>
              <w:rPr>
                <w:rFonts w:ascii="微软雅黑" w:hAnsi="微软雅黑" w:eastAsia="微软雅黑"/>
                <w:b/>
                <w:sz w:val="21"/>
              </w:rPr>
              <w:t>如果你来做这个研究，会如何改进或扩展？</w:t>
            </w:r>
          </w:p>
        </w:tc>
        <w:tc>
          <w:tcPr>
            <w:tcW w:w="7776" w:type="dxa"/>
            <w:tcBorders>
              <w:top w:val="single" w:color="1F1F1F" w:sz="8" w:space="0"/>
              <w:left w:val="single" w:color="1F1F1F" w:sz="8" w:space="0"/>
              <w:bottom w:val="single" w:color="1F1F1F" w:sz="8" w:space="0"/>
              <w:right w:val="single" w:color="1F1F1F" w:sz="8" w:space="0"/>
            </w:tcBorders>
            <w:vAlign w:val="top"/>
          </w:tcPr>
          <w:p w14:paraId="5F1DA9BA">
            <w:pPr>
              <w:pStyle w:val="30"/>
              <w:keepNext w:val="0"/>
              <w:keepLines w:val="0"/>
              <w:widowControl/>
              <w:suppressLineNumbers w:val="0"/>
            </w:pPr>
            <w:r>
              <w:t>如果在 DiGIT 的基础上进一步推进研究，一个自然的方向是将其“固定结构假设”转为“自适应建模机制”。例如，MDGE 中的多膨胀率卷积目前采用预设的感受野组合，未来可以考虑让膨胀率或门控权重随视频内容动态调整，从而更灵活地适应不同动作时长分布。类似地，CAID 中中心区域与相邻区域的建模顺序和范围也可以进一步泛化，例如引入不对称上下文或基于预测不确定性的区域选择机制。</w:t>
            </w:r>
          </w:p>
          <w:p w14:paraId="13169410">
            <w:pPr>
              <w:pStyle w:val="30"/>
              <w:keepNext w:val="0"/>
              <w:keepLines w:val="0"/>
              <w:widowControl/>
              <w:suppressLineNumbers w:val="0"/>
            </w:pPr>
            <w:r>
              <w:t>此外，从研究影响力的角度看，将 DiGIT 的设计思想迁移到更主流的 TAD 框架（如 ActionFormer、TriDet）或与频域建模、多尺度时间金字塔相结合，能够验证其作为“通用建模思想”而非“特定模型”的价值。这类扩展不仅有助于提升性能，也能强化论文在方法论层面的贡献。</w:t>
            </w:r>
          </w:p>
        </w:tc>
      </w:tr>
      <w:tr w14:paraId="109A7A45">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78881508">
            <w:pPr>
              <w:jc w:val="left"/>
            </w:pPr>
            <w:r>
              <w:rPr>
                <w:rFonts w:ascii="微软雅黑" w:hAnsi="微软雅黑" w:eastAsia="微软雅黑"/>
                <w:b/>
                <w:sz w:val="21"/>
              </w:rPr>
              <w:t>你从这篇文章的结构与逻辑中学到了什么？</w:t>
            </w:r>
          </w:p>
        </w:tc>
        <w:tc>
          <w:tcPr>
            <w:tcW w:w="7776" w:type="dxa"/>
            <w:tcBorders>
              <w:top w:val="single" w:color="1F1F1F" w:sz="8" w:space="0"/>
              <w:left w:val="single" w:color="1F1F1F" w:sz="8" w:space="0"/>
              <w:bottom w:val="single" w:color="1F1F1F" w:sz="8" w:space="0"/>
              <w:right w:val="single" w:color="1F1F1F" w:sz="8" w:space="0"/>
            </w:tcBorders>
            <w:vAlign w:val="top"/>
          </w:tcPr>
          <w:p w14:paraId="26806FA8">
            <w:pPr>
              <w:pStyle w:val="30"/>
              <w:keepNext w:val="0"/>
              <w:keepLines w:val="0"/>
              <w:widowControl/>
              <w:suppressLineNumbers w:val="0"/>
            </w:pPr>
            <w:r>
              <w:t>从结构与逻辑上看，DiGIT 是一篇非常典型的“问题驱动型”研究。作者并未先提出复杂模块，而是先明确指出现有方法在跨领域迁移（从目标检测到时间动作检测）过程中被忽视的假设不匹配问题。这使得后续所有设计都有明确的出发点，而不是事后合理化。整篇论文中，方法章节与实验章节高度对应，每一个模块都能在消融实验中找到清晰的功能定位，从而避免了“模块堆叠但贡献不明”的常见问题。</w:t>
            </w:r>
          </w:p>
          <w:p w14:paraId="5B5D147F">
            <w:pPr>
              <w:pStyle w:val="30"/>
              <w:keepNext w:val="0"/>
              <w:keepLines w:val="0"/>
              <w:widowControl/>
              <w:suppressLineNumbers w:val="0"/>
            </w:pPr>
            <w:r>
              <w:t>此外，论文在图表使用和实验数量上非常克制，没有追求全面覆盖，而是聚焦于“是否解决了作者声称的问题”。这种以因果验证为核心的写作逻辑，体现了成熟研究在“少而精”方面的价值，也非常值得在自己写论文时借鉴。</w:t>
            </w:r>
          </w:p>
        </w:tc>
      </w:tr>
      <w:tr w14:paraId="338D66D0">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4C6AFC2D">
            <w:pPr>
              <w:jc w:val="left"/>
            </w:pPr>
            <w:r>
              <w:rPr>
                <w:rFonts w:ascii="微软雅黑" w:hAnsi="微软雅黑" w:eastAsia="微软雅黑"/>
                <w:b/>
                <w:sz w:val="21"/>
              </w:rPr>
              <w:t>我能借鉴这个思路做什么？</w:t>
            </w:r>
          </w:p>
        </w:tc>
        <w:tc>
          <w:tcPr>
            <w:tcW w:w="7776" w:type="dxa"/>
            <w:tcBorders>
              <w:top w:val="single" w:color="1F1F1F" w:sz="8" w:space="0"/>
              <w:left w:val="single" w:color="1F1F1F" w:sz="8" w:space="0"/>
              <w:bottom w:val="single" w:color="1F1F1F" w:sz="8" w:space="0"/>
              <w:right w:val="single" w:color="1F1F1F" w:sz="8" w:space="0"/>
            </w:tcBorders>
            <w:vAlign w:val="top"/>
          </w:tcPr>
          <w:p w14:paraId="48D20037">
            <w:r>
              <w:rPr>
                <w:rFonts w:ascii="宋体" w:hAnsi="宋体" w:eastAsia="宋体" w:cs="宋体"/>
                <w:sz w:val="24"/>
                <w:szCs w:val="24"/>
              </w:rPr>
              <w:t>从方法论层面看，DiGIT 提供了一个非常重要的研究启示：当一个成功范式被直接迁移到新任务时，性能瓶颈往往不在于模型能力不足，而在于隐含假设与任务属性的不匹配。与其不断叠加模块，不如回到 encoder、decoder 或预测层级，重新审视“哪些设计是继承来的，哪些是真正适合当前任务的”。在</w:t>
            </w:r>
            <w:bookmarkStart w:id="0" w:name="_GoBack"/>
            <w:bookmarkEnd w:id="0"/>
            <w:r>
              <w:rPr>
                <w:rFonts w:ascii="宋体" w:hAnsi="宋体" w:eastAsia="宋体" w:cs="宋体"/>
                <w:sz w:val="24"/>
                <w:szCs w:val="24"/>
              </w:rPr>
              <w:t>研究中，可以借鉴这种思路去审视已有框架是否存在类似的“范式惯性”，例如统一时间尺度建模、中心对齐假设或单层监督信号等问题。通过对问题表示或信息流路径的重构，而非单纯增加复杂度，往往更容易产出具有长期价值和可迁移性的研究成果。</w:t>
            </w:r>
          </w:p>
        </w:tc>
      </w:tr>
      <w:tr w14:paraId="011D574E">
        <w:tblPrEx>
          <w:tblCellMar>
            <w:top w:w="0" w:type="dxa"/>
            <w:left w:w="108" w:type="dxa"/>
            <w:bottom w:w="0" w:type="dxa"/>
            <w:right w:w="108" w:type="dxa"/>
          </w:tblCellMar>
        </w:tblPrEx>
        <w:trPr>
          <w:jc w:val="center"/>
        </w:trPr>
        <w:tc>
          <w:tcPr>
            <w:tcW w:w="10656" w:type="dxa"/>
            <w:gridSpan w:val="2"/>
            <w:tcBorders>
              <w:top w:val="single" w:color="1F1F1F" w:sz="8" w:space="0"/>
              <w:left w:val="single" w:color="1F1F1F" w:sz="8" w:space="0"/>
              <w:bottom w:val="single" w:color="1F1F1F" w:sz="8" w:space="0"/>
              <w:right w:val="single" w:color="1F1F1F" w:sz="8" w:space="0"/>
            </w:tcBorders>
            <w:shd w:val="clear" w:color="auto" w:fill="4F81BD"/>
            <w:vAlign w:val="center"/>
          </w:tcPr>
          <w:p w14:paraId="1C0786CD">
            <w:pPr>
              <w:jc w:val="center"/>
            </w:pPr>
            <w:r>
              <w:rPr>
                <w:rFonts w:ascii="微软雅黑" w:hAnsi="微软雅黑" w:eastAsia="微软雅黑"/>
                <w:b/>
                <w:color w:val="FFFFFF"/>
                <w:sz w:val="24"/>
              </w:rPr>
              <w:t>备注</w:t>
            </w:r>
          </w:p>
        </w:tc>
      </w:tr>
      <w:tr w14:paraId="0CB9C150">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591DB20A">
            <w:pPr>
              <w:jc w:val="left"/>
            </w:pPr>
            <w:r>
              <w:rPr>
                <w:rFonts w:ascii="微软雅黑" w:hAnsi="微软雅黑" w:eastAsia="微软雅黑"/>
                <w:b/>
                <w:sz w:val="21"/>
              </w:rPr>
              <w:t>想要用的句式/写作策略</w:t>
            </w:r>
          </w:p>
        </w:tc>
        <w:tc>
          <w:tcPr>
            <w:tcW w:w="7776" w:type="dxa"/>
            <w:tcBorders>
              <w:top w:val="single" w:color="1F1F1F" w:sz="8" w:space="0"/>
              <w:left w:val="single" w:color="1F1F1F" w:sz="8" w:space="0"/>
              <w:bottom w:val="single" w:color="1F1F1F" w:sz="8" w:space="0"/>
              <w:right w:val="single" w:color="1F1F1F" w:sz="8" w:space="0"/>
            </w:tcBorders>
            <w:vAlign w:val="top"/>
          </w:tcPr>
          <w:p w14:paraId="2E4D44F4"/>
        </w:tc>
      </w:tr>
      <w:tr w14:paraId="15EE3432">
        <w:tblPrEx>
          <w:tblCellMar>
            <w:top w:w="0" w:type="dxa"/>
            <w:left w:w="108" w:type="dxa"/>
            <w:bottom w:w="0" w:type="dxa"/>
            <w:right w:w="108" w:type="dxa"/>
          </w:tblCellMar>
        </w:tblPrEx>
        <w:trPr>
          <w:jc w:val="center"/>
        </w:trPr>
        <w:tc>
          <w:tcPr>
            <w:tcW w:w="2880" w:type="dxa"/>
            <w:tcBorders>
              <w:top w:val="single" w:color="1F1F1F" w:sz="8" w:space="0"/>
              <w:left w:val="single" w:color="1F1F1F" w:sz="8" w:space="0"/>
              <w:bottom w:val="single" w:color="1F1F1F" w:sz="8" w:space="0"/>
              <w:right w:val="single" w:color="1F1F1F" w:sz="8" w:space="0"/>
            </w:tcBorders>
            <w:shd w:val="clear" w:color="auto" w:fill="E7EEF7"/>
            <w:vAlign w:val="top"/>
          </w:tcPr>
          <w:p w14:paraId="1440530E">
            <w:pPr>
              <w:jc w:val="left"/>
            </w:pPr>
            <w:r>
              <w:rPr>
                <w:rFonts w:ascii="微软雅黑" w:hAnsi="微软雅黑" w:eastAsia="微软雅黑"/>
                <w:b/>
                <w:sz w:val="21"/>
              </w:rPr>
              <w:t>推荐对照阅读（Related Work 衔接）</w:t>
            </w:r>
          </w:p>
        </w:tc>
        <w:tc>
          <w:tcPr>
            <w:tcW w:w="7776" w:type="dxa"/>
            <w:tcBorders>
              <w:top w:val="single" w:color="1F1F1F" w:sz="8" w:space="0"/>
              <w:left w:val="single" w:color="1F1F1F" w:sz="8" w:space="0"/>
              <w:bottom w:val="single" w:color="1F1F1F" w:sz="8" w:space="0"/>
              <w:right w:val="single" w:color="1F1F1F" w:sz="8" w:space="0"/>
            </w:tcBorders>
            <w:vAlign w:val="top"/>
          </w:tcPr>
          <w:p w14:paraId="4B09D0B3"/>
        </w:tc>
      </w:tr>
    </w:tbl>
    <w:p w14:paraId="67B4D63C">
      <w:pPr>
        <w:jc w:val="both"/>
      </w:pPr>
    </w:p>
    <w:sectPr>
      <w:pgSz w:w="11909" w:h="16834"/>
      <w:pgMar w:top="864" w:right="864" w:bottom="864" w:left="8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8C1B1D"/>
    <w:rsid w:val="3453769E"/>
    <w:rsid w:val="506022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338</Words>
  <Characters>347</Characters>
  <Lines>0</Lines>
  <Paragraphs>0</Paragraphs>
  <TotalTime>39</TotalTime>
  <ScaleCrop>false</ScaleCrop>
  <LinksUpToDate>false</LinksUpToDate>
  <CharactersWithSpaces>349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簡單灬愛</cp:lastModifiedBy>
  <dcterms:modified xsi:type="dcterms:W3CDTF">2026-01-28T07:04:10Z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eyJoZGlkIjoiZjUwM2I0NmRjNzZmZTg5ZmZmY2MxNTcwNDA5YjhlZjYiLCJ1c2VySWQiOiIzODM4MDE5MDQifQ==</vt:lpwstr>
  </property>
  <property fmtid="{D5CDD505-2E9C-101B-9397-08002B2CF9AE}" pid="3" name="KSOProductBuildVer">
    <vt:lpwstr>2052-12.1.0.24657</vt:lpwstr>
  </property>
  <property fmtid="{D5CDD505-2E9C-101B-9397-08002B2CF9AE}" pid="4" name="ICV">
    <vt:lpwstr>F7478F206DB44143B917A1FB30064867_13</vt:lpwstr>
  </property>
</Properties>
</file>