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/>
    <w:tbl>
      <w:tblPr>
        <w:tblStyle w:val="33"/>
        <w:tblW w:w="106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文献精读第7篇：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9AD5DE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Learning Transferable Visual Models From Natural Language Supervision</w:t>
            </w:r>
          </w:p>
          <w:p w14:paraId="0107138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从自然语言监督中学习可迁移的视觉模型</w:t>
            </w:r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ICML2021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AA5CC6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Vision–Language Learning</w:t>
            </w:r>
          </w:p>
          <w:p w14:paraId="17EDB34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Representation Learning</w:t>
            </w:r>
          </w:p>
          <w:p w14:paraId="4A0BD03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Natural Language Supervision</w:t>
            </w:r>
          </w:p>
          <w:p w14:paraId="5878062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Contrastive Learning</w:t>
            </w:r>
          </w:p>
          <w:p w14:paraId="7908023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Cross-modal Embedding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E1962D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本研究旨在解决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传统计算机视觉模型泛化能力差、依赖大量人工标注数据</w:t>
            </w:r>
            <w:r>
              <w:rPr>
                <w:rFonts w:ascii="宋体" w:hAnsi="宋体" w:eastAsia="宋体" w:cs="宋体"/>
                <w:sz w:val="24"/>
                <w:szCs w:val="24"/>
              </w:rPr>
              <w:t>的问题。具体来说，作者关注以下核心痛点：现有视觉模型通常只能识别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固定类别集合</w:t>
            </w:r>
            <w:r>
              <w:rPr>
                <w:rFonts w:ascii="宋体" w:hAnsi="宋体" w:eastAsia="宋体" w:cs="宋体"/>
                <w:sz w:val="24"/>
                <w:szCs w:val="24"/>
              </w:rPr>
              <w:t>（如 ImageNet 的 1000 类）。一旦任务或类别发生变化，就必须重新收集标注数据并重新训练模型。这种“封闭类别 + 强监督”的范式严重限制了模型的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通用性与可扩展性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3C1C76E9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通过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自然语言作为监督信号</w:t>
            </w:r>
            <w:r>
              <w:rPr>
                <w:rFonts w:ascii="宋体" w:hAnsi="宋体" w:eastAsia="宋体" w:cs="宋体"/>
                <w:sz w:val="24"/>
                <w:szCs w:val="24"/>
              </w:rPr>
              <w:t>，使模型能够：不依赖特定数据集的标签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通过文本描述直接完成新任务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在多个下游任务上实现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零样本迁移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（1）计算机视觉的主流范式问题</w:t>
            </w:r>
          </w:p>
          <w:p w14:paraId="3E1DFE9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主流方法依赖如 ImageNet 这样的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人工标注数据集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标签数量有限、语义固定、成本高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模型往往对数据分布变化（domain shift）非常敏感</w:t>
            </w:r>
          </w:p>
          <w:p w14:paraId="67AE8B9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（2）NLP 领域的成功启发</w:t>
            </w:r>
          </w:p>
          <w:p w14:paraId="1B1167C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GPT、BERT 等模型证明：大规模自然语言预训练 + 任务无关目标可以在零样本或少样本条件下完成多种任务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作者提出一个关键类比问题：既然 NLP 可以从“原始文本”中学习通用能力，那么计算机视觉是否也可以从“图文对”中学习？</w:t>
            </w:r>
          </w:p>
          <w:p w14:paraId="60C3FEA9">
            <w:pPr>
              <w:numPr>
                <w:ilvl w:val="0"/>
                <w:numId w:val="7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已有多模态工作的不足</w:t>
            </w:r>
          </w:p>
          <w:p w14:paraId="6A945A85">
            <w:pPr>
              <w:numPr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早期图文学习方法（如 Visual N-Grams）：数据规模小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零样本性能很低（ImageNet 仅约 11%）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t>一些弱监督方法仍然：依赖固定类别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使用静态分类头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不具备真正的“开放世界”能力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8CB60E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是否可以通过大规模自然语言监督，训练一个通用的视觉模型，使其无需再针对具体任务进行训练，就能直接迁移到多种下游视觉任务？</w:t>
            </w:r>
          </w:p>
          <w:p w14:paraId="5041AF1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自然语言是否能作为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足够强且通用的监督信号</w:t>
            </w:r>
            <w:r>
              <w:rPr>
                <w:rFonts w:ascii="宋体" w:hAnsi="宋体" w:eastAsia="宋体" w:cs="宋体"/>
                <w:sz w:val="24"/>
                <w:szCs w:val="24"/>
              </w:rPr>
              <w:t>？</w:t>
            </w:r>
          </w:p>
          <w:p w14:paraId="3C2B8C4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图像—文本匹配这种简单目标，是否足以学习高质量视觉表示？</w:t>
            </w:r>
          </w:p>
          <w:p w14:paraId="3F2A54A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这样的模型是否能在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零样本条件下</w:t>
            </w:r>
            <w:r>
              <w:rPr>
                <w:rFonts w:ascii="宋体" w:hAnsi="宋体" w:eastAsia="宋体" w:cs="宋体"/>
                <w:sz w:val="24"/>
                <w:szCs w:val="24"/>
              </w:rPr>
              <w:t>与强监督模型竞争？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610A5B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过去缺乏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大规模验证</w:t>
            </w:r>
            <w:r>
              <w:rPr>
                <w:rFonts w:ascii="宋体" w:hAnsi="宋体" w:eastAsia="宋体" w:cs="宋体"/>
                <w:sz w:val="24"/>
                <w:szCs w:val="24"/>
              </w:rPr>
              <w:t>：自然语言监督在视觉领域是否能真正“规模化”不清楚简单的对比学习目标是否足以支撑复杂视觉能力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零样本视觉学习的系统性评估非常有限</w:t>
            </w:r>
          </w:p>
          <w:p w14:paraId="43BF15E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正是试图填补这一空白：用极简但可扩展的训练目标 + 超大规模图文数据，验证自然语言监督是否可以成为通用视觉学习范式。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探索是否能够仅依赖自然语言监督，在大规模图文数据上训练出一个具备强泛化能力、可零样本迁移的通用视觉模型。</w:t>
            </w:r>
          </w:p>
          <w:p w14:paraId="3844B99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打破传统“固定类别 + 强监督”的视觉学习范式</w:t>
            </w:r>
          </w:p>
          <w:p w14:paraId="4DFCA90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验证自然语言是否可作为通用监督信号</w:t>
            </w:r>
          </w:p>
          <w:p w14:paraId="08DAF05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实现真正意义上的零样本视觉迁移（Zero-shot Transfer）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创新点一：提出“自然语言监督”作为视觉预训练的核心范式</w:t>
            </w:r>
          </w:p>
          <w:p w14:paraId="18B4E868">
            <w:pPr>
              <w:rPr>
                <w:rStyle w:val="135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将自然语言从“辅助信息”提升为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主要监督信号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明确提出并系统验证 </w:t>
            </w:r>
            <w:r>
              <w:rPr>
                <w:rStyle w:val="135"/>
                <w:rFonts w:ascii="宋体" w:hAnsi="宋体" w:eastAsia="宋体" w:cs="宋体"/>
                <w:sz w:val="24"/>
                <w:szCs w:val="24"/>
              </w:rPr>
              <w:t>Natural Language Supervision</w:t>
            </w:r>
          </w:p>
          <w:p w14:paraId="089A565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创新点二：极简但高效的图文对比学习目标</w:t>
            </w:r>
          </w:p>
          <w:p w14:paraId="25E2459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采用的不是复杂生成任务，而是：预测一张图像和一段文本是否匹配（Contrastive Learning）</w:t>
            </w:r>
          </w:p>
          <w:p w14:paraId="79DDCA0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创新点三：用文本“生成分类器”，而不是训练分类器</w:t>
            </w:r>
          </w:p>
          <w:p w14:paraId="4A2BE5B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这是 CLIP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最具标志性的创新之一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：文本编码器 ≈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分类器权重生成器</w:t>
            </w:r>
            <w:r>
              <w:rPr>
                <w:rFonts w:ascii="宋体" w:hAnsi="宋体" w:eastAsia="宋体" w:cs="宋体"/>
                <w:sz w:val="24"/>
                <w:szCs w:val="24"/>
              </w:rPr>
              <w:t>类别不再是固定的参数，而是：“A photo of a {label}.”</w:t>
            </w:r>
          </w:p>
          <w:p w14:paraId="72AB7DDA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创新点四：大规模、任务无关的系统性验证</w:t>
            </w: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en-US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与传统 ImageNet 监督学习的差异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73BD89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20" w:type="dxa"/>
                  <w:vAlign w:val="center"/>
                </w:tcPr>
                <w:p w14:paraId="7729ADD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维度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2E29AA3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传统方法</w:t>
                  </w:r>
                </w:p>
              </w:tc>
              <w:tc>
                <w:tcPr>
                  <w:tcW w:w="2520" w:type="dxa"/>
                  <w:vAlign w:val="center"/>
                </w:tcPr>
                <w:p w14:paraId="5166FF1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CLIP</w:t>
                  </w:r>
                </w:p>
              </w:tc>
            </w:tr>
            <w:tr w14:paraId="399F5C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CCAC6D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监督信号</w:t>
                  </w:r>
                </w:p>
              </w:tc>
              <w:tc>
                <w:tcPr>
                  <w:tcW w:w="2520" w:type="dxa"/>
                  <w:vAlign w:val="center"/>
                </w:tcPr>
                <w:p w14:paraId="634F845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人工标签</w:t>
                  </w:r>
                </w:p>
              </w:tc>
              <w:tc>
                <w:tcPr>
                  <w:tcW w:w="2520" w:type="dxa"/>
                  <w:vAlign w:val="center"/>
                </w:tcPr>
                <w:p w14:paraId="4EC77F4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自然语言</w:t>
                  </w:r>
                </w:p>
              </w:tc>
            </w:tr>
            <w:tr w14:paraId="292CF0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22905F0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类别空间</w:t>
                  </w:r>
                </w:p>
              </w:tc>
              <w:tc>
                <w:tcPr>
                  <w:tcW w:w="2520" w:type="dxa"/>
                  <w:vAlign w:val="center"/>
                </w:tcPr>
                <w:p w14:paraId="32134FA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固定</w:t>
                  </w:r>
                </w:p>
              </w:tc>
              <w:tc>
                <w:tcPr>
                  <w:tcW w:w="2520" w:type="dxa"/>
                  <w:vAlign w:val="center"/>
                </w:tcPr>
                <w:p w14:paraId="7EC0FF0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开放</w:t>
                  </w:r>
                </w:p>
              </w:tc>
            </w:tr>
            <w:tr w14:paraId="044BF3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29D8BCE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迁移方式</w:t>
                  </w:r>
                </w:p>
              </w:tc>
              <w:tc>
                <w:tcPr>
                  <w:tcW w:w="2520" w:type="dxa"/>
                  <w:vAlign w:val="center"/>
                </w:tcPr>
                <w:p w14:paraId="6631516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微调</w:t>
                  </w:r>
                </w:p>
              </w:tc>
              <w:tc>
                <w:tcPr>
                  <w:tcW w:w="2520" w:type="dxa"/>
                  <w:vAlign w:val="center"/>
                </w:tcPr>
                <w:p w14:paraId="5A85D06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零样本</w:t>
                  </w:r>
                </w:p>
              </w:tc>
            </w:tr>
            <w:tr w14:paraId="0B752D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30FB47C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输出结构</w:t>
                  </w:r>
                </w:p>
              </w:tc>
              <w:tc>
                <w:tcPr>
                  <w:tcW w:w="2520" w:type="dxa"/>
                  <w:vAlign w:val="center"/>
                </w:tcPr>
                <w:p w14:paraId="4AAC7D9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静态分类头</w:t>
                  </w:r>
                </w:p>
              </w:tc>
              <w:tc>
                <w:tcPr>
                  <w:tcW w:w="2520" w:type="dxa"/>
                  <w:vAlign w:val="center"/>
                </w:tcPr>
                <w:p w14:paraId="2578310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动态文本生成</w:t>
                  </w:r>
                </w:p>
              </w:tc>
            </w:tr>
          </w:tbl>
          <w:p w14:paraId="6E186A23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与早期图文方法（Visual N-Grams 等）的差异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37C113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20" w:type="dxa"/>
                  <w:vAlign w:val="center"/>
                </w:tcPr>
                <w:p w14:paraId="1757E85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对比项</w:t>
                  </w:r>
                </w:p>
              </w:tc>
              <w:tc>
                <w:tcPr>
                  <w:tcW w:w="2520" w:type="dxa"/>
                  <w:vAlign w:val="center"/>
                </w:tcPr>
                <w:p w14:paraId="275B93A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早期方法</w:t>
                  </w:r>
                </w:p>
              </w:tc>
              <w:tc>
                <w:tcPr>
                  <w:tcW w:w="2520" w:type="dxa"/>
                  <w:vAlign w:val="center"/>
                </w:tcPr>
                <w:p w14:paraId="34EBEA7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CLIP</w:t>
                  </w:r>
                </w:p>
              </w:tc>
            </w:tr>
            <w:tr w14:paraId="20C3EB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66A8B19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数据规模</w:t>
                  </w:r>
                </w:p>
              </w:tc>
              <w:tc>
                <w:tcPr>
                  <w:tcW w:w="2520" w:type="dxa"/>
                  <w:vAlign w:val="center"/>
                </w:tcPr>
                <w:p w14:paraId="3AD7740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百万级</w:t>
                  </w:r>
                </w:p>
              </w:tc>
              <w:tc>
                <w:tcPr>
                  <w:tcW w:w="2520" w:type="dxa"/>
                  <w:vAlign w:val="center"/>
                </w:tcPr>
                <w:p w14:paraId="21B047E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亿级</w:t>
                  </w:r>
                </w:p>
              </w:tc>
            </w:tr>
            <w:tr w14:paraId="45F0C0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613AD74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模型能力</w:t>
                  </w:r>
                </w:p>
              </w:tc>
              <w:tc>
                <w:tcPr>
                  <w:tcW w:w="2520" w:type="dxa"/>
                  <w:vAlign w:val="center"/>
                </w:tcPr>
                <w:p w14:paraId="087F8E7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CNN + n-gram</w:t>
                  </w:r>
                </w:p>
              </w:tc>
              <w:tc>
                <w:tcPr>
                  <w:tcW w:w="2520" w:type="dxa"/>
                  <w:vAlign w:val="center"/>
                </w:tcPr>
                <w:p w14:paraId="17C5148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Transformer</w:t>
                  </w:r>
                </w:p>
              </w:tc>
            </w:tr>
            <w:tr w14:paraId="462602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2F944A3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零样本性能</w:t>
                  </w:r>
                </w:p>
              </w:tc>
              <w:tc>
                <w:tcPr>
                  <w:tcW w:w="2520" w:type="dxa"/>
                  <w:vAlign w:val="center"/>
                </w:tcPr>
                <w:p w14:paraId="793A57B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~11%</w:t>
                  </w:r>
                </w:p>
              </w:tc>
              <w:tc>
                <w:tcPr>
                  <w:tcW w:w="2520" w:type="dxa"/>
                  <w:vAlign w:val="center"/>
                </w:tcPr>
                <w:p w14:paraId="5867D53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~76%（ImageNet）</w:t>
                  </w:r>
                </w:p>
              </w:tc>
            </w:tr>
            <w:tr w14:paraId="66289C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05119F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泛化任务</w:t>
                  </w:r>
                </w:p>
              </w:tc>
              <w:tc>
                <w:tcPr>
                  <w:tcW w:w="2520" w:type="dxa"/>
                  <w:vAlign w:val="center"/>
                </w:tcPr>
                <w:p w14:paraId="3000122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单一</w:t>
                  </w:r>
                </w:p>
              </w:tc>
              <w:tc>
                <w:tcPr>
                  <w:tcW w:w="2520" w:type="dxa"/>
                  <w:vAlign w:val="center"/>
                </w:tcPr>
                <w:p w14:paraId="7BCE914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多任务</w:t>
                  </w:r>
                </w:p>
              </w:tc>
            </w:tr>
          </w:tbl>
          <w:p w14:paraId="527102F3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与弱监督 / Webly-supervised 学习的差异</w:t>
            </w:r>
          </w:p>
          <w:p w14:paraId="27969FCA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 Mahajan et al.、JFT-300M 为代表：本质仍是“预测固定类别”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输出空间封闭</w:t>
            </w:r>
          </w:p>
          <w:p w14:paraId="1AF87BF1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CLIP：不预定义类别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使用语言作为接口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输出空间可无限扩展</w:t>
            </w:r>
          </w:p>
          <w:p w14:paraId="3D496026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与多模态 VQA / VL Transformer 的差异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33F7AE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20" w:type="dxa"/>
                  <w:vAlign w:val="center"/>
                </w:tcPr>
                <w:p w14:paraId="0DA714C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维度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44EFEDE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VL Transformer</w:t>
                  </w:r>
                </w:p>
              </w:tc>
              <w:tc>
                <w:tcPr>
                  <w:tcW w:w="2520" w:type="dxa"/>
                  <w:vAlign w:val="center"/>
                </w:tcPr>
                <w:p w14:paraId="37DF5D1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CLIP</w:t>
                  </w:r>
                </w:p>
              </w:tc>
            </w:tr>
            <w:tr w14:paraId="060A97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2804A66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结构</w:t>
                  </w:r>
                </w:p>
              </w:tc>
              <w:tc>
                <w:tcPr>
                  <w:tcW w:w="2520" w:type="dxa"/>
                  <w:vAlign w:val="center"/>
                </w:tcPr>
                <w:p w14:paraId="02F35BE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多模块、重设计</w:t>
                  </w:r>
                </w:p>
              </w:tc>
              <w:tc>
                <w:tcPr>
                  <w:tcW w:w="2520" w:type="dxa"/>
                  <w:vAlign w:val="center"/>
                </w:tcPr>
                <w:p w14:paraId="71515EB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极简</w:t>
                  </w:r>
                </w:p>
              </w:tc>
            </w:tr>
            <w:tr w14:paraId="5872B6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20" w:type="dxa"/>
                  <w:vAlign w:val="center"/>
                </w:tcPr>
                <w:p w14:paraId="6BD7251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训练目标</w:t>
                  </w:r>
                </w:p>
              </w:tc>
              <w:tc>
                <w:tcPr>
                  <w:tcW w:w="2520" w:type="dxa"/>
                  <w:vAlign w:val="center"/>
                </w:tcPr>
                <w:p w14:paraId="0C31582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下游任务导向</w:t>
                  </w:r>
                </w:p>
              </w:tc>
              <w:tc>
                <w:tcPr>
                  <w:tcW w:w="2520" w:type="dxa"/>
                  <w:vAlign w:val="center"/>
                </w:tcPr>
                <w:p w14:paraId="1A36861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通用对齐</w:t>
                  </w:r>
                </w:p>
              </w:tc>
            </w:tr>
            <w:tr w14:paraId="4522DE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5E285C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泛化方式</w:t>
                  </w:r>
                </w:p>
              </w:tc>
              <w:tc>
                <w:tcPr>
                  <w:tcW w:w="2520" w:type="dxa"/>
                  <w:vAlign w:val="center"/>
                </w:tcPr>
                <w:p w14:paraId="6756001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微调</w:t>
                  </w:r>
                </w:p>
              </w:tc>
              <w:tc>
                <w:tcPr>
                  <w:tcW w:w="2520" w:type="dxa"/>
                  <w:vAlign w:val="center"/>
                </w:tcPr>
                <w:p w14:paraId="384ED86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零样本</w:t>
                  </w:r>
                </w:p>
              </w:tc>
            </w:tr>
          </w:tbl>
          <w:p w14:paraId="6CEEEC08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D8C276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的输入对象是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天然多模态的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，这是其方法成立的前提。</w:t>
            </w:r>
          </w:p>
          <w:p w14:paraId="45814A0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训练阶段的输入对象</w:t>
            </w:r>
          </w:p>
          <w:p w14:paraId="635D4870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（1）图像（Image）互联网公开数据约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4 亿张图像</w:t>
            </w:r>
          </w:p>
          <w:p w14:paraId="6EDAE6D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分布极其多样（真实世界、噪声大）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不经过人工类别筛选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不要求图像质量统一</w:t>
            </w:r>
          </w:p>
          <w:p w14:paraId="61351F9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（2）文本（Text）与图像成对出现的自然语言文本，例如：图片标题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描述性句子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网络配文</w:t>
            </w:r>
          </w:p>
          <w:p w14:paraId="1FE0BB7C">
            <w:pPr>
              <w:pStyle w:val="30"/>
              <w:keepNext w:val="0"/>
              <w:keepLines w:val="0"/>
              <w:widowControl/>
              <w:suppressLineNumbers w:val="0"/>
            </w:pPr>
            <w:r>
              <w:rPr>
                <w:rFonts w:ascii="宋体" w:hAnsi="宋体" w:eastAsia="宋体" w:cs="宋体"/>
                <w:sz w:val="24"/>
                <w:szCs w:val="24"/>
              </w:rPr>
              <w:t>完整自然语言（非关键词 / 非标签）</w:t>
            </w:r>
            <w:r>
              <w:t>语义开放、表达灵活一张图可对应多种描述方式</w:t>
            </w:r>
          </w:p>
          <w:p w14:paraId="3BB34A81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eastAsia="宋体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测试 / 推理阶段的输入对象</w:t>
            </w:r>
          </w:p>
          <w:p w14:paraId="63728499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（1）待预测图像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任意下游数据集中的图片（ImageNet、OCR、动作识别等）</w:t>
            </w:r>
          </w:p>
          <w:p w14:paraId="516FC747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（2）类别文本描述（Prompt）</w:t>
            </w:r>
          </w:p>
          <w:p w14:paraId="45ED67B4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由人类设计的自然语言模板，例如：“A photo of a dog.”“A satellite image of a forest.”类别文本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不是训练得到的参数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，而是运行时输入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AD0BF2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阶段一：对比式预训练（Contrastive Pre-training）</w:t>
            </w:r>
          </w:p>
          <w:p w14:paraId="301DA61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Step 1：双编码器建模</w:t>
            </w:r>
          </w:p>
          <w:p w14:paraId="5E180D8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 → 图像编码器（ResNet / ViT）</w:t>
            </w:r>
          </w:p>
          <w:p w14:paraId="6A62D94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文本 → 文本编码器（Transformer）</w:t>
            </w:r>
          </w:p>
          <w:p w14:paraId="4F4D576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输出：图像向量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文本向量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映射到同一嵌入空间</w:t>
            </w:r>
          </w:p>
          <w:p w14:paraId="4F6DE01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Step 2：构造对比学习任务</w:t>
            </w:r>
          </w:p>
          <w:p w14:paraId="3FE2154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一个 batch 内有 N 对 (image, text)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真实匹配：N 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错误匹配：N² − N 对</w:t>
            </w:r>
          </w:p>
          <w:p w14:paraId="503C99A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训练目标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：最大化正确图文对的相似度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最小化错误配对的相似度</w:t>
            </w:r>
          </w:p>
          <w:p w14:paraId="204AA47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Step 3：优化目标</w:t>
            </w:r>
          </w:p>
          <w:p w14:paraId="53FEC54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使用对称 InfoNCE / N-pair Loss</w:t>
            </w:r>
          </w:p>
          <w:p w14:paraId="28ED189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 → 文本、文本 → 图像 双向约束</w:t>
            </w:r>
          </w:p>
          <w:p w14:paraId="3AB79E1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不做：图像生成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文本生成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分类预测</w:t>
            </w:r>
          </w:p>
          <w:p w14:paraId="01B3D6C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阶段二：零样本分类构造（Zero-shot Classifier Construction）</w:t>
            </w:r>
          </w:p>
          <w:p w14:paraId="3F463CD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Step 4：文本生成“分类器权重”</w:t>
            </w:r>
          </w:p>
          <w:p w14:paraId="69A3031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将下游任务的类别名称转为文本描述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例如 ImageNet：“A photo of a tiger.”“A photo of an airplane.”输入文本编码器 → 得到类别向量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这些向量 ≈ 线性分类器的权重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不训练分类头，而是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用语言生成分类头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4F3910C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阶段三：下游任务推理（Inference）</w:t>
            </w:r>
          </w:p>
          <w:p w14:paraId="1B4B70A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Step 5：图像–文本相似度计算</w:t>
            </w:r>
          </w:p>
          <w:p w14:paraId="1D17104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图像编码 → 图像向量</w:t>
            </w:r>
          </w:p>
          <w:p w14:paraId="5F04811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与所有类别文本向量做余弦相似度</w:t>
            </w:r>
          </w:p>
          <w:p w14:paraId="5FDCB9B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Softmax → 概率分布</w:t>
            </w:r>
          </w:p>
          <w:p w14:paraId="5414A4A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Step 6：输出预测结果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相似度最高的文本类别 = 模型预测</w:t>
            </w:r>
          </w:p>
          <w:p w14:paraId="2A2556F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整个过程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不需要任何下游训练数据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31F66C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eastAsia="宋体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零样本性能验证（核心验证路径）</w:t>
            </w:r>
          </w:p>
          <w:p w14:paraId="56DAF24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不看任何训练样本，CLIP 能不能完成真实任务？</w:t>
            </w:r>
          </w:p>
          <w:p w14:paraId="282B833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在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30+ 标准视觉数据集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上：ImageNet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CIFAR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OCR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动作识别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场景分类等</w:t>
            </w:r>
          </w:p>
          <w:p w14:paraId="6FD2C6B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对比对象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强监督 ImageNet 模型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自监督 / 弱监督模型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早期零样本方法（Visual N-Grams）</w:t>
            </w:r>
          </w:p>
          <w:p w14:paraId="057A997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多数任务中零样本 CLIP ≈ 强监督基线</w:t>
            </w:r>
          </w:p>
          <w:p w14:paraId="5705D86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与 Few-shot / Linear Probe 的对比验证</w:t>
            </w:r>
          </w:p>
          <w:p w14:paraId="370DD76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判断 CLIP 的表征质量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区分“会做任务”还是“表示学得好”</w:t>
            </w:r>
          </w:p>
          <w:p w14:paraId="416A956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固定 CLIP 特征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训练线性分类器（1-shot / 4-shot / 16-shot）</w:t>
            </w:r>
          </w:p>
          <w:p w14:paraId="757A5DE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发现Zero-shot CLIP ≈ 4-shot 监督学习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表征具有很强通用性</w:t>
            </w:r>
          </w:p>
          <w:p w14:paraId="0742C477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鲁棒性与分布外泛化验证</w:t>
            </w:r>
          </w:p>
          <w:p w14:paraId="3161F047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ImageNet → ImageNet-V2</w:t>
            </w:r>
          </w:p>
          <w:p w14:paraId="3F1CE165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ImageNet → Sketch / ObjectNet</w:t>
            </w:r>
          </w:p>
          <w:p w14:paraId="7FB91A15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自然分布偏移数据集</w:t>
            </w:r>
          </w:p>
          <w:p w14:paraId="11F301D7">
            <w:pPr>
              <w:numPr>
                <w:numId w:val="0"/>
              </w:num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在分布变化下性能下降更慢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零样本模型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比微调模型更鲁棒</w:t>
            </w:r>
          </w:p>
          <w:p w14:paraId="3DFD914F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Scaling Law 验证（规模验证）</w:t>
            </w:r>
          </w:p>
          <w:p w14:paraId="5CCF1D5B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自然语言监督是否可规模化？</w:t>
            </w:r>
          </w:p>
          <w:p w14:paraId="18061741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不同模型规模（RN50 → RN50x64 → ViT-L）</w:t>
            </w:r>
          </w:p>
          <w:p w14:paraId="63A8E029">
            <w:pPr>
              <w:numPr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观察性能 vs 计算量关系</w:t>
            </w:r>
          </w:p>
          <w:p w14:paraId="5A39231E">
            <w:pPr>
              <w:numPr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性能随计算量呈平滑对数增长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类似 GPT 系列的 scaling behavior</w:t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D0E7866">
            <w:r>
              <w:drawing>
                <wp:inline distT="0" distB="0" distL="114300" distR="114300">
                  <wp:extent cx="4787900" cy="1718945"/>
                  <wp:effectExtent l="0" t="0" r="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900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3329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整体方法示意图（Figure 1）</w:t>
            </w:r>
          </w:p>
          <w:p w14:paraId="3B94D4F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CLIP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不是</w:t>
            </w:r>
            <w:r>
              <w:rPr>
                <w:rFonts w:ascii="宋体" w:hAnsi="宋体" w:eastAsia="宋体" w:cs="宋体"/>
                <w:sz w:val="24"/>
                <w:szCs w:val="24"/>
              </w:rPr>
              <w:t>传统“图像特征 + 分类头”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而是</w:t>
            </w:r>
            <w:r>
              <w:rPr>
                <w:rFonts w:ascii="宋体" w:hAnsi="宋体" w:eastAsia="宋体" w:cs="宋体"/>
                <w:sz w:val="24"/>
                <w:szCs w:val="24"/>
              </w:rPr>
              <w:t>图像编码器 + 文本编码器通过相似度完成预测</w:t>
            </w:r>
          </w:p>
          <w:p w14:paraId="247737F8">
            <w:r>
              <w:drawing>
                <wp:inline distT="0" distB="0" distL="114300" distR="114300">
                  <wp:extent cx="4798695" cy="3162300"/>
                  <wp:effectExtent l="0" t="0" r="190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6EDE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不同训练目标的效率对比（Figure 2）</w:t>
            </w:r>
          </w:p>
          <w:p w14:paraId="72B20B8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为什么要用“对比学习”，而不是图像字幕生成或语言模型？</w:t>
            </w:r>
          </w:p>
          <w:p w14:paraId="40FA679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图像字幕生成（Transformer LM）：学得慢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零样本 ImageNet 效率低</w:t>
            </w:r>
          </w:p>
          <w:p w14:paraId="67B3125E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对比学习（CLIP）：零样本迁移效率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提升约 3–4 倍</w:t>
            </w:r>
          </w:p>
          <w:p w14:paraId="17E2C1B9">
            <w:r>
              <w:rPr>
                <w:rFonts w:ascii="宋体" w:hAnsi="宋体" w:eastAsia="宋体" w:cs="宋体"/>
                <w:sz w:val="24"/>
                <w:szCs w:val="24"/>
              </w:rPr>
              <w:t>CLIP vs Visual N-Grams（Table 1）</w:t>
            </w:r>
            <w:r>
              <w:drawing>
                <wp:inline distT="0" distB="0" distL="114300" distR="114300">
                  <wp:extent cx="4799965" cy="2469515"/>
                  <wp:effectExtent l="0" t="0" r="635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24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6D36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是否真的比已有零样本方法强？强多少？</w:t>
            </w:r>
          </w:p>
          <w:p w14:paraId="38AEB161">
            <w:r>
              <w:rPr>
                <w:rFonts w:ascii="宋体" w:hAnsi="宋体" w:eastAsia="宋体" w:cs="宋体"/>
                <w:sz w:val="24"/>
                <w:szCs w:val="24"/>
              </w:rPr>
              <w:t>图 5 / 图 6：Zero-shot vs Few-shot 对比</w:t>
            </w:r>
            <w:r>
              <w:drawing>
                <wp:inline distT="0" distB="0" distL="114300" distR="114300">
                  <wp:extent cx="4799965" cy="6074410"/>
                  <wp:effectExtent l="0" t="0" r="63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965" cy="607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7B09A">
            <w:r>
              <w:drawing>
                <wp:inline distT="0" distB="0" distL="114300" distR="114300">
                  <wp:extent cx="4794885" cy="6306820"/>
                  <wp:effectExtent l="0" t="0" r="5715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885" cy="630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0A01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的零样本能力，到底相当于什么水平？Zero-shot CLIP ≈4-shot 监督学习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接近 16-shot 的最优模型</w:t>
            </w:r>
          </w:p>
          <w:p w14:paraId="64FFAE09">
            <w:r>
              <w:rPr>
                <w:rFonts w:ascii="宋体" w:hAnsi="宋体" w:eastAsia="宋体" w:cs="宋体"/>
                <w:sz w:val="24"/>
                <w:szCs w:val="24"/>
              </w:rPr>
              <w:t>Scaling Law（Figure 9）</w:t>
            </w:r>
            <w:r>
              <w:drawing>
                <wp:inline distT="0" distB="0" distL="114300" distR="114300">
                  <wp:extent cx="4794250" cy="4640580"/>
                  <wp:effectExtent l="0" t="0" r="635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50" cy="464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D7F3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自然语言监督能否随着算力和数据规模持续提升？</w:t>
            </w:r>
          </w:p>
          <w:p w14:paraId="773EBFF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零样本误差 vs 计算量：呈平滑 log-log 下降</w:t>
            </w:r>
          </w:p>
          <w:p w14:paraId="59EF9499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无性能崩溃、无饱和迹象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5FB7D07">
            <w:r>
              <w:rPr>
                <w:rFonts w:ascii="宋体" w:hAnsi="宋体" w:eastAsia="宋体" w:cs="宋体"/>
                <w:sz w:val="24"/>
                <w:szCs w:val="24"/>
              </w:rPr>
              <w:t>CLIP 的核心图表系统回答了三个关键问题：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模型如何工作、为何这样设计、是否真正有效</w:t>
            </w:r>
            <w:r>
              <w:rPr>
                <w:rFonts w:ascii="宋体" w:hAnsi="宋体" w:eastAsia="宋体" w:cs="宋体"/>
                <w:sz w:val="24"/>
                <w:szCs w:val="24"/>
              </w:rPr>
              <w:t>。其中，Figure 1 确立了“语言生成分类器”的方法范式，Figure 2 论证了对比学习的效率优势，Table 1 与 Figure 5–6 用数量级性能提升与 few-shot 对比证明了其零样本能力，而 Figure 9 则通过 scaling law 验证了自然语言监督的长期可扩展性。这些图表共同支撑了 CLIP 的核心结论：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自然语言监督可以作为通用、可扩展的视觉学习信号。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07872F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第一步：指出“大家都习以为常，但其实很糟糕”的现状</w:t>
            </w:r>
          </w:p>
          <w:p w14:paraId="6B39D92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他们把 ImageNet 成功，反过来定义成一种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隐性瓶颈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7B8249BE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当前视觉模型：只能预测固定类别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每个新任务都要重新标注、重新训练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这在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真实世界中是不可扩展的</w:t>
            </w:r>
          </w:p>
          <w:p w14:paraId="2B641CD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第二步：用 NLP 的成功作为“已被验证的参照物”</w:t>
            </w:r>
          </w:p>
          <w:p w14:paraId="29F8A7A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把“激进想法”变成“合理类比”</w:t>
            </w:r>
          </w:p>
          <w:p w14:paraId="0720A88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第三步：承认失败历史，而不是回避</w:t>
            </w:r>
          </w:p>
          <w:p w14:paraId="05DEAD70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作者明确指出：早期图文方法（Visual N-Grams）零样本 ImageNet 只有 ~11%所以：自然语言监督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并非显然有效</w:t>
            </w:r>
          </w:p>
          <w:p w14:paraId="7D9E53F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第四步：方法选择极度克制，避免“工程炫技”</w:t>
            </w:r>
          </w:p>
          <w:p w14:paraId="0C4FC3B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不做复杂生成不引入多模块系统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只做：双编码器对比学习</w:t>
            </w:r>
          </w:p>
          <w:p w14:paraId="3FE26CA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第五步：用“无法挑刺”的实验设计收尾</w:t>
            </w:r>
          </w:p>
          <w:p w14:paraId="5D5557C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30+ 数据集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零样本 / few-shot / scaling / 鲁棒性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D9D08F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让 CLIP 具备「真正的组合泛化」</w:t>
            </w:r>
          </w:p>
          <w:p w14:paraId="150E59D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补上「生成能力」而不牺牲效率</w:t>
            </w:r>
          </w:p>
          <w:p w14:paraId="13169410">
            <w:r>
              <w:rPr>
                <w:rFonts w:ascii="宋体" w:hAnsi="宋体" w:eastAsia="宋体" w:cs="宋体"/>
                <w:sz w:val="24"/>
                <w:szCs w:val="24"/>
              </w:rPr>
              <w:t>显式建模不确定性与失败模式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B5D147F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的结构本质是：问题 → 类比 → 尝试 → 证据 → 外推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论文不是“展示成果”，而是“引导读者思考”</w:t>
            </w:r>
          </w:p>
          <w:p w14:paraId="20A9235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每一个实验都在回答一个「明确问题」</w:t>
            </w:r>
          </w:p>
          <w:p w14:paraId="61044E0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主线非常少，但非常强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CLIP 全文只反复证明一件事：自然语言监督可以成为通用视觉学习信号所有实验都是在“围殴”这个结论。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8D2003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找一个“默认被接受，但其实不合理”的范式</w:t>
            </w:r>
          </w:p>
          <w:p w14:paraId="704136C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在相邻领域找一个“已成功的范式”</w:t>
            </w:r>
          </w:p>
          <w:p w14:paraId="1A19408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做一个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极简但可扩展</w:t>
            </w:r>
            <w:r>
              <w:rPr>
                <w:rFonts w:ascii="宋体" w:hAnsi="宋体" w:eastAsia="宋体" w:cs="宋体"/>
                <w:sz w:val="24"/>
                <w:szCs w:val="24"/>
              </w:rPr>
              <w:t>的版本</w:t>
            </w:r>
          </w:p>
          <w:p w14:paraId="35B1B6C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真正有价值的研究，不是“我比 SOTA 高 1%”，而是“我让一个旧问题用一种更通用的方式被重新理解”。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E4D44F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定义问题时：把“技术限制”上升为“范式问题”</w:t>
            </w:r>
          </w:p>
          <w:p w14:paraId="12E6D94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不说「模型不够好」，而说「整个研究范式不合理」</w:t>
            </w:r>
          </w:p>
          <w:p w14:paraId="56544FC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Despite impressive performance on benchmark datasets, current approaches rely heavily on task-specific supervision, which fundamentally limits their ability to generalize to new concepts and tasks.</w:t>
            </w:r>
          </w:p>
          <w:p w14:paraId="0AB36E4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尽管现有方法在标准数据集上取得了显著性能，但其对任务特定监督的高度依赖，从根本上限制了模型在新概念和新任务上的泛化能力。</w:t>
            </w:r>
            <w:bookmarkStart w:id="0" w:name="_GoBack"/>
            <w:bookmarkEnd w:id="0"/>
          </w:p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B09D0B3"/>
        </w:tc>
      </w:tr>
    </w:tbl>
    <w:p w14:paraId="5DE86F94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2F2647A"/>
    <w:multiLevelType w:val="singleLevel"/>
    <w:tmpl w:val="12F2647A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53769E"/>
    <w:rsid w:val="5060220E"/>
    <w:rsid w:val="604B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338</Words>
  <Characters>347</Characters>
  <Lines>0</Lines>
  <Paragraphs>0</Paragraphs>
  <TotalTime>168</TotalTime>
  <ScaleCrop>false</ScaleCrop>
  <LinksUpToDate>false</LinksUpToDate>
  <CharactersWithSpaces>349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2026-01-28T09:53:12Z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180E2F3B96394E5083A295756F216C9C_13</vt:lpwstr>
  </property>
</Properties>
</file>