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center"/>
      </w:pPr>
      <w:r>
        <w:rPr>
          <w:rFonts w:eastAsia="宋体" w:ascii="Times New Roman" w:cs="Times New Roman" w:hAnsi="Times New Roman"/>
          <w:b w:val="true"/>
          <w:sz w:val="52"/>
        </w:rPr>
        <w:t>《家教通》需求分析模型--E-R图1.0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该图为系统总E-R图，描述了系统中涉及到的各个实体及其拥有的属性，和各个实体之间的关系。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6386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2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数据表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系统总E-R图中各表信息如下所示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 allusers-管理员表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username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pwd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cx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权限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2.2 goumaikecheng-购买课程表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kechengbianhao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kechengmingcheng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kechengjiage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faburen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goumairiqi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goumairen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beizhu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2.3 jiaoshixinxi-教师信息表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jiaoshibianhao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xingming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xingbie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zhaopian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lianxifangshi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mima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beizhu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2.4 kechengxinxi-课程信息表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kechengbianhao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kechengmingcheng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kechengjiage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faburen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kechengxiangqing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issh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2.5 liuyanban-留言信息表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xingbie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QQ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youxiang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dianhua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huifuneirong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2.6 pinglun-评论表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xinwenID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pinglunneirong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pinglunren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pingfen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biao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2.7 shoucangjilu-收藏列表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username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xwid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ziduan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biao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2.8 xinwentongzhi-新闻通知表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biaoti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leibie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neirong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Text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tianjiaren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shouyetupian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dianjilv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2.9 xueshengxinxi-学生信息表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xueshengbianhao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xingming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xingbie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zhaopian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kecheng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lianxifangshi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mima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beizhu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addtime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DateTime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</w:tbl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2.10 yonghuzhuce-用户注册表</w:t>
      </w:r>
      <w:r>
        <w:rPr>
          <w:rFonts w:eastAsia="宋体" w:ascii="Times New Roman" w:cs="Times New Roman" w:hAnsi="Times New Roman"/>
          <w:b w:val="true"/>
          <w:sz w:val="3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  <w:br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序号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字段名称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字段类型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大小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允许为空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最大长度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备注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ID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Int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自增编号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yonghuming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mima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xingming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xingbie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6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chushengriqi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QQ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youxiang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9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dianhua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shenfenzheng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 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  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touxiang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 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12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dizhi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VarChar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13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beizhu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VarChar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addtime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datetime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issh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VarChar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50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 是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255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-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2020-04-16T02:22:44Z</dcterms:created>
  <dc:creator>Apache POI</dc:creator>
</cp:coreProperties>
</file>