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博士研究生（二年级），计算机科学与技术系，清华大学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463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A Corpus for Understanding and Generating Moral Stories.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(CCF C)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Zhexin Zhang, Zhuoer Feng, Zitao Liu, Wenbiao Ding, Xiaoxi Mao, Changjie Fan,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OpenMEVA: A Benchmark for Evaluating Open-ended Story Generation Metrics.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(CCF A)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Xiaoxi Mao, changjie fan, Zitao Liu, Wenbiao Ding,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Long Text Generation by Modeling Sentence-Level and Discourse-Level Coherence.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(CCF A)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UNION: An Unreferenced Metric for Evaluating Open-ended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 B)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knowledge-enhanced pretraining model for commonsense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Model-Based Reinforcement Learning with Adversarial Training for Online Recommendation.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(CCF A)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Yansen Wang*, and Minlie Huang. 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 xml:space="preserve">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 A)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Persona-Guided Planning for Controlling the Protagonist’s Persona in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(CCF C)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Stylized Story Generation with Style-Guided Planning.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, CCF A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Generating informative responses with controlled sentence function.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(CCF A)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Zhengyan Zhang, Xu Han, Hao Zhou, Pei Ke, Yuxian Gu, Deming Ye, Yujia Qin, YuSheng Su, Haozhe Ji,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, Fanchao Qi, Xiaozhi Wang, Yanan Zheng, Guoyang Zeng, Huanqi Cao, Shengqi Chen, Daixuan Li, Zhenbo Sun, Zhiyuan Liu, Minlie Huang, Wentao Han, Jie Tang, Juanzi Li, Xiaoyan Zhu, Maosong Sun.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Hans" w:bidi="ar-SA"/>
        </w:rPr>
        <w:t>CPM: A Large-scale Generative Chinese Pre-trained Language Model.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AI Open 2021.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bookmarkStart w:id="0" w:name="_GoBack"/>
      <w:bookmarkEnd w:id="0"/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3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37F6A3F4"/>
    <w:rsid w:val="46F506BB"/>
    <w:rsid w:val="57754154"/>
    <w:rsid w:val="578F4813"/>
    <w:rsid w:val="5A5FD40B"/>
    <w:rsid w:val="5E4EC45F"/>
    <w:rsid w:val="753E0777"/>
    <w:rsid w:val="767E631E"/>
    <w:rsid w:val="79ED1379"/>
    <w:rsid w:val="7AFCF86E"/>
    <w:rsid w:val="937CC1AE"/>
    <w:rsid w:val="AFF9077D"/>
    <w:rsid w:val="AFFB6472"/>
    <w:rsid w:val="B5EECEEB"/>
    <w:rsid w:val="C7BF8173"/>
    <w:rsid w:val="D7DFFB1A"/>
    <w:rsid w:val="DD7D599B"/>
    <w:rsid w:val="DE7FCF97"/>
    <w:rsid w:val="DEFF241C"/>
    <w:rsid w:val="DFEB4DF0"/>
    <w:rsid w:val="E73BDEEA"/>
    <w:rsid w:val="E753799E"/>
    <w:rsid w:val="EAF0AD6F"/>
    <w:rsid w:val="EB6F41DF"/>
    <w:rsid w:val="EFF5002C"/>
    <w:rsid w:val="EFFF0E67"/>
    <w:rsid w:val="F7372190"/>
    <w:rsid w:val="F7BB964D"/>
    <w:rsid w:val="F7D77D4A"/>
    <w:rsid w:val="F7FB4ADD"/>
    <w:rsid w:val="FA5E9F94"/>
    <w:rsid w:val="FA7E0FE4"/>
    <w:rsid w:val="FAEF207F"/>
    <w:rsid w:val="FBFFC0E7"/>
    <w:rsid w:val="FED30013"/>
    <w:rsid w:val="FF87ADDA"/>
    <w:rsid w:val="FF9A9166"/>
    <w:rsid w:val="FFDBF77F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1646</Characters>
  <Lines>8</Lines>
  <Paragraphs>2</Paragraphs>
  <TotalTime>2</TotalTime>
  <ScaleCrop>false</ScaleCrop>
  <LinksUpToDate>false</LinksUpToDate>
  <CharactersWithSpaces>2817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2018-03-13T01:18:00Z</dcterms:created>
  <dc:creator>Giles Guan</dc:creator>
  <cp:lastModifiedBy>2019310851</cp:lastModifiedBy>
  <cp:lastPrinted>2018-06-16T07:44:00Z</cp:lastPrinted>
  <dcterms:modified xsi:type="dcterms:W3CDTF">2022-08-10T23:05:06Z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9A0BD70BD468F5575BC8F362457F4A90</vt:lpwstr>
  </property>
</Properties>
</file>