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246F1">
      <w:pPr>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eastAsia"/>
        </w:rPr>
      </w:pPr>
      <w:r>
        <w:rPr>
          <w:rFonts w:hint="eastAsia" w:ascii="黑体" w:hAnsi="黑体" w:eastAsia="黑体" w:cs="黑体"/>
          <w:sz w:val="28"/>
          <w:szCs w:val="28"/>
        </w:rPr>
        <w:t>MSD</w:t>
      </w:r>
      <w:r>
        <w:rPr>
          <w:rFonts w:hint="eastAsia" w:ascii="黑体" w:hAnsi="黑体" w:eastAsia="黑体" w:cs="黑体"/>
          <w:sz w:val="28"/>
          <w:szCs w:val="28"/>
          <w:lang w:val="en-US" w:eastAsia="zh-CN"/>
        </w:rPr>
        <w:t>A</w:t>
      </w:r>
      <w:r>
        <w:rPr>
          <w:rFonts w:hint="eastAsia" w:ascii="黑体" w:hAnsi="黑体" w:eastAsia="黑体" w:cs="黑体"/>
          <w:sz w:val="28"/>
          <w:szCs w:val="28"/>
        </w:rPr>
        <w:t>-YOLO12</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结合LDown与LSKC2f的多尺度域自适应恶劣天气目标检测算法</w:t>
      </w:r>
    </w:p>
    <w:p w14:paraId="27AF4419">
      <w:pPr>
        <w:keepNext w:val="0"/>
        <w:keepLines w:val="0"/>
        <w:pageBreakBefore w:val="0"/>
        <w:widowControl w:val="0"/>
        <w:kinsoku/>
        <w:wordWrap/>
        <w:overflowPunct/>
        <w:topLinePunct w:val="0"/>
        <w:autoSpaceDE/>
        <w:autoSpaceDN/>
        <w:bidi w:val="0"/>
        <w:adjustRightInd/>
        <w:snapToGrid/>
        <w:ind w:left="0" w:leftChars="0" w:firstLine="482" w:firstLineChars="200"/>
        <w:textAlignment w:val="auto"/>
        <w:rPr>
          <w:rFonts w:hint="eastAsia"/>
        </w:rPr>
      </w:pPr>
      <w:r>
        <w:rPr>
          <w:rFonts w:hint="eastAsia"/>
          <w:b/>
          <w:bCs/>
        </w:rPr>
        <w:t>摘</w:t>
      </w:r>
      <w:r>
        <w:rPr>
          <w:rFonts w:hint="eastAsia"/>
          <w:b/>
          <w:bCs/>
          <w:lang w:val="en-US" w:eastAsia="zh-CN"/>
        </w:rPr>
        <w:t xml:space="preserve">  </w:t>
      </w:r>
      <w:r>
        <w:rPr>
          <w:rFonts w:hint="eastAsia"/>
          <w:b/>
          <w:bCs/>
        </w:rPr>
        <w:t>要</w:t>
      </w:r>
      <w:r>
        <w:rPr>
          <w:rFonts w:hint="eastAsia"/>
          <w:b/>
          <w:bCs/>
          <w:lang w:eastAsia="zh-CN"/>
        </w:rPr>
        <w:t>：</w:t>
      </w:r>
      <w:r>
        <w:rPr>
          <w:rFonts w:hint="eastAsia"/>
        </w:rPr>
        <w:t>相较于</w:t>
      </w:r>
      <w:r>
        <w:rPr>
          <w:rFonts w:hint="eastAsia"/>
          <w:lang w:val="en-US" w:eastAsia="zh-CN"/>
        </w:rPr>
        <w:t>良好</w:t>
      </w:r>
      <w:r>
        <w:rPr>
          <w:rFonts w:hint="eastAsia"/>
        </w:rPr>
        <w:t>光照场景，雨雾</w:t>
      </w:r>
      <w:r>
        <w:rPr>
          <w:rFonts w:hint="eastAsia"/>
          <w:lang w:val="en-US" w:eastAsia="zh-CN"/>
        </w:rPr>
        <w:t>等恶劣</w:t>
      </w:r>
      <w:r>
        <w:rPr>
          <w:rFonts w:hint="eastAsia"/>
        </w:rPr>
        <w:t>天气会导致能见度与对比度下降，并引入运动模糊、传感器噪声及目标遮挡，显著增加自动驾驶目标检测的</w:t>
      </w:r>
      <w:r>
        <w:rPr>
          <w:rFonts w:hint="eastAsia"/>
          <w:lang w:val="en-US" w:eastAsia="zh-CN"/>
        </w:rPr>
        <w:t>复杂度</w:t>
      </w:r>
      <w:r>
        <w:rPr>
          <w:rFonts w:hint="eastAsia"/>
        </w:rPr>
        <w:t>。针对这一问题，本文提出领域自适应检测框架MSD</w:t>
      </w:r>
      <w:r>
        <w:rPr>
          <w:rFonts w:hint="eastAsia"/>
          <w:lang w:val="en-US" w:eastAsia="zh-CN"/>
        </w:rPr>
        <w:t>A</w:t>
      </w:r>
      <w:r>
        <w:rPr>
          <w:rFonts w:hint="eastAsia"/>
        </w:rPr>
        <w:t>-YOLO12，将多尺度领域自适应策略（MSD</w:t>
      </w:r>
      <w:r>
        <w:rPr>
          <w:rFonts w:hint="eastAsia"/>
          <w:lang w:val="en-US" w:eastAsia="zh-CN"/>
        </w:rPr>
        <w:t>A</w:t>
      </w:r>
      <w:r>
        <w:rPr>
          <w:rFonts w:hint="eastAsia"/>
        </w:rPr>
        <w:t>）与YOLO12训练流程深度融合，以显著缩小源域与目标域间的领域差异。为进一步提升模型效率与特征表达能力，本文</w:t>
      </w:r>
      <w:r>
        <w:rPr>
          <w:rFonts w:hint="eastAsia"/>
          <w:lang w:val="en-US" w:eastAsia="zh-CN"/>
        </w:rPr>
        <w:t>引入</w:t>
      </w:r>
      <w:r>
        <w:rPr>
          <w:rFonts w:hint="eastAsia"/>
        </w:rPr>
        <w:t>轻量级下采样算子LDown，替换标准卷积以减少冗余计算、加快推理速度；同时将大选择性核注意力（LSKAttention）与C2f块融合，强化长距离上下文信息聚合能力。</w:t>
      </w:r>
      <w:r>
        <w:rPr>
          <w:rFonts w:hint="eastAsia"/>
          <w:lang w:val="en-US" w:eastAsia="zh-CN"/>
        </w:rPr>
        <w:t>将</w:t>
      </w:r>
      <w:r>
        <w:rPr>
          <w:rFonts w:hint="eastAsia"/>
        </w:rPr>
        <w:t>LDow</w:t>
      </w:r>
      <w:r>
        <w:rPr>
          <w:rFonts w:hint="eastAsia"/>
          <w:lang w:val="en-US" w:eastAsia="zh-CN"/>
        </w:rPr>
        <w:t>n和</w:t>
      </w:r>
      <w:r>
        <w:rPr>
          <w:rFonts w:hint="eastAsia"/>
        </w:rPr>
        <w:t>LSKC2f模块集成于YOLO12框架，</w:t>
      </w:r>
      <w:r>
        <w:rPr>
          <w:rFonts w:hint="eastAsia"/>
          <w:lang w:val="en-US" w:eastAsia="zh-CN"/>
        </w:rPr>
        <w:t>同时将MSDA与其</w:t>
      </w:r>
      <w:r>
        <w:rPr>
          <w:rFonts w:hint="eastAsia"/>
        </w:rPr>
        <w:t>训练流程融合</w:t>
      </w:r>
      <w:r>
        <w:rPr>
          <w:rFonts w:hint="eastAsia"/>
          <w:lang w:eastAsia="zh-CN"/>
        </w:rPr>
        <w:t>，</w:t>
      </w:r>
      <w:r>
        <w:rPr>
          <w:rFonts w:hint="eastAsia"/>
        </w:rPr>
        <w:t>构建出统一且训练友好的检测架构。在恶劣天气驾驶场景下实验表明</w:t>
      </w:r>
      <w:r>
        <w:rPr>
          <w:rFonts w:hint="eastAsia"/>
          <w:lang w:eastAsia="zh-CN"/>
        </w:rPr>
        <w:t>，</w:t>
      </w:r>
      <w:r>
        <w:rPr>
          <w:rFonts w:hint="eastAsia"/>
        </w:rPr>
        <w:t>与原始YOLO12n</w:t>
      </w:r>
      <w:r>
        <w:rPr>
          <w:rFonts w:hint="eastAsia"/>
          <w:lang w:val="en-US" w:eastAsia="zh-CN"/>
        </w:rPr>
        <w:t>基线</w:t>
      </w:r>
      <w:r>
        <w:rPr>
          <w:rFonts w:hint="eastAsia"/>
        </w:rPr>
        <w:t>相比，我们的方法减少了3</w:t>
      </w:r>
      <w:r>
        <w:rPr>
          <w:rFonts w:hint="eastAsia"/>
          <w:lang w:val="en-US" w:eastAsia="zh-CN"/>
        </w:rPr>
        <w:t>8</w:t>
      </w:r>
      <w:r>
        <w:rPr>
          <w:rFonts w:hint="eastAsia"/>
        </w:rPr>
        <w:t>%的参数</w:t>
      </w:r>
      <w:r>
        <w:rPr>
          <w:rFonts w:hint="eastAsia"/>
          <w:lang w:val="en-US" w:eastAsia="zh-CN"/>
        </w:rPr>
        <w:t>量</w:t>
      </w:r>
      <w:r>
        <w:rPr>
          <w:rFonts w:hint="eastAsia"/>
        </w:rPr>
        <w:t>，在几乎</w:t>
      </w:r>
      <w:r>
        <w:rPr>
          <w:rFonts w:hint="eastAsia"/>
          <w:lang w:val="en-US" w:eastAsia="zh-CN"/>
        </w:rPr>
        <w:t>不影响源域</w:t>
      </w:r>
      <w:r>
        <w:rPr>
          <w:rFonts w:hint="eastAsia"/>
        </w:rPr>
        <w:t>精度</w:t>
      </w:r>
      <w:r>
        <w:rPr>
          <w:rFonts w:hint="eastAsia"/>
          <w:lang w:val="en-US" w:eastAsia="zh-CN"/>
        </w:rPr>
        <w:t>下</w:t>
      </w:r>
      <w:r>
        <w:rPr>
          <w:rFonts w:hint="eastAsia"/>
          <w:lang w:eastAsia="zh-CN"/>
        </w:rPr>
        <w:t>，</w:t>
      </w:r>
      <w:r>
        <w:rPr>
          <w:rFonts w:hint="eastAsia"/>
        </w:rPr>
        <w:t>将目标领域的性能提高了3.</w:t>
      </w:r>
      <w:r>
        <w:rPr>
          <w:rFonts w:hint="eastAsia"/>
          <w:lang w:val="en-US" w:eastAsia="zh-CN"/>
        </w:rPr>
        <w:t>9</w:t>
      </w:r>
      <w:r>
        <w:rPr>
          <w:rFonts w:hint="eastAsia"/>
        </w:rPr>
        <w:t>个百分点</w:t>
      </w:r>
      <w:r>
        <w:rPr>
          <w:rFonts w:hint="eastAsia"/>
          <w:lang w:eastAsia="zh-CN"/>
        </w:rPr>
        <w:t>，</w:t>
      </w:r>
      <w:r>
        <w:rPr>
          <w:rFonts w:hint="eastAsia"/>
        </w:rPr>
        <w:t>证明了在</w:t>
      </w:r>
      <w:r>
        <w:rPr>
          <w:rFonts w:hint="eastAsia"/>
          <w:lang w:val="en-US" w:eastAsia="zh-CN"/>
        </w:rPr>
        <w:t>恶劣</w:t>
      </w:r>
      <w:r>
        <w:rPr>
          <w:rFonts w:hint="eastAsia"/>
        </w:rPr>
        <w:t>天气下有效的跨领域泛化能力。</w:t>
      </w:r>
      <w:r>
        <w:rPr>
          <w:rFonts w:hint="eastAsia"/>
          <w:lang w:val="en-US" w:eastAsia="zh-CN"/>
        </w:rPr>
        <w:t>实验</w:t>
      </w:r>
      <w:r>
        <w:rPr>
          <w:rFonts w:hint="eastAsia"/>
        </w:rPr>
        <w:t>结果表明，将多尺度领域对齐与轻量级架构改进巧妙结合，有效提升</w:t>
      </w:r>
      <w:r>
        <w:rPr>
          <w:rFonts w:hint="eastAsia"/>
          <w:lang w:val="en-US" w:eastAsia="zh-CN"/>
        </w:rPr>
        <w:t>雨</w:t>
      </w:r>
      <w:r>
        <w:rPr>
          <w:rFonts w:hint="eastAsia"/>
        </w:rPr>
        <w:t>雾</w:t>
      </w:r>
      <w:r>
        <w:rPr>
          <w:rFonts w:hint="eastAsia"/>
          <w:lang w:val="en-US" w:eastAsia="zh-CN"/>
        </w:rPr>
        <w:t>等</w:t>
      </w:r>
      <w:r>
        <w:rPr>
          <w:rFonts w:hint="eastAsia"/>
        </w:rPr>
        <w:t>天</w:t>
      </w:r>
      <w:r>
        <w:rPr>
          <w:rFonts w:hint="eastAsia"/>
          <w:lang w:val="en-US" w:eastAsia="zh-CN"/>
        </w:rPr>
        <w:t>气</w:t>
      </w:r>
      <w:r>
        <w:rPr>
          <w:rFonts w:hint="eastAsia"/>
        </w:rPr>
        <w:t>条件下的目标检测性能，为在恶劣天气下实现自动驾驶的可靠感知提供了一种实用的解决方案。</w:t>
      </w:r>
    </w:p>
    <w:p w14:paraId="30D3B051">
      <w:pPr>
        <w:ind w:left="0" w:leftChars="0" w:firstLine="0" w:firstLineChars="0"/>
        <w:rPr>
          <w:rFonts w:hint="eastAsi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D196016">
      <w:pPr>
        <w:ind w:left="0" w:leftChars="0" w:firstLine="0" w:firstLineChars="0"/>
        <w:jc w:val="center"/>
        <w:rPr>
          <w:rFonts w:hint="eastAsia"/>
          <w:sz w:val="28"/>
          <w:szCs w:val="28"/>
        </w:rPr>
      </w:pPr>
      <w:r>
        <w:rPr>
          <w:rFonts w:hint="eastAsia"/>
          <w:sz w:val="28"/>
          <w:szCs w:val="28"/>
        </w:rPr>
        <w:t>MSD</w:t>
      </w:r>
      <w:r>
        <w:rPr>
          <w:rFonts w:hint="eastAsia"/>
          <w:sz w:val="28"/>
          <w:szCs w:val="28"/>
          <w:lang w:val="en-US" w:eastAsia="zh-CN"/>
        </w:rPr>
        <w:t>A</w:t>
      </w:r>
      <w:r>
        <w:rPr>
          <w:rFonts w:hint="eastAsia"/>
          <w:sz w:val="28"/>
          <w:szCs w:val="28"/>
        </w:rPr>
        <w:t>-YOLO12: Multi-Scale Domain Adaptation with LDown and LSKC2f for Adverse-Weather Object Detection</w:t>
      </w:r>
    </w:p>
    <w:p w14:paraId="22BDC69F">
      <w:pPr>
        <w:keepNext w:val="0"/>
        <w:keepLines w:val="0"/>
        <w:pageBreakBefore w:val="0"/>
        <w:widowControl w:val="0"/>
        <w:kinsoku/>
        <w:wordWrap/>
        <w:overflowPunct/>
        <w:topLinePunct w:val="0"/>
        <w:autoSpaceDE/>
        <w:autoSpaceDN/>
        <w:bidi w:val="0"/>
        <w:adjustRightInd/>
        <w:snapToGrid/>
        <w:ind w:left="0" w:leftChars="0" w:firstLine="482" w:firstLineChars="200"/>
        <w:textAlignment w:val="auto"/>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b/>
          <w:bCs/>
        </w:rPr>
        <w:t>Abstract</w:t>
      </w:r>
      <w:r>
        <w:rPr>
          <w:rFonts w:hint="default" w:ascii="Times New Roman" w:hAnsi="Times New Roman" w:cs="Times New Roman"/>
          <w:b/>
          <w:bCs/>
          <w:lang w:eastAsia="zh-CN"/>
        </w:rPr>
        <w:t>：</w:t>
      </w:r>
      <w:r>
        <w:rPr>
          <w:rFonts w:hint="default" w:ascii="Times New Roman" w:hAnsi="Times New Roman" w:cs="Times New Roman"/>
        </w:rPr>
        <w:t>Compared to sunny lighting conditions, rainy and foggy weather can lead to reduced visibility and contrast, introducing motion blur, sensor noise, and target occlusion, significantly increasing the complexity of autonomous driving target detection. To address this issue, this paper proposes a domain adaptive detection framework, MSD</w:t>
      </w:r>
      <w:r>
        <w:rPr>
          <w:rFonts w:hint="eastAsia" w:cs="Times New Roman"/>
          <w:lang w:val="en-US" w:eastAsia="zh-CN"/>
        </w:rPr>
        <w:t>A</w:t>
      </w:r>
      <w:r>
        <w:rPr>
          <w:rFonts w:hint="default" w:ascii="Times New Roman" w:hAnsi="Times New Roman" w:cs="Times New Roman"/>
        </w:rPr>
        <w:t>-YOLO12, which deeply integrates the multi-scale domain adaptation strategy (MSD</w:t>
      </w:r>
      <w:r>
        <w:rPr>
          <w:rFonts w:hint="eastAsia" w:cs="Times New Roman"/>
          <w:lang w:val="en-US" w:eastAsia="zh-CN"/>
        </w:rPr>
        <w:t>A</w:t>
      </w:r>
      <w:r>
        <w:rPr>
          <w:rFonts w:hint="default" w:ascii="Times New Roman" w:hAnsi="Times New Roman" w:cs="Times New Roman"/>
        </w:rPr>
        <w:t>) with the YOLO12 training process to significantly narrow the domain gap between the source domain and the target domain. To further enhance the model efficiency and feature representation ability, this paper introduces a lightweight downsampling operator, LDown, to replace standard convolutions to reduce redundant computations and speed up inference. Simultaneously, it integrates Large Selective Kernel Attention (LSKAttention) with the C2f block to strengthen the ability to aggregate long-range contextual information. By integrating LDown and LSKC2f modules into the YOLO12 framework and fusing MSD</w:t>
      </w:r>
      <w:r>
        <w:rPr>
          <w:rFonts w:hint="eastAsia" w:cs="Times New Roman"/>
          <w:lang w:val="en-US" w:eastAsia="zh-CN"/>
        </w:rPr>
        <w:t>A</w:t>
      </w:r>
      <w:r>
        <w:rPr>
          <w:rFonts w:hint="default" w:ascii="Times New Roman" w:hAnsi="Times New Roman" w:cs="Times New Roman"/>
        </w:rPr>
        <w:t xml:space="preserve"> with its training process, a unified and training-friendly detection architecture is constructed. Experimental results in adverse weather driving scenarios show that, compared to the original YOLO12n baseline, our method reduces the number of parameters by 37%, and improves the performance in the target domain by 3.</w:t>
      </w:r>
      <w:r>
        <w:rPr>
          <w:rFonts w:hint="eastAsia" w:cs="Times New Roman"/>
          <w:lang w:val="en-US" w:eastAsia="zh-CN"/>
        </w:rPr>
        <w:t>9</w:t>
      </w:r>
      <w:r>
        <w:rPr>
          <w:rFonts w:hint="default" w:ascii="Times New Roman" w:hAnsi="Times New Roman" w:cs="Times New Roman"/>
        </w:rPr>
        <w:t xml:space="preserve"> percentage points with almost no impact on the accuracy in the source domain, demonstrating effective cross-domain generalization capability in rainy and foggy weather. The experimental results indicate that the clever combination of multi-scale domain alignment and lightweight architecture improvements effectively enhances target detection performance in rainy and foggy conditions, providing a practical solution for achieving reliable perception in autonomous driving under adverse weather conditions.</w:t>
      </w:r>
    </w:p>
    <w:p w14:paraId="29B4F214">
      <w:pPr>
        <w:pStyle w:val="2"/>
        <w:bidi w:val="0"/>
        <w:rPr>
          <w:rFonts w:hint="eastAsia"/>
          <w:lang w:val="en-US" w:eastAsia="zh-CN"/>
        </w:rPr>
      </w:pPr>
      <w:r>
        <w:rPr>
          <w:rFonts w:hint="eastAsia"/>
          <w:lang w:val="en-US" w:eastAsia="zh-CN"/>
        </w:rPr>
        <w:t>1介绍</w:t>
      </w:r>
    </w:p>
    <w:p w14:paraId="54B7D15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目标检测作为计算机视觉领域的核心任务之一，在自动驾驶、智能监控等关键领域中扮演着不可替代的角色，其检测精度与实时性直接决定了自动驾驶系统的环境感知能力和行驶安全性。在晴朗光照条件下，主流目标检测算法（如 YOLO 系列）已能实现较高的检测性能，但实际驾驶场景中频繁出现的雨、雾等恶劣天气，给目标检测带来了严峻挑战。</w:t>
      </w:r>
    </w:p>
    <w:p w14:paraId="1DB81E7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雨雾天气会导致环境能见度降低、图像对比度下降，同时引入运动模糊、传感器噪声及目标部分遮挡等问题，使得源域（晴朗天气）训练的模型在目标域（恶劣天气）中泛化能力显著下降，难以准确识别车辆、行人等关键目标，严重威胁自动驾驶的可靠性。为应对这一问题，研究人员提出了多种解决方案：部分方法通过图像增强技术预处理雨雾图像，但这类方法不仅增加了推理延迟，且增强效果依赖人工视觉评价，难以适配机器视觉的特征需求；传统域自适应方法虽能缩小域差异，但多忽略多尺度特征的协同对齐，导致对不同尺寸目标的检测鲁棒性不足；此外，现有改进模型往往在提升性能的同时增加了参数量和计算复杂度，无法满足自动驾驶的实时性要求。</w:t>
      </w:r>
    </w:p>
    <w:p w14:paraId="4CBB893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针对现有研究的局限性，本文提出一种融合多尺度域自适应与轻量级架构优化的恶劣天气目标检测算法MSDD-YOLO12。其核心动机是在解决跨域泛化问题的同时，兼顾模型的效率与实时部署能力。本文的主要贡献如下：</w:t>
      </w:r>
    </w:p>
    <w:p w14:paraId="46B7EA0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提出多尺度域自适应策略MSDA，将其与YOLO12的训练流程深度融合，从多尺度特征层面缩小源域与目标域的分布差异，提升跨域泛化能力；</w:t>
      </w:r>
    </w:p>
    <w:p w14:paraId="7A87DEB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引入轻量级下采样算子LDown，替换传统标准卷积，在减少冗余计算的同时保证特征提取效率，有效降低模型参数量；</w:t>
      </w:r>
    </w:p>
    <w:p w14:paraId="302DF6E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构建LSKC2f特征增强模块，将大选择性核注意力LSKAttention与C2f块有机结合，强化模型对长距离上下文信息的聚合能力，提升复杂场景下的特征表达；</w:t>
      </w:r>
    </w:p>
    <w:p w14:paraId="584F6AA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构建统一且训练友好的检测架构，将MSDD策略、LDown算子与LSKC2f模块无缝集成于YOLO12框架，在几乎不损失源域精度的前提下，显著提升雨雾天气下的检测性能，同时保证实时推理速度。</w:t>
      </w:r>
    </w:p>
    <w:p w14:paraId="269C576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在真实任务数据集ACDC、RainyCityscapes上的实验结果表明，MSDA-YOLO12 在目标域检测准确率和恶劣天气鲁棒性方面优于主流目标检测模型。</w:t>
      </w:r>
    </w:p>
    <w:p w14:paraId="025A1A1D">
      <w:pPr>
        <w:pStyle w:val="2"/>
        <w:bidi w:val="0"/>
        <w:rPr>
          <w:rFonts w:hint="eastAsia"/>
          <w:lang w:val="en-US" w:eastAsia="zh-CN"/>
        </w:rPr>
      </w:pPr>
      <w:r>
        <w:rPr>
          <w:rFonts w:hint="eastAsia"/>
          <w:lang w:val="en-US" w:eastAsia="zh-CN"/>
        </w:rPr>
        <w:t>2 相关工作</w:t>
      </w:r>
    </w:p>
    <w:p w14:paraId="255058C1">
      <w:pPr>
        <w:pStyle w:val="3"/>
        <w:bidi w:val="0"/>
        <w:rPr>
          <w:rFonts w:hint="eastAsia"/>
          <w:lang w:val="en-US" w:eastAsia="zh-CN"/>
        </w:rPr>
      </w:pPr>
      <w:r>
        <w:rPr>
          <w:rFonts w:hint="eastAsia"/>
          <w:lang w:val="en-US" w:eastAsia="zh-CN"/>
        </w:rPr>
        <w:t>2.1 目标检测</w:t>
      </w:r>
    </w:p>
    <w:p w14:paraId="54897BC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目标检测作为计算机视觉核心任务，旨在同步实现目标分类与定位，技术演进围绕 “精度—速度—鲁棒性”平衡展开，形成两阶段与单阶段两大主流路线。</w:t>
      </w:r>
    </w:p>
    <w:p w14:paraId="5654470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两阶段算法以Faster R-CNN为代表，通过区域提议网络（RPN）生成候选框，经卷积网络完成特征提取与分类回归，凭借精细优化实现高精度，但复杂流程导致推理速度受限，难以满足自动驾驶实时需求。特征金字塔网络（FPN）通过多尺度特征融合强化小目标检测能力，但未突破两阶段架构效率瓶颈。</w:t>
      </w:r>
    </w:p>
    <w:p w14:paraId="246897F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单阶段算法摒弃候选框生成，以YOLO系列为主导：YOLOv5引入自适应锚框与C3模块，平衡精度与部署灵活性；YOLOv8通过任务对齐头与动态标签分配提升复杂场景鲁棒性；YOLO12进一步强化Neck部分特征融合，常规场景表现优异。但现有YOLO系列未适配恶劣天气导致的特征畸变，难以应对噪声干扰与目标模糊。</w:t>
      </w:r>
    </w:p>
    <w:p w14:paraId="636A399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其他单阶段算法如SSD通过多尺度卷积直接预测，但小目标鲁棒性不足；RetinaNet引入focal loss解决类别不平衡，却未优化复杂环境特征表达。总体而言，常规场景检测已趋成熟，但恶劣天气下跨域适配与轻量化协同优化仍存缺口。</w:t>
      </w:r>
    </w:p>
    <w:p w14:paraId="52F0F930">
      <w:pPr>
        <w:pStyle w:val="3"/>
        <w:bidi w:val="0"/>
        <w:rPr>
          <w:rFonts w:hint="eastAsia"/>
          <w:lang w:val="en-US" w:eastAsia="zh-CN"/>
        </w:rPr>
      </w:pPr>
      <w:r>
        <w:rPr>
          <w:rFonts w:hint="eastAsia"/>
          <w:lang w:val="en-US" w:eastAsia="zh-CN"/>
        </w:rPr>
        <w:t>2.2 恶劣天气下目标检测</w:t>
      </w:r>
    </w:p>
    <w:p w14:paraId="10FF421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恶劣天气通过降低对比度、引入模糊与噪声破坏特征可区分性，相关研究形成四类核心解决方案，其中域适应方法因直击“域分布偏移”本质而成为近年热点。</w:t>
      </w:r>
    </w:p>
    <w:p w14:paraId="77C16E3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图像预处理驱动方法，暗通道先验算法实现高效去雾，Retinex理论优化光照增强。此类方法简单易实现，但预处理引入额外延迟（占总耗时30%以上），且增强效果基于人类视觉评价，与机器视觉“特征可区分性”不匹配。</w:t>
      </w:r>
    </w:p>
    <w:p w14:paraId="1A09163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模型鲁棒性优化方法，通过嵌入抗模糊卷积核、添加噪声抑制模块或引入注意力机制强化目标特征。这类方法避免预处理延迟，但多为经验性改进，未针对“域分布偏移”本质问题，且易导致参数量激增。</w:t>
      </w:r>
    </w:p>
    <w:p w14:paraId="00444E2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多模态传感器融合方法，结合可见光相机与激光雷达，利用雷达距离特性弥补视觉缺陷，但硬件成本高昂、数据同步复杂，难以大规模普及。</w:t>
      </w:r>
    </w:p>
    <w:p w14:paraId="2C90890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域适应驱动方法，作为新兴解决方案，通过对齐源域与目标域特征分布，从本质上解决数据分布不一致问题。相较于前三者，域适应无需额外预处理或硬件投入，能有效提升模型跨域泛化能力，但早期方法多聚焦单一尺度特征对齐，对恶劣天气下多尺度目标的鲁棒性仍需优化，这也为后续2.3节的深入探讨奠定基础。</w:t>
      </w:r>
    </w:p>
    <w:p w14:paraId="4B2B4DD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现有方法均未能同时解决“跨域泛化—实时推理—轻量化部署”三大诉求，成为自动驾驶场景应用的核心障碍。</w:t>
      </w:r>
    </w:p>
    <w:p w14:paraId="68408108">
      <w:pPr>
        <w:pStyle w:val="3"/>
        <w:bidi w:val="0"/>
        <w:rPr>
          <w:rFonts w:hint="eastAsia"/>
          <w:lang w:val="en-US" w:eastAsia="zh-CN"/>
        </w:rPr>
      </w:pPr>
      <w:r>
        <w:rPr>
          <w:rFonts w:hint="eastAsia"/>
          <w:lang w:val="en-US" w:eastAsia="zh-CN"/>
        </w:rPr>
        <w:t>2.3 通过域适应进行目标检测</w:t>
      </w:r>
    </w:p>
    <w:p w14:paraId="167FD01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域自适应（DA）技术通过对齐源域与目标域特征分布，解决“数据分布不一致”问题，已成为恶劣天气跨域检测的核心路径。</w:t>
      </w:r>
    </w:p>
    <w:p w14:paraId="58905A5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早期DA方法以Domain-Adversarial Faster R-CNN为代表，通过梯度反转层（GRL）构建对抗机制，但仅对齐深层单一尺度特征，忽略浅层高分辨率特征与深层高语义特征的域差异异质性，导致小目标跨域精度偏低。</w:t>
      </w:r>
    </w:p>
    <w:p w14:paraId="1AD7A16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随着单阶段算法兴起，DA与YOLO系列结合：部分研究在YOLOv8中嵌入域分类器实现域自适应；另有算法尝试对YOLOv4的多尺度特征层分别进行域对齐。但现有方法存在不足：“外挂式” 模块与YOLO流程缺乏深度耦合，额外模块导致参数量激增，对恶劣天气下长距离上下文聚合关注不足。</w:t>
      </w:r>
    </w:p>
    <w:p w14:paraId="4BE9036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近年多尺度DA成为热点，针对不同尺度特征域差异设计差异化策略，但未与轻量化架构协同优化，难以同时满足实时性与泛化性要求。本文MSDA策略通过多尺度DA与YOLO12深度融合，弥补这一空白。</w:t>
      </w:r>
    </w:p>
    <w:p w14:paraId="35EB32AC">
      <w:pPr>
        <w:pStyle w:val="2"/>
        <w:bidi w:val="0"/>
        <w:rPr>
          <w:rFonts w:hint="eastAsia"/>
          <w:lang w:val="en-US" w:eastAsia="zh-CN"/>
        </w:rPr>
      </w:pPr>
      <w:r>
        <w:rPr>
          <w:rFonts w:hint="eastAsia"/>
          <w:lang w:val="en-US" w:eastAsia="zh-CN"/>
        </w:rPr>
        <w:t>3 方法</w:t>
      </w:r>
    </w:p>
    <w:p w14:paraId="5CF626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本文提出的网络基于YOLO12</w:t>
      </w:r>
      <w:r>
        <w:rPr>
          <w:rFonts w:hint="eastAsia" w:cs="Times New Roman"/>
          <w:lang w:val="en-US" w:eastAsia="zh-CN"/>
        </w:rPr>
        <w:t>，</w:t>
      </w:r>
      <w:r>
        <w:rPr>
          <w:rFonts w:hint="default" w:cs="Times New Roman"/>
          <w:lang w:val="en-US" w:eastAsia="zh-CN"/>
        </w:rPr>
        <w:t>我们网络的核心由MSDA和改进轻量化模块组成</w:t>
      </w:r>
      <w:r>
        <w:rPr>
          <w:rFonts w:hint="eastAsia" w:cs="Times New Roman"/>
          <w:lang w:val="en-US" w:eastAsia="zh-CN"/>
        </w:rPr>
        <w:t>，</w:t>
      </w:r>
      <w:r>
        <w:rPr>
          <w:rFonts w:hint="default" w:cs="Times New Roman"/>
          <w:lang w:val="en-US" w:eastAsia="zh-CN"/>
        </w:rPr>
        <w:t>整体架构如图</w:t>
      </w:r>
      <w:r>
        <w:rPr>
          <w:rFonts w:hint="eastAsia" w:cs="Times New Roman"/>
          <w:lang w:val="en-US" w:eastAsia="zh-CN"/>
        </w:rPr>
        <w:t>1</w:t>
      </w:r>
      <w:r>
        <w:rPr>
          <w:rFonts w:hint="default" w:cs="Times New Roman"/>
          <w:lang w:val="en-US" w:eastAsia="zh-CN"/>
        </w:rPr>
        <w:t>所示。MSDA 仅在训练阶段参与，通过与YOLO12训练流程深度融合，从多尺度特征层面对齐源域与目标域分布，有效缩小域差异。改进轻量化模块包含 LDown 算子与 LSKC2f 模块：LDown替换传统标准卷积，减少冗余计算以降低参数量、提升推理速度；LSKC2f将LSKAttention与C2f块结合，强化长距离上下文信息聚合。三者无缝集成，构建出统一训练友好的架构，兼顾跨域泛化能力与实时部署需求。</w:t>
      </w:r>
    </w:p>
    <w:p w14:paraId="626F41A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drawing>
          <wp:inline distT="0" distB="0" distL="114300" distR="114300">
            <wp:extent cx="5265420" cy="4036695"/>
            <wp:effectExtent l="0" t="0" r="7620"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265420" cy="4036695"/>
                    </a:xfrm>
                    <a:prstGeom prst="rect">
                      <a:avLst/>
                    </a:prstGeom>
                    <a:noFill/>
                    <a:ln>
                      <a:noFill/>
                    </a:ln>
                  </pic:spPr>
                </pic:pic>
              </a:graphicData>
            </a:graphic>
          </wp:inline>
        </w:drawing>
      </w:r>
    </w:p>
    <w:p w14:paraId="727232FE">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eastAsia" w:cs="Times New Roman"/>
          <w:lang w:val="en-US" w:eastAsia="zh-CN"/>
        </w:rPr>
      </w:pPr>
      <w:r>
        <w:rPr>
          <w:rFonts w:hint="eastAsia"/>
          <w:lang w:val="en-US" w:eastAsia="zh-CN"/>
        </w:rPr>
        <w:t>图</w:t>
      </w:r>
      <w:r>
        <w:fldChar w:fldCharType="begin"/>
      </w:r>
      <w:r>
        <w:instrText xml:space="preserve"> SEQ 图 \* ARABIC </w:instrText>
      </w:r>
      <w:r>
        <w:fldChar w:fldCharType="separate"/>
      </w:r>
      <w:r>
        <w:t>1</w:t>
      </w:r>
      <w:r>
        <w:fldChar w:fldCharType="end"/>
      </w:r>
      <w:r>
        <w:rPr>
          <w:rFonts w:hint="eastAsia"/>
          <w:lang w:val="en-US" w:eastAsia="zh-CN"/>
        </w:rPr>
        <w:t xml:space="preserve"> MSDA-YOLO12网络架构图</w:t>
      </w:r>
    </w:p>
    <w:p w14:paraId="331756F3">
      <w:pPr>
        <w:pStyle w:val="3"/>
        <w:bidi w:val="0"/>
        <w:rPr>
          <w:rFonts w:hint="default"/>
          <w:lang w:val="en-US" w:eastAsia="zh-CN"/>
        </w:rPr>
      </w:pPr>
      <w:r>
        <w:rPr>
          <w:rFonts w:hint="eastAsia"/>
          <w:lang w:val="en-US" w:eastAsia="zh-CN"/>
        </w:rPr>
        <w:t>3.1 大选择核特征融合（LSKC2f）模块</w:t>
      </w:r>
    </w:p>
    <w:p w14:paraId="7146D78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LSKC2f模块专为解决雨雾等恶劣天气下目标特征模糊、长距离上下文信息聚合能力不足的问题设计，通过将大选择性核注意力（LSKAttention）与C2f块有机融合，强化模型对复杂场景的特征表达能力。C2f 块作为基础架构，通过拆分特征通道、多分支Bottleneck并行计算及跨层连接设计，有效保留梯度流动并丰富特征层次，为恶劣天气下的细粒度特征提取提供支撑。LSKAttention则引入动态多尺度卷积核（涵盖5×5、7×7尺寸），可自适应捕捉不同尺度目标的特征细节，同时通过通道与空间注意力机制，抑制雨雾引入的传感器噪声干扰，突出车辆、行人等关键目标的特征信息。如图2所示，模块工作流程为：输入特征经C2f块拆分与初步处理后，送入LSKAttention进行多尺度特征筛选与上下文聚合，再通过跨层连接整合不同分支特征，最终输出增强后的高辨识度特征。该融合设计既保留C2f的高效特征传递优势，又借助LSKAttention强化长距离上下文关联，有效应对雨雾导致的目标遮挡与特征畸变，为后续检测任务提供高质量特征输入。</w:t>
      </w:r>
    </w:p>
    <w:p w14:paraId="03BB9D1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lang w:val="en-US" w:eastAsia="zh-CN"/>
        </w:rPr>
      </w:pPr>
      <w:r>
        <w:rPr>
          <w:rFonts w:hint="eastAsia" w:cs="Times New Roman"/>
          <w:lang w:val="en-US" w:eastAsia="zh-CN"/>
        </w:rPr>
        <w:drawing>
          <wp:inline distT="0" distB="0" distL="114300" distR="114300">
            <wp:extent cx="4674870" cy="3150870"/>
            <wp:effectExtent l="0" t="0" r="3810" b="3810"/>
            <wp:docPr id="2" name="图片 2" descr="LSK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SKC2f"/>
                    <pic:cNvPicPr>
                      <a:picLocks noChangeAspect="1"/>
                    </pic:cNvPicPr>
                  </pic:nvPicPr>
                  <pic:blipFill>
                    <a:blip r:embed="rId7"/>
                    <a:stretch>
                      <a:fillRect/>
                    </a:stretch>
                  </pic:blipFill>
                  <pic:spPr>
                    <a:xfrm>
                      <a:off x="0" y="0"/>
                      <a:ext cx="4674870" cy="3150870"/>
                    </a:xfrm>
                    <a:prstGeom prst="rect">
                      <a:avLst/>
                    </a:prstGeom>
                  </pic:spPr>
                </pic:pic>
              </a:graphicData>
            </a:graphic>
          </wp:inline>
        </w:drawing>
      </w:r>
    </w:p>
    <w:p w14:paraId="78072C0F">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eastAsia" w:cs="Times New Roman"/>
          <w:lang w:val="en-US" w:eastAsia="zh-CN"/>
        </w:rPr>
      </w:pPr>
      <w:r>
        <w:rPr>
          <w:rFonts w:hint="eastAsia"/>
          <w:lang w:val="en-US" w:eastAsia="zh-CN"/>
        </w:rPr>
        <w:t>图2 LSKC2f模块架构图</w:t>
      </w:r>
    </w:p>
    <w:p w14:paraId="6A239AC8">
      <w:pPr>
        <w:pStyle w:val="3"/>
        <w:bidi w:val="0"/>
        <w:rPr>
          <w:rFonts w:hint="default"/>
          <w:lang w:val="en-US" w:eastAsia="zh-CN"/>
        </w:rPr>
      </w:pPr>
      <w:r>
        <w:rPr>
          <w:rFonts w:hint="eastAsia"/>
          <w:lang w:val="en-US" w:eastAsia="zh-CN"/>
        </w:rPr>
        <w:t xml:space="preserve">3.2 </w:t>
      </w:r>
      <w:r>
        <w:rPr>
          <w:rFonts w:hint="default"/>
          <w:lang w:val="en-US" w:eastAsia="zh-CN"/>
        </w:rPr>
        <w:t>轻量级下采样（LDown）模块</w:t>
      </w:r>
    </w:p>
    <w:p w14:paraId="3B44E30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LDown 模块针对恶劣天气下的特征降采样需求设计，在压缩空间维度与通道冗余的同时，强化多尺度特征表达与噪声鲁棒性。如图3所示，其结构流程如下：输入通道数c的特征图后，先经Split操作将通道等分为两路（各c/2）；左分支依次通过卷积层（Conv）与平均池化（AvgPool），右分支依次通过卷积层（Conv）与最大池化（MaxPool），两路分别捕捉不同尺度的上下文与细节信息；随后通过Concat操作将两路特征（各c/2）拼接回通道数c的特征图；最后接入NAM（噪声感知注意力模块），对特征通道与空间维度的重要性进行自适应加权，抑制雨雾噪声干扰。该设计通过双池化分支融合多尺度信息，结合注意力机制增强特征判别性，在轻量化下采样的同时提升恶劣天气下的特征表达能力。</w:t>
      </w:r>
    </w:p>
    <w:p w14:paraId="71E1EDF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lang w:val="en-US" w:eastAsia="zh-CN"/>
        </w:rPr>
      </w:pPr>
      <w:r>
        <w:drawing>
          <wp:inline distT="0" distB="0" distL="114300" distR="114300">
            <wp:extent cx="5269865" cy="1994535"/>
            <wp:effectExtent l="0" t="0" r="317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5269865" cy="1994535"/>
                    </a:xfrm>
                    <a:prstGeom prst="rect">
                      <a:avLst/>
                    </a:prstGeom>
                    <a:noFill/>
                    <a:ln>
                      <a:noFill/>
                    </a:ln>
                  </pic:spPr>
                </pic:pic>
              </a:graphicData>
            </a:graphic>
          </wp:inline>
        </w:drawing>
      </w:r>
    </w:p>
    <w:p w14:paraId="1967426F">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default"/>
          <w:lang w:val="en-US" w:eastAsia="zh-CN"/>
        </w:rPr>
      </w:pPr>
      <w:r>
        <w:rPr>
          <w:rFonts w:hint="eastAsia"/>
          <w:lang w:val="en-US" w:eastAsia="zh-CN"/>
        </w:rPr>
        <w:t>图3 LDown模块架构图</w:t>
      </w:r>
    </w:p>
    <w:p w14:paraId="38EE901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如图4所示，将LSKC2f模块和LDown模块替换到yolo12中得到改进yolo12网络结构图。</w:t>
      </w:r>
    </w:p>
    <w:p w14:paraId="4EF4918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868545" cy="3494405"/>
            <wp:effectExtent l="0" t="0" r="8255" b="10795"/>
            <wp:docPr id="9" name="图片 9" descr="改进yolo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改进yolo121"/>
                    <pic:cNvPicPr>
                      <a:picLocks noChangeAspect="1"/>
                    </pic:cNvPicPr>
                  </pic:nvPicPr>
                  <pic:blipFill>
                    <a:blip r:embed="rId9"/>
                    <a:stretch>
                      <a:fillRect/>
                    </a:stretch>
                  </pic:blipFill>
                  <pic:spPr>
                    <a:xfrm>
                      <a:off x="0" y="0"/>
                      <a:ext cx="4868545" cy="3494405"/>
                    </a:xfrm>
                    <a:prstGeom prst="rect">
                      <a:avLst/>
                    </a:prstGeom>
                  </pic:spPr>
                </pic:pic>
              </a:graphicData>
            </a:graphic>
          </wp:inline>
        </w:drawing>
      </w:r>
    </w:p>
    <w:p w14:paraId="53869D1A">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default"/>
          <w:lang w:val="en-US" w:eastAsia="zh-CN"/>
        </w:rPr>
      </w:pPr>
      <w:r>
        <w:rPr>
          <w:rFonts w:hint="eastAsia"/>
          <w:lang w:val="en-US" w:eastAsia="zh-CN"/>
        </w:rPr>
        <w:t>图4 改进yolo12网络架构图</w:t>
      </w:r>
    </w:p>
    <w:p w14:paraId="5D81E69E">
      <w:pPr>
        <w:pStyle w:val="3"/>
        <w:bidi w:val="0"/>
        <w:rPr>
          <w:rFonts w:hint="default"/>
          <w:lang w:val="en-US" w:eastAsia="zh-CN"/>
        </w:rPr>
      </w:pPr>
      <w:r>
        <w:rPr>
          <w:rFonts w:hint="eastAsia"/>
          <w:lang w:val="en-US" w:eastAsia="zh-CN"/>
        </w:rPr>
        <w:t>3.3 多尺度域适应（MSDA）模块</w:t>
      </w:r>
    </w:p>
    <w:p w14:paraId="29B4BAB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恶劣天气场景下的多目标追踪面临着显著的域偏移问题。晴天条件下训练的检测模型在雨、雾等恶劣天气下性能会急剧下降，这是因为不同天气条件导致图像的光照、对比度、纹理等底层特征发生显著变化，形成了源域与目标域之间的特征分布差异。为了增强模型在不同气象条件下的泛化能力，本文提出了多尺度域适应（Multi-Scale Domain Adaptation）模块，通过对抗学习机制缩小不同天气域之间的特征差异，使模型学习到与天气条件无关的鲁棒特征表示。</w:t>
      </w:r>
    </w:p>
    <w:p w14:paraId="7CC87C7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MSDA模块与YOLO12检测网络深度集成，从Neck特征融合网络的三个不同尺度输出提取特征，输入到多尺度域判别器（Multi-Scale Domain Discriminator）中进行域适应训练。MSDD通过判别特征来自源域还是目标域，而主网络则通过对抗训练学习混淆域判别器，从而提取域不变特征。整个MSDA模块采用Focal Loss作为判别损失函数，有效处理域判别任务中的类别不平衡问题。</w:t>
      </w:r>
    </w:p>
    <w:p w14:paraId="1091855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MSDD模块的核心架构包含特征对齐模块、多尺度特征融合、梯度反转层和轻量级域判别器四个关键组件。如图5所示，该模块接收来自Neck网络的三个不同尺度特征图FP3、FP4、FP5，其特征维度分别为[B,C1,H1,W1]、[B,C2,H2,W2]和[B,C3,H3,W3]，对应不同感受野下的特征表示，能够同时捕获细粒度局部特征和粗粒度全局特征。</w:t>
      </w:r>
    </w:p>
    <w:p w14:paraId="4DEF2EE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Ansi="Cambria Math" w:cs="宋体"/>
          <w:i w:val="0"/>
          <w:color w:val="000000"/>
          <w:kern w:val="2"/>
          <w:sz w:val="24"/>
          <w:szCs w:val="24"/>
          <w:u w:val="none"/>
          <w:lang w:val="en-US" w:eastAsia="zh-CN" w:bidi="ar-SA"/>
        </w:rPr>
      </w:pPr>
      <w:r>
        <w:rPr>
          <w:rFonts w:hint="eastAsia" w:hAnsi="Cambria Math" w:cs="宋体"/>
          <w:i w:val="0"/>
          <w:color w:val="000000"/>
          <w:kern w:val="2"/>
          <w:sz w:val="24"/>
          <w:szCs w:val="24"/>
          <w:u w:val="none"/>
          <w:lang w:val="en-US" w:eastAsia="zh-CN" w:bidi="ar-SA"/>
        </w:rPr>
        <w:drawing>
          <wp:inline distT="0" distB="0" distL="114300" distR="114300">
            <wp:extent cx="4752975" cy="4624705"/>
            <wp:effectExtent l="0" t="0" r="1905" b="8255"/>
            <wp:docPr id="6" name="图片 6" descr="MS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SDD"/>
                    <pic:cNvPicPr>
                      <a:picLocks noChangeAspect="1"/>
                    </pic:cNvPicPr>
                  </pic:nvPicPr>
                  <pic:blipFill>
                    <a:blip r:embed="rId10"/>
                    <a:stretch>
                      <a:fillRect/>
                    </a:stretch>
                  </pic:blipFill>
                  <pic:spPr>
                    <a:xfrm>
                      <a:off x="0" y="0"/>
                      <a:ext cx="4752975" cy="4624705"/>
                    </a:xfrm>
                    <a:prstGeom prst="rect">
                      <a:avLst/>
                    </a:prstGeom>
                  </pic:spPr>
                </pic:pic>
              </a:graphicData>
            </a:graphic>
          </wp:inline>
        </w:drawing>
      </w:r>
    </w:p>
    <w:p w14:paraId="5B172D42">
      <w:pPr>
        <w:pStyle w:val="5"/>
        <w:keepNext w:val="0"/>
        <w:keepLines w:val="0"/>
        <w:pageBreakBefore w:val="0"/>
        <w:widowControl w:val="0"/>
        <w:kinsoku/>
        <w:wordWrap/>
        <w:overflowPunct/>
        <w:topLinePunct w:val="0"/>
        <w:autoSpaceDE w:val="0"/>
        <w:autoSpaceDN w:val="0"/>
        <w:bidi w:val="0"/>
        <w:adjustRightInd/>
        <w:snapToGrid/>
        <w:ind w:left="0" w:leftChars="0" w:firstLine="0" w:firstLineChars="0"/>
        <w:jc w:val="center"/>
        <w:textAlignment w:val="auto"/>
        <w:rPr>
          <w:rFonts w:hint="default" w:hAnsi="Cambria Math" w:eastAsia="黑体" w:cs="宋体"/>
          <w:i w:val="0"/>
          <w:color w:val="000000"/>
          <w:kern w:val="2"/>
          <w:sz w:val="24"/>
          <w:szCs w:val="24"/>
          <w:u w:val="none"/>
          <w:lang w:val="en-US" w:eastAsia="zh-CN" w:bidi="ar-SA"/>
        </w:rPr>
      </w:pPr>
      <w:r>
        <w:t>图</w:t>
      </w:r>
      <w:r>
        <w:rPr>
          <w:rFonts w:hint="eastAsia"/>
          <w:lang w:val="en-US" w:eastAsia="zh-CN"/>
        </w:rPr>
        <w:t>5 MSDD模块架构图</w:t>
      </w:r>
    </w:p>
    <w:p w14:paraId="176A2952">
      <w:pPr>
        <w:keepNext w:val="0"/>
        <w:keepLines w:val="0"/>
        <w:pageBreakBefore w:val="0"/>
        <w:widowControl w:val="0"/>
        <w:kinsoku/>
        <w:wordWrap w:val="0"/>
        <w:overflowPunct/>
        <w:topLinePunct w:val="0"/>
        <w:autoSpaceDE/>
        <w:autoSpaceDN/>
        <w:bidi w:val="0"/>
        <w:adjustRightInd/>
        <w:snapToGrid/>
        <w:spacing w:line="300" w:lineRule="auto"/>
        <w:ind w:right="0" w:rightChars="0" w:firstLine="480" w:firstLineChars="200"/>
        <w:jc w:val="left"/>
        <w:textAlignment w:val="auto"/>
        <w:rPr>
          <w:rFonts w:hint="eastAsia"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特征对齐模块是MSDD的首要处理单元，负责将不同尺度、不同通道数的特征图统一到相同的特征空间。该模块对每个输入特征图独立进行处理：首先通过1×1卷积层进行通道维度对齐，将不同通道数</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C</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1</m:t>
            </m:r>
            <m:ctrlPr>
              <w:rPr>
                <w:rFonts w:ascii="Cambria Math" w:hAnsi="Cambria Math" w:cs="宋体"/>
                <w:i/>
                <w:color w:val="000000"/>
                <w:kern w:val="2"/>
                <w:sz w:val="24"/>
                <w:szCs w:val="24"/>
                <w:u w:val="none"/>
                <w:lang w:val="en-US" w:bidi="ar-SA"/>
              </w:rPr>
            </m:ctrlPr>
          </m:sub>
        </m:sSub>
        <m:r>
          <m:rPr/>
          <w:rPr>
            <w:rFonts w:hint="eastAsia"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2</m:t>
            </m:r>
            <m:ctrlPr>
              <w:rPr>
                <w:rFonts w:hint="default" w:ascii="Cambria Math" w:hAnsi="Cambria Math" w:cs="宋体"/>
                <w:i/>
                <w:color w:val="000000"/>
                <w:kern w:val="2"/>
                <w:sz w:val="24"/>
                <w:szCs w:val="24"/>
                <w:u w:val="none"/>
                <w:lang w:val="en-US" w:eastAsia="zh-CN" w:bidi="ar-SA"/>
              </w:rPr>
            </m:ctrlPr>
          </m:sub>
        </m:sSub>
        <m:r>
          <m:rPr/>
          <w:rPr>
            <w:rFonts w:hint="eastAsia"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3</m:t>
            </m:r>
            <m:ctrlPr>
              <w:rPr>
                <w:rFonts w:hint="default" w:ascii="Cambria Math" w:hAnsi="Cambria Math" w:cs="宋体"/>
                <w:i/>
                <w:color w:val="000000"/>
                <w:kern w:val="2"/>
                <w:sz w:val="24"/>
                <w:szCs w:val="24"/>
                <w:u w:val="none"/>
                <w:lang w:val="en-US" w:eastAsia="zh-CN" w:bidi="ar-SA"/>
              </w:rPr>
            </m:ctrlPr>
          </m:sub>
        </m:sSub>
      </m:oMath>
      <w:r>
        <w:rPr>
          <w:rFonts w:hint="default" w:hAnsi="Cambria Math" w:cs="宋体"/>
          <w:i w:val="0"/>
          <w:color w:val="000000"/>
          <w:kern w:val="2"/>
          <w:sz w:val="24"/>
          <w:szCs w:val="24"/>
          <w:u w:val="none"/>
          <w:lang w:val="en-US" w:eastAsia="zh-CN" w:bidi="ar-SA"/>
        </w:rPr>
        <w:t>统一映射到固定维度</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C</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align</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eastAsia="zh-CN" w:bidi="ar-SA"/>
        </w:rPr>
        <w:t>：</w:t>
      </w:r>
    </w:p>
    <w:p w14:paraId="6D9F8017">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eastAsia" w:hAnsi="Cambria Math" w:cs="宋体"/>
          <w:i w:val="0"/>
          <w:color w:val="000000"/>
          <w:kern w:val="2"/>
          <w:sz w:val="24"/>
          <w:szCs w:val="24"/>
          <w:u w:val="none"/>
          <w:lang w:val="en-US" w:eastAsia="zh-CN" w:bidi="ar-SA"/>
        </w:rPr>
      </w:pPr>
      <m:oMathPara>
        <m:oMathParaPr>
          <m:jc m:val="center"/>
        </m:oMathParaP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f</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i</m:t>
              </m:r>
              <m:ctrlPr>
                <w:rPr>
                  <w:rFonts w:ascii="Cambria Math" w:hAnsi="Cambria Math" w:cs="宋体"/>
                  <w:i/>
                  <w:color w:val="000000"/>
                  <w:kern w:val="2"/>
                  <w:sz w:val="24"/>
                  <w:szCs w:val="24"/>
                  <w:u w:val="none"/>
                  <w:lang w:val="en-US" w:bidi="ar-SA"/>
                </w:rPr>
              </m:ctrlPr>
            </m:sub>
          </m:sSub>
          <m:r>
            <m:rPr/>
            <w:rPr>
              <w:rFonts w:hint="default" w:ascii="Cambria Math" w:hAnsi="Cambria Math" w:cs="宋体"/>
              <w:color w:val="000000"/>
              <w:kern w:val="2"/>
              <w:sz w:val="24"/>
              <w:szCs w:val="24"/>
              <w:u w:val="none"/>
              <w:lang w:val="en-US" w:eastAsia="zh-CN" w:bidi="ar-SA"/>
            </w:rPr>
            <m:t>=ReLU(</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Conv</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1</m:t>
              </m:r>
              <m:r>
                <m:rPr/>
                <w:rPr>
                  <w:rFonts w:ascii="Cambria Math" w:hAnsi="Cambria Math" w:cs="宋体"/>
                  <w:color w:val="000000"/>
                  <w:kern w:val="2"/>
                  <w:sz w:val="24"/>
                  <w:szCs w:val="24"/>
                  <w:u w:val="none"/>
                  <w:lang w:val="en-US" w:bidi="ar-SA"/>
                </w:rPr>
                <m:t>×</m:t>
              </m:r>
              <m:r>
                <m:rPr/>
                <w:rPr>
                  <w:rFonts w:hint="default" w:ascii="Cambria Math" w:hAnsi="Cambria Math" w:cs="宋体"/>
                  <w:color w:val="000000"/>
                  <w:kern w:val="2"/>
                  <w:sz w:val="24"/>
                  <w:szCs w:val="24"/>
                  <w:u w:val="none"/>
                  <w:lang w:val="en-US" w:eastAsia="zh-CN" w:bidi="ar-SA"/>
                </w:rPr>
                <m:t>1</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F</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Pi</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m:t>
          </m:r>
          <m:r>
            <m:rPr/>
            <w:rPr>
              <w:rFonts w:hint="default" w:ascii="Cambria Math" w:hAnsi="Cambria Math" w:cs="宋体"/>
              <w:color w:val="000000"/>
              <w:kern w:val="2"/>
              <w:sz w:val="24"/>
              <w:szCs w:val="24"/>
              <w:u w:val="none"/>
              <w:lang w:val="en-US" w:eastAsia="zh-CN" w:bidi="ar-SA"/>
            </w:rPr>
            <m:t>i</m:t>
          </m:r>
          <m:r>
            <m:rPr/>
            <w:rPr>
              <w:rFonts w:hint="default" w:ascii="Cambria Math" w:hAnsi="Cambria Math" w:cs="Cambria Math"/>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{3</m:t>
          </m:r>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4</m:t>
          </m:r>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5}，</m:t>
          </m:r>
        </m:oMath>
      </m:oMathPara>
    </w:p>
    <w:p w14:paraId="69960FE2">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eastAsia" w:hAnsi="Cambria Math" w:cs="Cambria Math"/>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然后采用自适应平均池化（AdaptiveAvgPool）操作将不同空间尺寸的特征图统一下采样到相同的空间维度</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H</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min</m:t>
            </m:r>
            <m:ctrlPr>
              <w:rPr>
                <w:rFonts w:ascii="Cambria Math" w:hAnsi="Cambria Math" w:cs="宋体"/>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min</m:t>
            </m:r>
            <m:ctrlPr>
              <w:rPr>
                <w:rFonts w:hint="default" w:ascii="Cambria Math" w:hAnsi="Cambria Math" w:cs="Cambria Math"/>
                <w:i/>
                <w:color w:val="000000"/>
                <w:kern w:val="2"/>
                <w:sz w:val="24"/>
                <w:szCs w:val="24"/>
                <w:u w:val="none"/>
                <w:lang w:val="en-US" w:bidi="ar-SA"/>
              </w:rPr>
            </m:ctrlPr>
          </m:sub>
        </m:sSub>
      </m:oMath>
      <w:r>
        <w:rPr>
          <w:rFonts w:hint="eastAsia" w:hAnsi="Cambria Math" w:cs="Cambria Math"/>
          <w:i w:val="0"/>
          <w:color w:val="000000"/>
          <w:kern w:val="2"/>
          <w:sz w:val="24"/>
          <w:szCs w:val="24"/>
          <w:u w:val="none"/>
          <w:lang w:val="en-US" w:eastAsia="zh-CN" w:bidi="ar-SA"/>
        </w:rPr>
        <w:t>，得到三个对齐后的特征</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4</m:t>
            </m:r>
            <m:ctrlPr>
              <w:rPr>
                <w:rFonts w:hint="eastAsia"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5</m:t>
            </m:r>
            <m:ctrlPr>
              <w:rPr>
                <w:rFonts w:hint="eastAsia" w:ascii="Cambria Math" w:hAnsi="Cambria Math" w:cs="Cambria Math"/>
                <w:i/>
                <w:color w:val="000000"/>
                <w:kern w:val="2"/>
                <w:sz w:val="24"/>
                <w:szCs w:val="24"/>
                <w:u w:val="none"/>
                <w:lang w:val="en-US" w:eastAsia="zh-CN" w:bidi="ar-SA"/>
              </w:rPr>
            </m:ctrlPr>
          </m:sub>
        </m:sSub>
      </m:oMath>
      <w:r>
        <w:rPr>
          <w:rFonts w:hint="eastAsia" w:hAnsi="Cambria Math" w:cs="Cambria Math"/>
          <w:i w:val="0"/>
          <w:color w:val="000000"/>
          <w:kern w:val="2"/>
          <w:sz w:val="24"/>
          <w:szCs w:val="24"/>
          <w:u w:val="none"/>
          <w:lang w:val="en-US" w:eastAsia="zh-CN" w:bidi="ar-SA"/>
        </w:rPr>
        <w:t>。</w:t>
      </w:r>
    </w:p>
    <w:p w14:paraId="7F7BF4F9">
      <w:pPr>
        <w:keepNext w:val="0"/>
        <w:keepLines w:val="0"/>
        <w:pageBreakBefore w:val="0"/>
        <w:widowControl w:val="0"/>
        <w:kinsoku/>
        <w:wordWrap w:val="0"/>
        <w:overflowPunct/>
        <w:topLinePunct w:val="0"/>
        <w:autoSpaceDE/>
        <w:autoSpaceDN/>
        <w:bidi w:val="0"/>
        <w:adjustRightInd/>
        <w:snapToGrid/>
        <w:spacing w:line="300" w:lineRule="auto"/>
        <w:ind w:right="0" w:rightChars="0" w:firstLine="482" w:firstLineChars="20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b/>
          <w:bCs/>
          <w:i w:val="0"/>
          <w:color w:val="000000"/>
          <w:kern w:val="2"/>
          <w:sz w:val="24"/>
          <w:szCs w:val="24"/>
          <w:u w:val="none"/>
          <w:lang w:val="en-US" w:eastAsia="zh-CN" w:bidi="ar-SA"/>
        </w:rPr>
        <w:t>多尺度特征融合机制</w:t>
      </w:r>
      <w:r>
        <w:rPr>
          <w:rFonts w:hint="eastAsia" w:hAnsi="Cambria Math" w:cs="Cambria Math"/>
          <w:i w:val="0"/>
          <w:color w:val="000000"/>
          <w:kern w:val="2"/>
          <w:sz w:val="24"/>
          <w:szCs w:val="24"/>
          <w:u w:val="none"/>
          <w:lang w:val="en-US" w:eastAsia="zh-CN" w:bidi="ar-SA"/>
        </w:rPr>
        <w:t>通过可学习的尺度权重自适应地融合三个尺度的特征。该机制维护一组可学习参数</w:t>
      </w:r>
      <m:oMath>
        <m:r>
          <m:rPr/>
          <w:rPr>
            <w:rFonts w:hint="default" w:ascii="Cambria Math" w:hAnsi="Cambria Math" w:cs="Cambria Math"/>
            <w:color w:val="000000"/>
            <w:kern w:val="2"/>
            <w:sz w:val="24"/>
            <w:szCs w:val="24"/>
            <w:u w:val="none"/>
            <w:lang w:val="en-US" w:eastAsia="zh-CN" w:bidi="ar-SA"/>
          </w:rPr>
          <m:t>W=[</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oMath>
      <w:r>
        <w:rPr>
          <w:rFonts w:hint="eastAsia" w:hAnsi="Cambria Math" w:cs="Cambria Math"/>
          <w:i w:val="0"/>
          <w:color w:val="000000"/>
          <w:kern w:val="2"/>
          <w:sz w:val="24"/>
          <w:szCs w:val="24"/>
          <w:u w:val="none"/>
          <w:lang w:val="en-US" w:eastAsia="zh-CN" w:bidi="ar-SA"/>
        </w:rPr>
        <w:t>，分别对应P3、P4、P5三个尺度特征的重要性权重。为确保权重的有效性，采用Softmax归一化：</w:t>
      </w:r>
    </w:p>
    <w:p w14:paraId="2EC8BF4F">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hint="default" w:ascii="Cambria Math" w:hAnsi="Cambria Math" w:cs="Cambria Math"/>
                  <w:i/>
                  <w:color w:val="000000"/>
                  <w:kern w:val="2"/>
                  <w:sz w:val="24"/>
                  <w:szCs w:val="24"/>
                  <w:u w:val="none"/>
                  <w:lang w:val="en-US" w:eastAsia="zh-CN" w:bidi="ar-SA"/>
                </w:rPr>
              </m:ctrlPr>
            </m:sSubPr>
            <m:e>
              <m:acc>
                <m:accPr>
                  <m:chr m:val="̃"/>
                  <m:ctrlPr>
                    <w:rPr>
                      <w:rFonts w:hint="default" w:ascii="Cambria Math" w:hAnsi="Cambria Math" w:cs="Cambria Math"/>
                      <w:i/>
                      <w:color w:val="000000"/>
                      <w:kern w:val="2"/>
                      <w:sz w:val="24"/>
                      <w:szCs w:val="24"/>
                      <w:u w:val="none"/>
                      <w:lang w:val="en-US" w:eastAsia="zh-CN"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acc>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i</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f>
            <m:fPr>
              <m:ctrlPr>
                <w:rPr>
                  <w:rFonts w:hint="default" w:ascii="Cambria Math" w:hAnsi="Cambria Math" w:cs="Cambria Math"/>
                  <w:i/>
                  <w:color w:val="000000"/>
                  <w:kern w:val="2"/>
                  <w:sz w:val="24"/>
                  <w:szCs w:val="24"/>
                  <w:u w:val="none"/>
                  <w:lang w:val="en-US" w:eastAsia="zh-CN" w:bidi="ar-SA"/>
                </w:rPr>
              </m:ctrlPr>
            </m:fPr>
            <m:num>
              <m:r>
                <m:rPr/>
                <w:rPr>
                  <w:rFonts w:hint="default" w:ascii="Cambria Math" w:hAnsi="Cambria Math" w:cs="Cambria Math"/>
                  <w:color w:val="000000"/>
                  <w:kern w:val="2"/>
                  <w:sz w:val="24"/>
                  <w:szCs w:val="24"/>
                  <w:u w:val="none"/>
                  <w:lang w:val="en-US" w:eastAsia="zh-CN" w:bidi="ar-SA"/>
                </w:rPr>
                <m:t>exp(</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i</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num>
            <m:den>
              <m:nary>
                <m:naryPr>
                  <m:chr m:val="∑"/>
                  <m:limLoc m:val="subSup"/>
                  <m:supHide m:val="1"/>
                  <m:ctrlPr>
                    <w:rPr>
                      <w:rFonts w:hint="default" w:ascii="Cambria Math" w:hAnsi="Cambria Math" w:cs="Cambria Math"/>
                      <w:i/>
                      <w:color w:val="000000"/>
                      <w:kern w:val="2"/>
                      <w:sz w:val="24"/>
                      <w:szCs w:val="24"/>
                      <w:u w:val="none"/>
                      <w:lang w:val="en-US" w:eastAsia="zh-CN" w:bidi="ar-SA"/>
                    </w:rPr>
                  </m:ctrlPr>
                </m:naryPr>
                <m:sub>
                  <m:r>
                    <m:rPr/>
                    <w:rPr>
                      <w:rFonts w:hint="default" w:ascii="Cambria Math" w:hAnsi="Cambria Math" w:cs="Cambria Math"/>
                      <w:color w:val="000000"/>
                      <w:kern w:val="2"/>
                      <w:sz w:val="24"/>
                      <w:szCs w:val="24"/>
                      <w:u w:val="none"/>
                      <w:lang w:val="en-US" w:eastAsia="zh-CN" w:bidi="ar-SA"/>
                    </w:rPr>
                    <m:t>j</m:t>
                  </m:r>
                  <m:r>
                    <m:rPr/>
                    <w:rPr>
                      <w:rFonts w:ascii="Cambria Math" w:hAnsi="Cambria Math" w:cs="Cambria Math"/>
                      <w:color w:val="000000"/>
                      <w:kern w:val="2"/>
                      <w:sz w:val="24"/>
                      <w:szCs w:val="24"/>
                      <w:u w:val="none"/>
                      <w:lang w:val="en-US" w:bidi="ar-SA"/>
                    </w:rPr>
                    <m:t>ϵ</m:t>
                  </m:r>
                  <m:r>
                    <m:rPr/>
                    <w:rPr>
                      <w:rFonts w:hint="default" w:ascii="Cambria Math" w:hAnsi="Cambria Math" w:cs="Cambria Math"/>
                      <w:color w:val="000000"/>
                      <w:kern w:val="2"/>
                      <w:sz w:val="24"/>
                      <w:szCs w:val="24"/>
                      <w:u w:val="none"/>
                      <w:lang w:val="en-US" w:eastAsia="zh-CN" w:bidi="ar-SA"/>
                    </w:rPr>
                    <m:t>{3,4,5}</m:t>
                  </m:r>
                  <m:ctrlPr>
                    <w:rPr>
                      <w:rFonts w:hint="default" w:ascii="Cambria Math" w:hAnsi="Cambria Math" w:cs="Cambria Math"/>
                      <w:i/>
                      <w:color w:val="000000"/>
                      <w:kern w:val="2"/>
                      <w:sz w:val="24"/>
                      <w:szCs w:val="24"/>
                      <w:u w:val="none"/>
                      <w:lang w:val="en-US" w:eastAsia="zh-CN" w:bidi="ar-SA"/>
                    </w:rPr>
                  </m:ctrlPr>
                </m:sub>
                <m:sup>
                  <m:ctrlPr>
                    <w:rPr>
                      <w:rFonts w:hint="default" w:ascii="Cambria Math" w:hAnsi="Cambria Math" w:cs="Cambria Math"/>
                      <w:i/>
                      <w:color w:val="000000"/>
                      <w:kern w:val="2"/>
                      <w:sz w:val="24"/>
                      <w:szCs w:val="24"/>
                      <w:u w:val="none"/>
                      <w:lang w:val="en-US" w:eastAsia="zh-CN" w:bidi="ar-SA"/>
                    </w:rPr>
                  </m:ctrlPr>
                </m:sup>
                <m:e>
                  <m:r>
                    <m:rPr/>
                    <w:rPr>
                      <w:rFonts w:hint="default" w:ascii="Cambria Math" w:hAnsi="Cambria Math" w:cs="Cambria Math"/>
                      <w:color w:val="000000"/>
                      <w:kern w:val="2"/>
                      <w:sz w:val="24"/>
                      <w:szCs w:val="24"/>
                      <w:u w:val="none"/>
                      <w:lang w:val="en-US" w:eastAsia="zh-CN" w:bidi="ar-SA"/>
                    </w:rPr>
                    <m:t>exp(</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j</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nary>
              <m:ctrlPr>
                <w:rPr>
                  <w:rFonts w:hint="default" w:ascii="Cambria Math" w:hAnsi="Cambria Math" w:cs="Cambria Math"/>
                  <w:i/>
                  <w:color w:val="000000"/>
                  <w:kern w:val="2"/>
                  <w:sz w:val="24"/>
                  <w:szCs w:val="24"/>
                  <w:u w:val="none"/>
                  <w:lang w:val="en-US" w:eastAsia="zh-CN" w:bidi="ar-SA"/>
                </w:rPr>
              </m:ctrlPr>
            </m:den>
          </m:f>
          <m:r>
            <m:rPr/>
            <w:rPr>
              <w:rFonts w:hint="eastAsia" w:ascii="Cambria Math" w:hAnsi="Cambria Math" w:cs="Cambria Math"/>
              <w:color w:val="000000"/>
              <w:kern w:val="2"/>
              <w:sz w:val="24"/>
              <w:szCs w:val="24"/>
              <w:u w:val="none"/>
              <w:lang w:val="en-US" w:eastAsia="zh-CN" w:bidi="ar-SA"/>
            </w:rPr>
            <m:t>，</m:t>
          </m:r>
        </m:oMath>
      </m:oMathPara>
    </w:p>
    <w:p w14:paraId="2C03B170">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融合特征通过加权求和方式计算：</w:t>
      </w:r>
    </w:p>
    <w:p w14:paraId="77292B27">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eastAsia" w:hAnsi="Cambria Math" w:eastAsia="宋体"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fused</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oMath>
      </m:oMathPara>
    </w:p>
    <w:p w14:paraId="40BA3B04">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针对复杂天气场景的特点，权重初始化为[0.2,0.3,0.5]，偏向低分辨率语义特征，因为高层语义信息对天气变化的鲁棒性更强。这种设计允许模型根据具体任务和数据特点动态调整不同尺度特征的贡献度，相比简单的特征拼接或平均融合，能够更有效地整合多尺度信息。</w:t>
      </w:r>
    </w:p>
    <w:p w14:paraId="3F9652DA">
      <w:pPr>
        <w:keepNext w:val="0"/>
        <w:keepLines w:val="0"/>
        <w:pageBreakBefore w:val="0"/>
        <w:widowControl w:val="0"/>
        <w:kinsoku/>
        <w:wordWrap w:val="0"/>
        <w:overflowPunct/>
        <w:topLinePunct w:val="0"/>
        <w:autoSpaceDE/>
        <w:autoSpaceDN/>
        <w:bidi w:val="0"/>
        <w:adjustRightInd/>
        <w:snapToGrid/>
        <w:spacing w:line="300" w:lineRule="auto"/>
        <w:ind w:right="0" w:rightChars="0" w:firstLine="482" w:firstLineChars="20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b/>
          <w:bCs/>
          <w:i w:val="0"/>
          <w:color w:val="000000"/>
          <w:kern w:val="2"/>
          <w:sz w:val="24"/>
          <w:szCs w:val="24"/>
          <w:u w:val="none"/>
          <w:lang w:val="en-US" w:eastAsia="zh-CN" w:bidi="ar-SA"/>
        </w:rPr>
        <w:t>梯度反转层（GRL）</w:t>
      </w:r>
      <w:r>
        <w:rPr>
          <w:rFonts w:hint="eastAsia" w:hAnsi="Cambria Math" w:cs="Cambria Math"/>
          <w:i w:val="0"/>
          <w:color w:val="000000"/>
          <w:kern w:val="2"/>
          <w:sz w:val="24"/>
          <w:szCs w:val="24"/>
          <w:u w:val="none"/>
          <w:lang w:val="en-US" w:eastAsia="zh-CN" w:bidi="ar-SA"/>
        </w:rPr>
        <w:t>是实现域对抗训练的关键机制。该层在前向传播时保持输入不变：</w:t>
      </w:r>
    </w:p>
    <w:p w14:paraId="700E4B74">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GRL</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fused</m:t>
              </m:r>
              <m:ctrlPr>
                <w:rPr>
                  <w:rFonts w:hint="default"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oMath>
      </m:oMathPara>
    </w:p>
    <w:p w14:paraId="6F206372">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但在反向传播时对梯度进行取反操作，实现对抗训练：</w:t>
      </w:r>
    </w:p>
    <w:p w14:paraId="5E8C5F55">
      <w:pPr>
        <w:keepNext w:val="0"/>
        <w:keepLines w:val="0"/>
        <w:pageBreakBefore w:val="0"/>
        <w:widowControl w:val="0"/>
        <w:kinsoku/>
        <w:wordWrap w:val="0"/>
        <w:overflowPunct/>
        <w:topLinePunct w:val="0"/>
        <w:autoSpaceDE/>
        <w:autoSpaceDN/>
        <w:bidi w:val="0"/>
        <w:adjustRightInd/>
        <w:snapToGrid/>
        <w:spacing w:line="300" w:lineRule="auto"/>
        <w:ind w:right="0" w:rightChars="0"/>
        <w:jc w:val="left"/>
        <w:textAlignment w:val="auto"/>
        <w:rPr>
          <w:rFonts w:hint="default" w:hAnsi="Cambria Math" w:eastAsia="宋体" w:cs="Cambria Math"/>
          <w:i w:val="0"/>
          <w:color w:val="000000"/>
          <w:kern w:val="2"/>
          <w:sz w:val="24"/>
          <w:szCs w:val="24"/>
          <w:u w:val="none"/>
          <w:lang w:val="en-US" w:eastAsia="zh-CN" w:bidi="ar-SA"/>
        </w:rPr>
      </w:pPr>
      <m:oMathPara>
        <m:oMathParaPr>
          <m:jc m:val="center"/>
        </m:oMathParaPr>
        <m:oMath>
          <m:f>
            <m:fPr>
              <m:ctrlPr>
                <w:rPr>
                  <w:rFonts w:ascii="Cambria Math" w:hAnsi="Cambria Math" w:cs="Cambria Math"/>
                  <w:i/>
                  <w:color w:val="000000"/>
                  <w:kern w:val="2"/>
                  <w:sz w:val="24"/>
                  <w:szCs w:val="24"/>
                  <w:u w:val="none"/>
                  <w:lang w:val="en-US" w:bidi="ar-SA"/>
                </w:rPr>
              </m:ctrlPr>
            </m:fPr>
            <m:num>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L</m:t>
              </m:r>
              <m:ctrlPr>
                <w:rPr>
                  <w:rFonts w:ascii="Cambria Math" w:hAnsi="Cambria Math" w:cs="Cambria Math"/>
                  <w:i/>
                  <w:color w:val="000000"/>
                  <w:kern w:val="2"/>
                  <w:sz w:val="24"/>
                  <w:szCs w:val="24"/>
                  <w:u w:val="none"/>
                  <w:lang w:val="en-US" w:bidi="ar-SA"/>
                </w:rPr>
              </m:ctrlPr>
            </m:num>
            <m:den>
              <m:sSub>
                <m:sSubPr>
                  <m:ctrlPr>
                    <w:rPr>
                      <w:rFonts w:ascii="Cambria Math" w:hAnsi="Cambria Math" w:cs="Cambria Math"/>
                      <w:i/>
                      <w:color w:val="000000"/>
                      <w:kern w:val="2"/>
                      <w:sz w:val="24"/>
                      <w:szCs w:val="24"/>
                      <w:u w:val="none"/>
                      <w:lang w:val="en-US"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fused</m:t>
                  </m:r>
                  <m:ctrlPr>
                    <w:rPr>
                      <w:rFonts w:ascii="Cambria Math" w:hAnsi="Cambria Math" w:cs="Cambria Math"/>
                      <w:i/>
                      <w:color w:val="000000"/>
                      <w:kern w:val="2"/>
                      <w:sz w:val="24"/>
                      <w:szCs w:val="24"/>
                      <w:u w:val="none"/>
                      <w:lang w:val="en-US" w:bidi="ar-SA"/>
                    </w:rPr>
                  </m:ctrlPr>
                </m:sub>
              </m:sSub>
              <m:ctrlPr>
                <w:rPr>
                  <w:rFonts w:ascii="Cambria Math" w:hAnsi="Cambria Math" w:cs="Cambria Math"/>
                  <w:i/>
                  <w:color w:val="000000"/>
                  <w:kern w:val="2"/>
                  <w:sz w:val="24"/>
                  <w:szCs w:val="24"/>
                  <w:u w:val="none"/>
                  <w:lang w:val="en-US" w:bidi="ar-SA"/>
                </w:rPr>
              </m:ctrlPr>
            </m:den>
          </m:f>
          <m:r>
            <m:rPr/>
            <w:rPr>
              <w:rFonts w:hint="default"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−λ∙</m:t>
          </m:r>
          <m:f>
            <m:fPr>
              <m:ctrlPr>
                <w:rPr>
                  <w:rFonts w:hint="default" w:ascii="Cambria Math" w:hAnsi="Cambria Math" w:cs="Cambria Math"/>
                  <w:i/>
                  <w:color w:val="000000"/>
                  <w:kern w:val="2"/>
                  <w:sz w:val="24"/>
                  <w:szCs w:val="24"/>
                  <w:u w:val="none"/>
                  <w:lang w:val="en-US" w:eastAsia="zh-CN" w:bidi="ar-SA"/>
                </w:rPr>
              </m:ctrlPr>
            </m:fPr>
            <m:num>
              <m:sSub>
                <m:sSubPr>
                  <m:ctrlPr>
                    <w:rPr>
                      <w:rFonts w:hint="default" w:ascii="Cambria Math" w:hAnsi="Cambria Math" w:cs="Cambria Math"/>
                      <w:i/>
                      <w:color w:val="000000"/>
                      <w:kern w:val="2"/>
                      <w:sz w:val="24"/>
                      <w:szCs w:val="24"/>
                      <w:u w:val="none"/>
                      <w:lang w:val="en-US" w:eastAsia="zh-CN"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L</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D</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num>
            <m:den>
              <m:sSub>
                <m:sSubPr>
                  <m:ctrlPr>
                    <w:rPr>
                      <w:rFonts w:hint="default" w:ascii="Cambria Math" w:hAnsi="Cambria Math" w:cs="Cambria Math"/>
                      <w:i/>
                      <w:color w:val="000000"/>
                      <w:kern w:val="2"/>
                      <w:sz w:val="24"/>
                      <w:szCs w:val="24"/>
                      <w:u w:val="none"/>
                      <w:lang w:val="en-US" w:eastAsia="zh-CN"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GRL</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den>
          </m:f>
          <m:r>
            <m:rPr/>
            <w:rPr>
              <w:rFonts w:hint="eastAsia" w:ascii="Cambria Math" w:hAnsi="Cambria Math" w:cs="Cambria Math"/>
              <w:color w:val="000000"/>
              <w:kern w:val="2"/>
              <w:sz w:val="24"/>
              <w:szCs w:val="24"/>
              <w:u w:val="none"/>
              <w:lang w:val="en-US" w:eastAsia="zh-CN" w:bidi="ar-SA"/>
            </w:rPr>
            <m:t>，</m:t>
          </m:r>
        </m:oMath>
      </m:oMathPara>
    </w:p>
    <w:p w14:paraId="1FFA33E5">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default" w:hAnsi="Cambria Math" w:cs="宋体"/>
          <w:i w:val="0"/>
          <w:color w:val="000000"/>
          <w:kern w:val="2"/>
          <w:sz w:val="24"/>
          <w:szCs w:val="24"/>
          <w:u w:val="none"/>
          <w:lang w:val="en-US" w:eastAsia="zh-CN" w:bidi="ar-SA"/>
        </w:rPr>
        <w:t>其中λ为梯度反转系数，</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L</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sub>
        </m:sSub>
      </m:oMath>
      <w:r>
        <w:rPr>
          <w:rFonts w:hint="default" w:hAnsi="Cambria Math" w:cs="宋体"/>
          <w:i w:val="0"/>
          <w:color w:val="000000"/>
          <w:kern w:val="2"/>
          <w:sz w:val="24"/>
          <w:szCs w:val="24"/>
          <w:u w:val="none"/>
          <w:lang w:val="en-US" w:eastAsia="zh-CN" w:bidi="ar-SA"/>
        </w:rPr>
        <w:t>为域判别损失</w:t>
      </w:r>
      <w:r>
        <w:rPr>
          <w:rFonts w:hint="eastAsia" w:hAnsi="Cambria Math" w:cs="宋体"/>
          <w:i w:val="0"/>
          <w:color w:val="000000"/>
          <w:kern w:val="2"/>
          <w:sz w:val="24"/>
          <w:szCs w:val="24"/>
          <w:u w:val="none"/>
          <w:lang w:val="en-US" w:eastAsia="zh-CN" w:bidi="ar-SA"/>
        </w:rPr>
        <w:t>。这种机制形成了特征提取器与域判别器之间的对抗博弈：判别器试图正确区分源域和目标域特征，而特征提取器则试图生成混淆判别器的域不变特征。通过这种min-max对抗优化，特征提取器被迫学习到对天气变化不敏感的鲁棒特征表示。</w:t>
      </w:r>
    </w:p>
    <w:p w14:paraId="1F5DBCB4">
      <w:pPr>
        <w:keepNext w:val="0"/>
        <w:keepLines w:val="0"/>
        <w:pageBreakBefore w:val="0"/>
        <w:widowControl w:val="0"/>
        <w:kinsoku/>
        <w:wordWrap w:val="0"/>
        <w:overflowPunct/>
        <w:topLinePunct w:val="0"/>
        <w:autoSpaceDE/>
        <w:autoSpaceDN/>
        <w:bidi w:val="0"/>
        <w:adjustRightInd/>
        <w:snapToGrid/>
        <w:spacing w:line="300" w:lineRule="auto"/>
        <w:ind w:right="0" w:rightChars="0" w:firstLine="482" w:firstLineChars="200"/>
        <w:jc w:val="left"/>
        <w:textAlignment w:val="auto"/>
        <w:rPr>
          <w:rFonts w:hint="eastAsia" w:hAnsi="Cambria Math" w:cs="Cambria Math"/>
          <w:i w:val="0"/>
          <w:color w:val="000000"/>
          <w:kern w:val="2"/>
          <w:sz w:val="24"/>
          <w:szCs w:val="24"/>
          <w:u w:val="none"/>
          <w:lang w:val="en-US" w:eastAsia="zh-CN" w:bidi="ar-SA"/>
        </w:rPr>
      </w:pPr>
      <w:r>
        <w:rPr>
          <w:rFonts w:hint="default" w:hAnsi="Cambria Math" w:cs="Cambria Math"/>
          <w:b/>
          <w:bCs/>
          <w:i w:val="0"/>
          <w:color w:val="000000"/>
          <w:kern w:val="2"/>
          <w:sz w:val="24"/>
          <w:szCs w:val="24"/>
          <w:u w:val="none"/>
          <w:lang w:val="en-US" w:eastAsia="zh-CN" w:bidi="ar-SA"/>
        </w:rPr>
        <w:t>轻量级域判别器</w:t>
      </w:r>
      <w:r>
        <w:rPr>
          <w:rFonts w:hint="default" w:hAnsi="Cambria Math" w:cs="Cambria Math"/>
          <w:i w:val="0"/>
          <w:color w:val="000000"/>
          <w:kern w:val="2"/>
          <w:sz w:val="24"/>
          <w:szCs w:val="24"/>
          <w:u w:val="none"/>
          <w:lang w:val="en-US" w:eastAsia="zh-CN" w:bidi="ar-SA"/>
        </w:rPr>
        <w:t>采用高效的网络架构进行域分类。判别器首先对GRL输出的特征进行全局平均池化，得到特征向量</w:t>
      </w:r>
      <m:oMath>
        <m:r>
          <m:rPr/>
          <w:rPr>
            <w:rFonts w:hint="default" w:ascii="Cambria Math" w:hAnsi="Cambria Math" w:cs="Cambria Math"/>
            <w:color w:val="000000"/>
            <w:kern w:val="2"/>
            <w:sz w:val="24"/>
            <w:szCs w:val="24"/>
            <w:u w:val="none"/>
            <w:lang w:val="en-US" w:eastAsia="zh-CN" w:bidi="ar-SA"/>
          </w:rPr>
          <m:t>v∈</m:t>
        </m:r>
        <m:sSup>
          <m:sSupPr>
            <m:ctrlPr>
              <w:rPr>
                <w:rFonts w:hint="default" w:ascii="Cambria Math" w:hAnsi="Cambria Math" w:cs="Cambria Math"/>
                <w:i/>
                <w:color w:val="000000"/>
                <w:kern w:val="2"/>
                <w:sz w:val="24"/>
                <w:szCs w:val="24"/>
                <w:u w:val="none"/>
                <w:lang w:val="en-US" w:eastAsia="zh-CN" w:bidi="ar-SA"/>
              </w:rPr>
            </m:ctrlPr>
          </m:sSupPr>
          <m:e>
            <m:r>
              <m:rPr/>
              <w:rPr>
                <w:rFonts w:hint="default" w:ascii="Cambria Math" w:hAnsi="Cambria Math" w:cs="Cambria Math"/>
                <w:color w:val="000000"/>
                <w:kern w:val="2"/>
                <w:sz w:val="24"/>
                <w:szCs w:val="24"/>
                <w:u w:val="none"/>
                <w:lang w:val="en-US" w:eastAsia="zh-CN" w:bidi="ar-SA"/>
              </w:rPr>
              <m:t>R</m:t>
            </m:r>
            <m:ctrlPr>
              <w:rPr>
                <w:rFonts w:hint="default" w:ascii="Cambria Math" w:hAnsi="Cambria Math" w:cs="Cambria Math"/>
                <w:i/>
                <w:color w:val="000000"/>
                <w:kern w:val="2"/>
                <w:sz w:val="24"/>
                <w:szCs w:val="24"/>
                <w:u w:val="none"/>
                <w:lang w:val="en-US" w:eastAsia="zh-CN" w:bidi="ar-SA"/>
              </w:rPr>
            </m:ctrlPr>
          </m:e>
          <m:sup>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C</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align</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sup>
        </m:sSup>
      </m:oMath>
      <w:r>
        <w:rPr>
          <w:rFonts w:hint="eastAsia" w:hAnsi="Cambria Math" w:cs="Cambria Math"/>
          <w:i w:val="0"/>
          <w:color w:val="000000"/>
          <w:kern w:val="2"/>
          <w:sz w:val="24"/>
          <w:szCs w:val="24"/>
          <w:u w:val="none"/>
          <w:lang w:val="en-US" w:eastAsia="zh-CN" w:bidi="ar-SA"/>
        </w:rPr>
        <w:t>；然后通过两层谱归一化线性层进行特征变换和域分类，输出二分类logits：</w:t>
      </w:r>
    </w:p>
    <w:p w14:paraId="12B79B54">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r>
            <m:rPr/>
            <w:rPr>
              <w:rFonts w:hint="default" w:ascii="Cambria Math" w:hAnsi="Cambria Math" w:cs="Cambria Math"/>
              <w:color w:val="000000"/>
              <w:kern w:val="2"/>
              <w:sz w:val="24"/>
              <w:szCs w:val="24"/>
              <w:u w:val="none"/>
              <w:lang w:val="en-US" w:eastAsia="zh-CN" w:bidi="ar-SA"/>
            </w:rPr>
            <m:t>h=Dropout(ReLU(</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1</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v+</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b</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1</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r>
            <m:rPr/>
            <w:rPr>
              <w:rFonts w:hint="eastAsia" w:ascii="Cambria Math" w:hAnsi="Cambria Math" w:cs="Cambria Math"/>
              <w:color w:val="000000"/>
              <w:kern w:val="2"/>
              <w:sz w:val="24"/>
              <w:szCs w:val="24"/>
              <w:u w:val="none"/>
              <w:lang w:val="en-US" w:eastAsia="zh-CN" w:bidi="ar-SA"/>
            </w:rPr>
            <m:t>，</m:t>
          </m:r>
        </m:oMath>
      </m:oMathPara>
    </w:p>
    <w:p w14:paraId="6CDC5AAE">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r>
            <m:rPr/>
            <w:rPr>
              <w:rFonts w:hint="default" w:ascii="Cambria Math" w:hAnsi="Cambria Math" w:cs="Cambria Math"/>
              <w:color w:val="000000"/>
              <w:kern w:val="2"/>
              <w:sz w:val="24"/>
              <w:szCs w:val="24"/>
              <w:u w:val="none"/>
              <w:lang w:val="en-US" w:eastAsia="zh-CN" w:bidi="ar-SA"/>
            </w:rPr>
            <m:t>z=</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2</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h+</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b</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2</m:t>
              </m:r>
              <m:ctrlPr>
                <w:rPr>
                  <w:rFonts w:hint="default"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r>
            <m:rPr/>
            <w:rPr>
              <w:rFonts w:hint="default" w:ascii="Cambria Math" w:hAnsi="Cambria Math" w:cs="Cambria Math"/>
              <w:color w:val="000000"/>
              <w:kern w:val="2"/>
              <w:sz w:val="24"/>
              <w:szCs w:val="24"/>
              <w:u w:val="none"/>
              <w:lang w:val="en-US" w:eastAsia="zh-CN" w:bidi="ar-SA"/>
            </w:rPr>
            <m:t>z∈</m:t>
          </m:r>
          <m:sSup>
            <m:sSupPr>
              <m:ctrlPr>
                <w:rPr>
                  <w:rFonts w:hint="default" w:ascii="Cambria Math" w:hAnsi="Cambria Math" w:cs="Cambria Math"/>
                  <w:i/>
                  <w:color w:val="000000"/>
                  <w:kern w:val="2"/>
                  <w:sz w:val="24"/>
                  <w:szCs w:val="24"/>
                  <w:u w:val="none"/>
                  <w:lang w:val="en-US" w:eastAsia="zh-CN" w:bidi="ar-SA"/>
                </w:rPr>
              </m:ctrlPr>
            </m:sSupPr>
            <m:e>
              <m:r>
                <m:rPr/>
                <w:rPr>
                  <w:rFonts w:hint="default" w:ascii="Cambria Math" w:hAnsi="Cambria Math" w:cs="Cambria Math"/>
                  <w:color w:val="000000"/>
                  <w:kern w:val="2"/>
                  <w:sz w:val="24"/>
                  <w:szCs w:val="24"/>
                  <w:u w:val="none"/>
                  <w:lang w:val="en-US" w:eastAsia="zh-CN" w:bidi="ar-SA"/>
                </w:rPr>
                <m:t>R</m:t>
              </m:r>
              <m:ctrlPr>
                <w:rPr>
                  <w:rFonts w:hint="default" w:ascii="Cambria Math" w:hAnsi="Cambria Math" w:cs="Cambria Math"/>
                  <w:i/>
                  <w:color w:val="000000"/>
                  <w:kern w:val="2"/>
                  <w:sz w:val="24"/>
                  <w:szCs w:val="24"/>
                  <w:u w:val="none"/>
                  <w:lang w:val="en-US" w:eastAsia="zh-CN" w:bidi="ar-SA"/>
                </w:rPr>
              </m:ctrlPr>
            </m:e>
            <m:sup>
              <m:r>
                <m:rPr/>
                <w:rPr>
                  <w:rFonts w:hint="default" w:ascii="Cambria Math" w:hAnsi="Cambria Math" w:cs="Cambria Math"/>
                  <w:color w:val="000000"/>
                  <w:kern w:val="2"/>
                  <w:sz w:val="24"/>
                  <w:szCs w:val="24"/>
                  <w:u w:val="none"/>
                  <w:lang w:val="en-US" w:eastAsia="zh-CN" w:bidi="ar-SA"/>
                </w:rPr>
                <m:t>2</m:t>
              </m:r>
              <m:ctrlPr>
                <w:rPr>
                  <w:rFonts w:hint="default" w:ascii="Cambria Math" w:hAnsi="Cambria Math" w:cs="Cambria Math"/>
                  <w:i/>
                  <w:color w:val="000000"/>
                  <w:kern w:val="2"/>
                  <w:sz w:val="24"/>
                  <w:szCs w:val="24"/>
                  <w:u w:val="none"/>
                  <w:lang w:val="en-US" w:eastAsia="zh-CN" w:bidi="ar-SA"/>
                </w:rPr>
              </m:ctrlPr>
            </m:sup>
          </m:sSup>
          <m:r>
            <m:rPr/>
            <w:rPr>
              <w:rFonts w:hint="eastAsia" w:ascii="Cambria Math" w:hAnsi="Cambria Math" w:cs="Cambria Math"/>
              <w:color w:val="000000"/>
              <w:kern w:val="2"/>
              <w:sz w:val="24"/>
              <w:szCs w:val="24"/>
              <w:u w:val="none"/>
              <w:lang w:val="en-US" w:eastAsia="zh-CN" w:bidi="ar-SA"/>
            </w:rPr>
            <m:t>，</m:t>
          </m:r>
        </m:oMath>
      </m:oMathPara>
    </w:p>
    <w:p w14:paraId="165C466C">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其中</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W</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1</m:t>
            </m:r>
            <m:ctrlPr>
              <w:rPr>
                <w:rFonts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2</m:t>
            </m:r>
            <m:ctrlPr>
              <w:rPr>
                <w:rFonts w:hint="eastAsia" w:ascii="Cambria Math" w:hAnsi="Cambria Math" w:cs="Cambria Math"/>
                <w:i/>
                <w:color w:val="000000"/>
                <w:kern w:val="2"/>
                <w:sz w:val="24"/>
                <w:szCs w:val="24"/>
                <w:u w:val="none"/>
                <w:lang w:val="en-US" w:eastAsia="zh-CN" w:bidi="ar-SA"/>
              </w:rPr>
            </m:ctrlPr>
          </m:sub>
        </m:sSub>
      </m:oMath>
      <w:r>
        <w:rPr>
          <w:rFonts w:hint="default" w:hAnsi="Cambria Math" w:cs="Cambria Math"/>
          <w:i w:val="0"/>
          <w:color w:val="000000"/>
          <w:kern w:val="2"/>
          <w:sz w:val="24"/>
          <w:szCs w:val="24"/>
          <w:u w:val="none"/>
          <w:lang w:val="en-US" w:eastAsia="zh-CN" w:bidi="ar-SA"/>
        </w:rPr>
        <w:t>通过谱归一化约束，有效防止训练过程中的梯度爆炸问题。</w:t>
      </w:r>
    </w:p>
    <w:p w14:paraId="2B509E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Focal Loss损失函数</w:t>
      </w:r>
      <w:r>
        <w:rPr>
          <w:rFonts w:ascii="宋体" w:hAnsi="宋体" w:eastAsia="宋体" w:cs="宋体"/>
          <w:kern w:val="0"/>
          <w:sz w:val="24"/>
          <w:szCs w:val="24"/>
          <w:lang w:val="en-US" w:eastAsia="zh-CN" w:bidi="ar"/>
        </w:rPr>
        <w:t>被引入以解决域适应中的样本不平衡问题。传统的交叉熵损失对所有样本一视同仁，而Focal Loss通过引入调制因子降低易分类样本的权重，使模型更关注难以判别的样本。其定义为：</w:t>
      </w:r>
    </w:p>
    <w:p w14:paraId="3C2AA299">
      <w:pPr>
        <w:keepNext w:val="0"/>
        <w:keepLines w:val="0"/>
        <w:widowControl/>
        <w:suppressLineNumbers w:val="0"/>
        <w:ind w:left="0" w:leftChars="0" w:firstLine="0" w:firstLineChars="0"/>
        <w:jc w:val="left"/>
        <w:rPr>
          <w:rFonts w:hint="default" w:hAnsi="Cambria Math" w:eastAsia="宋体" w:cs="宋体"/>
          <w:i w:val="0"/>
          <w:kern w:val="0"/>
          <w:sz w:val="24"/>
          <w:szCs w:val="24"/>
          <w:lang w:val="en-US" w:eastAsia="zh-CN" w:bidi="ar"/>
        </w:rPr>
      </w:pPr>
      <m:oMathPara>
        <m:oMathParaPr>
          <m:jc m:val="center"/>
        </m:oMathParaPr>
        <m:oMath>
          <m:r>
            <m:rPr/>
            <w:rPr>
              <w:rFonts w:hint="default" w:ascii="Cambria Math" w:hAnsi="Cambria Math" w:eastAsia="宋体" w:cs="宋体"/>
              <w:kern w:val="0"/>
              <w:sz w:val="24"/>
              <w:szCs w:val="24"/>
              <w:lang w:val="en-US" w:eastAsia="zh-CN" w:bidi="ar"/>
            </w:rPr>
            <m:t>FL(</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r>
            <m:rPr/>
            <w:rPr>
              <w:rFonts w:hint="default" w:ascii="Cambria Math" w:hAnsi="Cambria Math" w:eastAsia="宋体" w:cs="宋体"/>
              <w:kern w:val="0"/>
              <w:sz w:val="24"/>
              <w:szCs w:val="24"/>
              <w:lang w:val="en-US" w:eastAsia="zh-CN" w:bidi="ar"/>
            </w:rPr>
            <m:t>)=−</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a</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sSup>
            <m:sSupPr>
              <m:ctrlPr>
                <w:rPr>
                  <w:rFonts w:hint="default" w:ascii="Cambria Math" w:hAnsi="Cambria Math" w:eastAsia="宋体" w:cs="宋体"/>
                  <w:i/>
                  <w:kern w:val="0"/>
                  <w:sz w:val="24"/>
                  <w:szCs w:val="24"/>
                  <w:lang w:val="en-US" w:eastAsia="zh-CN" w:bidi="ar"/>
                </w:rPr>
              </m:ctrlPr>
            </m:sSupPr>
            <m:e>
              <m:r>
                <m:rPr/>
                <w:rPr>
                  <w:rFonts w:hint="default" w:ascii="Cambria Math" w:hAnsi="Cambria Math" w:eastAsia="宋体" w:cs="宋体"/>
                  <w:kern w:val="0"/>
                  <w:sz w:val="24"/>
                  <w:szCs w:val="24"/>
                  <w:lang w:val="en-US" w:eastAsia="zh-CN" w:bidi="ar"/>
                </w:rPr>
                <m:t>(1−</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r>
                <m:rPr/>
                <w:rPr>
                  <w:rFonts w:hint="default" w:ascii="Cambria Math" w:hAnsi="Cambria Math" w:eastAsia="宋体" w:cs="宋体"/>
                  <w:kern w:val="0"/>
                  <w:sz w:val="24"/>
                  <w:szCs w:val="24"/>
                  <w:lang w:val="en-US" w:eastAsia="zh-CN" w:bidi="ar"/>
                </w:rPr>
                <m:t>)</m:t>
              </m:r>
              <m:ctrlPr>
                <w:rPr>
                  <w:rFonts w:hint="default" w:ascii="Cambria Math" w:hAnsi="Cambria Math" w:eastAsia="宋体" w:cs="宋体"/>
                  <w:i/>
                  <w:kern w:val="0"/>
                  <w:sz w:val="24"/>
                  <w:szCs w:val="24"/>
                  <w:lang w:val="en-US" w:eastAsia="zh-CN" w:bidi="ar"/>
                </w:rPr>
              </m:ctrlPr>
            </m:e>
            <m:sup>
              <m:r>
                <m:rPr/>
                <w:rPr>
                  <w:rFonts w:ascii="Cambria Math" w:hAnsi="Cambria Math" w:cs="宋体"/>
                  <w:kern w:val="0"/>
                  <w:sz w:val="24"/>
                  <w:szCs w:val="24"/>
                  <w:lang w:val="en-US" w:bidi="ar"/>
                </w:rPr>
                <m:t>γ</m:t>
              </m:r>
              <m:ctrlPr>
                <w:rPr>
                  <w:rFonts w:hint="default" w:ascii="Cambria Math" w:hAnsi="Cambria Math" w:eastAsia="宋体" w:cs="宋体"/>
                  <w:i/>
                  <w:kern w:val="0"/>
                  <w:sz w:val="24"/>
                  <w:szCs w:val="24"/>
                  <w:lang w:val="en-US" w:eastAsia="zh-CN" w:bidi="ar"/>
                </w:rPr>
              </m:ctrlPr>
            </m:sup>
          </m:sSup>
          <m:r>
            <m:rPr/>
            <w:rPr>
              <w:rFonts w:hint="default" w:ascii="Cambria Math" w:hAnsi="Cambria Math" w:eastAsia="宋体" w:cs="宋体"/>
              <w:kern w:val="0"/>
              <w:sz w:val="24"/>
              <w:szCs w:val="24"/>
              <w:lang w:val="en-US" w:eastAsia="zh-CN" w:bidi="ar"/>
            </w:rPr>
            <m:t>log(</m:t>
          </m:r>
          <m:sSub>
            <m:sSubPr>
              <m:ctrlPr>
                <w:rPr>
                  <w:rFonts w:hint="default" w:ascii="Cambria Math" w:hAnsi="Cambria Math" w:eastAsia="宋体" w:cs="宋体"/>
                  <w:i/>
                  <w:kern w:val="0"/>
                  <w:sz w:val="24"/>
                  <w:szCs w:val="24"/>
                  <w:lang w:val="en-US" w:eastAsia="zh-CN" w:bidi="ar"/>
                </w:rPr>
              </m:ctrlPr>
            </m:sSubPr>
            <m:e>
              <m:r>
                <m:rPr/>
                <w:rPr>
                  <w:rFonts w:hint="default" w:ascii="Cambria Math" w:hAnsi="Cambria Math" w:eastAsia="宋体" w:cs="宋体"/>
                  <w:kern w:val="0"/>
                  <w:sz w:val="24"/>
                  <w:szCs w:val="24"/>
                  <w:lang w:val="en-US" w:eastAsia="zh-CN" w:bidi="ar"/>
                </w:rPr>
                <m:t>p</m:t>
              </m:r>
              <m:ctrlPr>
                <w:rPr>
                  <w:rFonts w:hint="default" w:ascii="Cambria Math" w:hAnsi="Cambria Math" w:eastAsia="宋体" w:cs="宋体"/>
                  <w:i/>
                  <w:kern w:val="0"/>
                  <w:sz w:val="24"/>
                  <w:szCs w:val="24"/>
                  <w:lang w:val="en-US" w:eastAsia="zh-CN" w:bidi="ar"/>
                </w:rPr>
              </m:ctrlPr>
            </m:e>
            <m:sub>
              <m:r>
                <m:rPr/>
                <w:rPr>
                  <w:rFonts w:hint="default" w:ascii="Cambria Math" w:hAnsi="Cambria Math" w:eastAsia="宋体" w:cs="宋体"/>
                  <w:kern w:val="0"/>
                  <w:sz w:val="24"/>
                  <w:szCs w:val="24"/>
                  <w:lang w:val="en-US" w:eastAsia="zh-CN" w:bidi="ar"/>
                </w:rPr>
                <m:t>t</m:t>
              </m:r>
              <m:ctrlPr>
                <w:rPr>
                  <w:rFonts w:hint="default" w:ascii="Cambria Math" w:hAnsi="Cambria Math" w:eastAsia="宋体" w:cs="宋体"/>
                  <w:i/>
                  <w:kern w:val="0"/>
                  <w:sz w:val="24"/>
                  <w:szCs w:val="24"/>
                  <w:lang w:val="en-US" w:eastAsia="zh-CN" w:bidi="ar"/>
                </w:rPr>
              </m:ctrlPr>
            </m:sub>
          </m:sSub>
          <m:r>
            <m:rPr/>
            <w:rPr>
              <w:rFonts w:hint="default" w:ascii="Cambria Math" w:hAnsi="Cambria Math" w:eastAsia="宋体" w:cs="宋体"/>
              <w:kern w:val="0"/>
              <w:sz w:val="24"/>
              <w:szCs w:val="24"/>
              <w:lang w:val="en-US" w:eastAsia="zh-CN" w:bidi="ar"/>
            </w:rPr>
            <m:t>)</m:t>
          </m:r>
          <m:r>
            <m:rPr/>
            <w:rPr>
              <w:rFonts w:hint="eastAsia" w:ascii="Cambria Math" w:hAnsi="Cambria Math" w:cs="宋体"/>
              <w:kern w:val="0"/>
              <w:sz w:val="24"/>
              <w:szCs w:val="24"/>
              <w:lang w:val="en-US" w:eastAsia="zh-CN" w:bidi="ar"/>
            </w:rPr>
            <m:t>，</m:t>
          </m:r>
        </m:oMath>
      </m:oMathPara>
    </w:p>
    <w:p w14:paraId="475F47BE">
      <w:pPr>
        <w:keepNext w:val="0"/>
        <w:keepLines w:val="0"/>
        <w:widowControl/>
        <w:suppressLineNumbers w:val="0"/>
        <w:ind w:left="0" w:leftChars="0" w:firstLine="0" w:firstLineChars="0"/>
        <w:jc w:val="left"/>
        <w:rPr>
          <w:rFonts w:hint="default" w:hAnsi="Cambria Math" w:eastAsia="宋体" w:cs="宋体"/>
          <w:i w:val="0"/>
          <w:kern w:val="0"/>
          <w:sz w:val="24"/>
          <w:szCs w:val="24"/>
          <w:lang w:val="en-US" w:eastAsia="zh-CN" w:bidi="ar"/>
        </w:rPr>
      </w:pPr>
      <w:r>
        <w:rPr>
          <w:rFonts w:hint="default" w:hAnsi="Cambria Math" w:eastAsia="宋体" w:cs="宋体"/>
          <w:i w:val="0"/>
          <w:kern w:val="0"/>
          <w:sz w:val="24"/>
          <w:szCs w:val="24"/>
          <w:lang w:val="en-US" w:eastAsia="zh-CN" w:bidi="ar"/>
        </w:rPr>
        <w:t>其中</w:t>
      </w:r>
      <m:oMath>
        <m:sSub>
          <m:sSubPr>
            <m:ctrlPr>
              <w:rPr>
                <w:rFonts w:ascii="Cambria Math" w:hAnsi="Cambria Math" w:cs="宋体"/>
                <w:i/>
                <w:kern w:val="0"/>
                <w:sz w:val="24"/>
                <w:szCs w:val="24"/>
                <w:lang w:val="en-US" w:bidi="ar"/>
              </w:rPr>
            </m:ctrlPr>
          </m:sSubPr>
          <m:e>
            <m:r>
              <m:rPr/>
              <w:rPr>
                <w:rFonts w:hint="default" w:ascii="Cambria Math" w:hAnsi="Cambria Math" w:cs="宋体"/>
                <w:kern w:val="0"/>
                <w:sz w:val="24"/>
                <w:szCs w:val="24"/>
                <w:lang w:val="en-US" w:eastAsia="zh-CN" w:bidi="ar"/>
              </w:rPr>
              <m:t>p</m:t>
            </m:r>
            <m:ctrlPr>
              <w:rPr>
                <w:rFonts w:ascii="Cambria Math" w:hAnsi="Cambria Math" w:cs="宋体"/>
                <w:i/>
                <w:kern w:val="0"/>
                <w:sz w:val="24"/>
                <w:szCs w:val="24"/>
                <w:lang w:val="en-US" w:bidi="ar"/>
              </w:rPr>
            </m:ctrlPr>
          </m:e>
          <m:sub>
            <m:r>
              <m:rPr/>
              <w:rPr>
                <w:rFonts w:hint="default" w:ascii="Cambria Math" w:hAnsi="Cambria Math" w:cs="宋体"/>
                <w:kern w:val="0"/>
                <w:sz w:val="24"/>
                <w:szCs w:val="24"/>
                <w:lang w:val="en-US" w:eastAsia="zh-CN" w:bidi="ar"/>
              </w:rPr>
              <m:t>t</m:t>
            </m:r>
            <m:ctrlPr>
              <w:rPr>
                <w:rFonts w:ascii="Cambria Math" w:hAnsi="Cambria Math" w:cs="宋体"/>
                <w:i/>
                <w:kern w:val="0"/>
                <w:sz w:val="24"/>
                <w:szCs w:val="24"/>
                <w:lang w:val="en-US" w:bidi="ar"/>
              </w:rPr>
            </m:ctrlPr>
          </m:sub>
        </m:sSub>
      </m:oMath>
      <w:r>
        <w:rPr>
          <w:rFonts w:hint="default" w:hAnsi="Cambria Math" w:eastAsia="宋体" w:cs="宋体"/>
          <w:i w:val="0"/>
          <w:kern w:val="0"/>
          <w:sz w:val="24"/>
          <w:szCs w:val="24"/>
          <w:lang w:val="en-US" w:eastAsia="zh-CN" w:bidi="ar"/>
        </w:rPr>
        <w:t>为模型预测正确类别的概率：</w:t>
      </w:r>
    </w:p>
    <w:p w14:paraId="267A66A9">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p</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t</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d>
            <m:dPr>
              <m:begChr m:val="{"/>
              <m:endChr m:val=""/>
              <m:ctrlPr>
                <w:rPr>
                  <w:rFonts w:hint="default" w:ascii="Cambria Math" w:hAnsi="Cambria Math" w:cs="Cambria Math"/>
                  <w:i/>
                  <w:color w:val="000000"/>
                  <w:kern w:val="2"/>
                  <w:sz w:val="24"/>
                  <w:szCs w:val="24"/>
                  <w:u w:val="none"/>
                  <w:lang w:val="en-US" w:eastAsia="zh-CN" w:bidi="ar-SA"/>
                </w:rPr>
              </m:ctrlPr>
            </m:dPr>
            <m:e>
              <m:eqArr>
                <m:eqArrPr>
                  <m:ctrlPr>
                    <w:rPr>
                      <w:rFonts w:hint="default" w:ascii="Cambria Math" w:hAnsi="Cambria Math" w:cs="Cambria Math"/>
                      <w:i/>
                      <w:color w:val="000000"/>
                      <w:kern w:val="2"/>
                      <w:sz w:val="24"/>
                      <w:szCs w:val="24"/>
                      <w:u w:val="none"/>
                      <w:lang w:val="en-US" w:eastAsia="zh-CN" w:bidi="ar-SA"/>
                    </w:rPr>
                  </m:ctrlPr>
                </m:eqArrPr>
                <m:e>
                  <m:r>
                    <m:rPr/>
                    <w:rPr>
                      <w:rFonts w:hint="default" w:ascii="Cambria Math" w:hAnsi="Cambria Math" w:cs="Cambria Math"/>
                      <w:color w:val="000000"/>
                      <w:kern w:val="2"/>
                      <w:sz w:val="24"/>
                      <w:szCs w:val="24"/>
                      <w:u w:val="none"/>
                      <w:lang w:val="en-US" w:eastAsia="zh-CN" w:bidi="ar-SA"/>
                    </w:rPr>
                    <m:t>p</m:t>
                  </m:r>
                  <m:r>
                    <m:rPr/>
                    <w:rPr>
                      <w:rFonts w:hint="eastAsia"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e>
                  <m:r>
                    <m:rPr/>
                    <w:rPr>
                      <w:rFonts w:hint="default" w:ascii="Cambria Math" w:hAnsi="Cambria Math" w:cs="Cambria Math"/>
                      <w:color w:val="000000"/>
                      <w:kern w:val="2"/>
                      <w:sz w:val="24"/>
                      <w:szCs w:val="24"/>
                      <w:u w:val="none"/>
                      <w:lang w:val="en-US" w:eastAsia="zh-CN" w:bidi="ar-SA"/>
                    </w:rPr>
                    <m:t>1−p</m:t>
                  </m:r>
                  <m:r>
                    <m:rPr/>
                    <w:rPr>
                      <w:rFonts w:hint="eastAsia"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eqArr>
              <m:r>
                <m:rPr/>
                <w:rPr>
                  <w:rFonts w:hint="default" w:ascii="Cambria Math" w:hAnsi="Cambria Math" w:cs="Cambria Math"/>
                  <w:color w:val="000000"/>
                  <w:kern w:val="2"/>
                  <w:sz w:val="24"/>
                  <w:szCs w:val="24"/>
                  <w:u w:val="none"/>
                  <w:lang w:val="en-US" w:eastAsia="zh-CN" w:bidi="ar-SA"/>
                </w:rPr>
                <m:t xml:space="preserve">  </m:t>
              </m:r>
              <m:f>
                <m:fPr>
                  <m:type m:val="nobar"/>
                  <m:ctrlPr>
                    <w:rPr>
                      <w:rFonts w:hint="default" w:ascii="Cambria Math" w:hAnsi="Cambria Math" w:cs="Cambria Math"/>
                      <w:i/>
                      <w:color w:val="000000"/>
                      <w:kern w:val="2"/>
                      <w:sz w:val="24"/>
                      <w:szCs w:val="24"/>
                      <w:u w:val="none"/>
                      <w:lang w:val="en-US" w:eastAsia="zh-CN" w:bidi="ar-SA"/>
                    </w:rPr>
                  </m:ctrlPr>
                </m:fPr>
                <m:num>
                  <m:r>
                    <m:rPr/>
                    <w:rPr>
                      <w:rFonts w:hint="default" w:ascii="Cambria Math" w:hAnsi="Cambria Math" w:cs="Cambria Math"/>
                      <w:color w:val="000000"/>
                      <w:kern w:val="2"/>
                      <w:sz w:val="24"/>
                      <w:szCs w:val="24"/>
                      <w:u w:val="none"/>
                      <w:lang w:val="en-US" w:eastAsia="zh-CN" w:bidi="ar-SA"/>
                    </w:rPr>
                    <m:t>if y=1</m:t>
                  </m:r>
                  <m:ctrlPr>
                    <w:rPr>
                      <w:rFonts w:hint="default" w:ascii="Cambria Math" w:hAnsi="Cambria Math" w:cs="Cambria Math"/>
                      <w:i/>
                      <w:color w:val="000000"/>
                      <w:kern w:val="2"/>
                      <w:sz w:val="24"/>
                      <w:szCs w:val="24"/>
                      <w:u w:val="none"/>
                      <w:lang w:val="en-US" w:eastAsia="zh-CN" w:bidi="ar-SA"/>
                    </w:rPr>
                  </m:ctrlPr>
                </m:num>
                <m:den>
                  <m:r>
                    <m:rPr/>
                    <w:rPr>
                      <w:rFonts w:hint="default" w:ascii="Cambria Math" w:hAnsi="Cambria Math" w:cs="Cambria Math"/>
                      <w:color w:val="000000"/>
                      <w:kern w:val="2"/>
                      <w:sz w:val="24"/>
                      <w:szCs w:val="24"/>
                      <w:u w:val="none"/>
                      <w:lang w:val="en-US" w:eastAsia="zh-CN" w:bidi="ar-SA"/>
                    </w:rPr>
                    <m:t>if y=0</m:t>
                  </m:r>
                  <m:ctrlPr>
                    <w:rPr>
                      <w:rFonts w:hint="default" w:ascii="Cambria Math" w:hAnsi="Cambria Math" w:cs="Cambria Math"/>
                      <w:i/>
                      <w:color w:val="000000"/>
                      <w:kern w:val="2"/>
                      <w:sz w:val="24"/>
                      <w:szCs w:val="24"/>
                      <w:u w:val="none"/>
                      <w:lang w:val="en-US" w:eastAsia="zh-CN" w:bidi="ar-SA"/>
                    </w:rPr>
                  </m:ctrlPr>
                </m:den>
              </m:f>
              <m:ctrlPr>
                <w:rPr>
                  <w:rFonts w:hint="default" w:ascii="Cambria Math" w:hAnsi="Cambria Math" w:cs="Cambria Math"/>
                  <w:i/>
                  <w:color w:val="000000"/>
                  <w:kern w:val="2"/>
                  <w:sz w:val="24"/>
                  <w:szCs w:val="24"/>
                  <w:u w:val="none"/>
                  <w:lang w:val="en-US" w:eastAsia="zh-CN" w:bidi="ar-SA"/>
                </w:rPr>
              </m:ctrlPr>
            </m:e>
          </m:d>
          <m:r>
            <m:rPr/>
            <w:rPr>
              <w:rFonts w:hint="eastAsia" w:ascii="Cambria Math" w:hAnsi="Cambria Math" w:cs="Cambria Math"/>
              <w:color w:val="000000"/>
              <w:kern w:val="2"/>
              <w:sz w:val="24"/>
              <w:szCs w:val="24"/>
              <w:u w:val="none"/>
              <w:lang w:val="en-US" w:eastAsia="zh-CN" w:bidi="ar-SA"/>
            </w:rPr>
            <m:t>，</m:t>
          </m:r>
        </m:oMath>
      </m:oMathPara>
    </w:p>
    <w:p w14:paraId="4CF5DEA7">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γ为聚焦参数（本文设置为2.5），γ</w:t>
      </w:r>
      <w:r>
        <w:rPr>
          <w:rFonts w:hint="eastAsia" w:hAnsi="Cambria Math" w:cs="Cambria Math"/>
          <w:i w:val="0"/>
          <w:color w:val="000000"/>
          <w:kern w:val="2"/>
          <w:sz w:val="24"/>
          <w:szCs w:val="24"/>
          <w:u w:val="none"/>
          <w:lang w:val="en-US" w:eastAsia="zh-CN" w:bidi="ar-SA"/>
        </w:rPr>
        <w:t>&gt;0</w:t>
      </w:r>
      <w:r>
        <w:rPr>
          <w:rFonts w:hint="default" w:hAnsi="Cambria Math" w:cs="Cambria Math"/>
          <w:i w:val="0"/>
          <w:color w:val="000000"/>
          <w:kern w:val="2"/>
          <w:sz w:val="24"/>
          <w:szCs w:val="24"/>
          <w:u w:val="none"/>
          <w:lang w:val="en-US" w:eastAsia="zh-CN" w:bidi="ar-SA"/>
        </w:rPr>
        <w:t>时会降低易分样本的损失贡献；</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a</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t</m:t>
            </m:r>
            <m:ctrlPr>
              <w:rPr>
                <w:rFonts w:ascii="Cambria Math" w:hAnsi="Cambria Math" w:cs="Cambria Math"/>
                <w:i/>
                <w:color w:val="000000"/>
                <w:kern w:val="2"/>
                <w:sz w:val="24"/>
                <w:szCs w:val="24"/>
                <w:u w:val="none"/>
                <w:lang w:val="en-US" w:bidi="ar-SA"/>
              </w:rPr>
            </m:ctrlPr>
          </m:sub>
        </m:sSub>
      </m:oMath>
      <w:r>
        <w:rPr>
          <w:rFonts w:hint="default" w:hAnsi="Cambria Math" w:cs="Cambria Math"/>
          <w:i w:val="0"/>
          <w:color w:val="000000"/>
          <w:kern w:val="2"/>
          <w:sz w:val="24"/>
          <w:szCs w:val="24"/>
          <w:u w:val="none"/>
          <w:lang w:val="en-US" w:eastAsia="zh-CN" w:bidi="ar-SA"/>
        </w:rPr>
        <w:t>为类别平衡权重（设置为0.25），用于平衡源域和目标域样本数量差异：</w:t>
      </w:r>
    </w:p>
    <w:p w14:paraId="3E101510">
      <w:pPr>
        <w:keepNext w:val="0"/>
        <w:keepLines w:val="0"/>
        <w:pageBreakBefore w:val="0"/>
        <w:widowControl w:val="0"/>
        <w:kinsoku/>
        <w:wordWrap w:val="0"/>
        <w:overflowPunct/>
        <w:topLinePunct w:val="0"/>
        <w:autoSpaceDE/>
        <w:autoSpaceDN/>
        <w:bidi w:val="0"/>
        <w:adjustRightInd/>
        <w:snapToGrid/>
        <w:spacing w:line="300" w:lineRule="auto"/>
        <w:ind w:left="0" w:leftChars="0" w:right="0" w:rightChars="0" w:firstLine="0" w:firstLineChars="0"/>
        <w:jc w:val="left"/>
        <w:textAlignment w:val="auto"/>
        <w:rPr>
          <w:rFonts w:hint="default" w:hAnsi="Cambria Math" w:cs="Cambria Math"/>
          <w:i w:val="0"/>
          <w:color w:val="000000"/>
          <w:kern w:val="2"/>
          <w:sz w:val="24"/>
          <w:szCs w:val="24"/>
          <w:u w:val="none"/>
          <w:lang w:val="en-US" w:eastAsia="zh-CN" w:bidi="ar-SA"/>
        </w:rPr>
      </w:pPr>
      <m:oMathPara>
        <m:oMathParaPr>
          <m:jc m:val="center"/>
        </m:oMathParaP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a</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t</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=a∙y+(1−a)∙(1−y)</m:t>
          </m:r>
          <m:r>
            <m:rPr/>
            <w:rPr>
              <w:rFonts w:hint="eastAsia" w:ascii="Cambria Math" w:hAnsi="Cambria Math" w:cs="Cambria Math"/>
              <w:color w:val="000000"/>
              <w:kern w:val="2"/>
              <w:sz w:val="24"/>
              <w:szCs w:val="24"/>
              <w:u w:val="none"/>
              <w:lang w:val="en-US" w:eastAsia="zh-CN" w:bidi="ar-SA"/>
            </w:rPr>
            <m:t>，</m:t>
          </m:r>
        </m:oMath>
      </m:oMathPara>
    </w:p>
    <w:p w14:paraId="4127F942">
      <w:pPr>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通过将MSDA模块集成到YOLO12网络中，模型在训练阶段同时优化目标检测损失</w:t>
      </w:r>
      <m:oMath>
        <m:sSub>
          <m:sSubPr>
            <m:ctrlPr>
              <w:rPr>
                <w:rFonts w:ascii="Cambria Math" w:hAnsi="Cambria Math" w:cs="宋体"/>
                <w:bCs w:val="0"/>
                <w:i/>
                <w:kern w:val="0"/>
                <w:sz w:val="24"/>
                <w:szCs w:val="24"/>
                <w:lang w:val="en-US" w:bidi="ar"/>
              </w:rPr>
            </m:ctrlPr>
          </m:sSubPr>
          <m:e>
            <m:r>
              <m:rPr/>
              <w:rPr>
                <w:rFonts w:hint="default" w:ascii="Cambria Math" w:hAnsi="Cambria Math" w:cs="宋体"/>
                <w:kern w:val="0"/>
                <w:sz w:val="24"/>
                <w:szCs w:val="24"/>
                <w:lang w:val="en-US" w:eastAsia="zh-CN" w:bidi="ar"/>
              </w:rPr>
              <m:t>L</m:t>
            </m:r>
            <m:ctrlPr>
              <w:rPr>
                <w:rFonts w:ascii="Cambria Math" w:hAnsi="Cambria Math" w:cs="宋体"/>
                <w:bCs w:val="0"/>
                <w:i/>
                <w:kern w:val="0"/>
                <w:sz w:val="24"/>
                <w:szCs w:val="24"/>
                <w:lang w:val="en-US" w:bidi="ar"/>
              </w:rPr>
            </m:ctrlPr>
          </m:e>
          <m:sub>
            <m:r>
              <m:rPr/>
              <w:rPr>
                <w:rFonts w:hint="default" w:ascii="Cambria Math" w:hAnsi="Cambria Math" w:cs="宋体"/>
                <w:kern w:val="0"/>
                <w:sz w:val="24"/>
                <w:szCs w:val="24"/>
                <w:lang w:val="en-US" w:eastAsia="zh-CN" w:bidi="ar"/>
              </w:rPr>
              <m:t>det</m:t>
            </m:r>
            <m:ctrlPr>
              <w:rPr>
                <w:rFonts w:ascii="Cambria Math" w:hAnsi="Cambria Math" w:cs="宋体"/>
                <w:bCs w:val="0"/>
                <w:i/>
                <w:kern w:val="0"/>
                <w:sz w:val="24"/>
                <w:szCs w:val="24"/>
                <w:lang w:val="en-US" w:bidi="ar"/>
              </w:rPr>
            </m:ctrlPr>
          </m:sub>
        </m:sSub>
      </m:oMath>
      <w:r>
        <w:rPr>
          <w:rFonts w:hint="default" w:ascii="宋体" w:hAnsi="宋体" w:eastAsia="宋体" w:cs="宋体"/>
          <w:b w:val="0"/>
          <w:bCs w:val="0"/>
          <w:kern w:val="0"/>
          <w:sz w:val="24"/>
          <w:szCs w:val="24"/>
          <w:lang w:val="en-US" w:eastAsia="zh-CN" w:bidi="ar"/>
        </w:rPr>
        <w:t>和域对抗损失</w:t>
      </w:r>
      <m:oMath>
        <m:sSub>
          <m:sSubPr>
            <m:ctrlPr>
              <w:rPr>
                <w:rFonts w:ascii="Cambria Math" w:hAnsi="Cambria Math" w:cs="宋体"/>
                <w:bCs w:val="0"/>
                <w:i/>
                <w:kern w:val="0"/>
                <w:sz w:val="24"/>
                <w:szCs w:val="24"/>
                <w:lang w:val="en-US" w:bidi="ar"/>
              </w:rPr>
            </m:ctrlPr>
          </m:sSubPr>
          <m:e>
            <m:r>
              <m:rPr/>
              <w:rPr>
                <w:rFonts w:hint="default" w:ascii="Cambria Math" w:hAnsi="Cambria Math" w:cs="宋体"/>
                <w:kern w:val="0"/>
                <w:sz w:val="24"/>
                <w:szCs w:val="24"/>
                <w:lang w:val="en-US" w:eastAsia="zh-CN" w:bidi="ar"/>
              </w:rPr>
              <m:t>L</m:t>
            </m:r>
            <m:ctrlPr>
              <w:rPr>
                <w:rFonts w:ascii="Cambria Math" w:hAnsi="Cambria Math" w:cs="宋体"/>
                <w:bCs w:val="0"/>
                <w:i/>
                <w:kern w:val="0"/>
                <w:sz w:val="24"/>
                <w:szCs w:val="24"/>
                <w:lang w:val="en-US" w:bidi="ar"/>
              </w:rPr>
            </m:ctrlPr>
          </m:e>
          <m:sub>
            <m:r>
              <m:rPr/>
              <w:rPr>
                <w:rFonts w:hint="default" w:ascii="Cambria Math" w:hAnsi="Cambria Math" w:cs="宋体"/>
                <w:kern w:val="0"/>
                <w:sz w:val="24"/>
                <w:szCs w:val="24"/>
                <w:lang w:val="en-US" w:eastAsia="zh-CN" w:bidi="ar"/>
              </w:rPr>
              <m:t>DA</m:t>
            </m:r>
            <m:ctrlPr>
              <w:rPr>
                <w:rFonts w:ascii="Cambria Math" w:hAnsi="Cambria Math" w:cs="宋体"/>
                <w:bCs w:val="0"/>
                <w:i/>
                <w:kern w:val="0"/>
                <w:sz w:val="24"/>
                <w:szCs w:val="24"/>
                <w:lang w:val="en-US" w:bidi="ar"/>
              </w:rPr>
            </m:ctrlPr>
          </m:sub>
        </m:sSub>
      </m:oMath>
      <w:r>
        <w:rPr>
          <w:rFonts w:hint="default" w:ascii="宋体" w:hAnsi="宋体" w:eastAsia="宋体" w:cs="宋体"/>
          <w:b w:val="0"/>
          <w:bCs w:val="0"/>
          <w:kern w:val="0"/>
          <w:sz w:val="24"/>
          <w:szCs w:val="24"/>
          <w:lang w:val="en-US" w:eastAsia="zh-CN" w:bidi="ar"/>
        </w:rPr>
        <w:t>，总损失函数为：</w:t>
      </w:r>
    </w:p>
    <w:p w14:paraId="1E080184">
      <w:pPr>
        <w:keepNext w:val="0"/>
        <w:keepLines w:val="0"/>
        <w:widowControl/>
        <w:suppressLineNumbers w:val="0"/>
        <w:ind w:left="0" w:leftChars="0" w:firstLine="0" w:firstLineChars="0"/>
        <w:jc w:val="left"/>
        <w:rPr>
          <w:rFonts w:hint="default" w:hAnsi="Cambria Math" w:cs="Cambria Math"/>
          <w:b w:val="0"/>
          <w:bCs w:val="0"/>
          <w:i w:val="0"/>
          <w:kern w:val="0"/>
          <w:sz w:val="24"/>
          <w:szCs w:val="24"/>
          <w:lang w:val="en-US" w:eastAsia="zh-CN" w:bidi="ar"/>
        </w:rPr>
      </w:pPr>
      <m:oMathPara>
        <m:oMathParaPr>
          <m:jc m:val="center"/>
        </m:oMathParaPr>
        <m:oMath>
          <m:sSub>
            <m:sSubPr>
              <m:ctrlPr>
                <w:rPr>
                  <w:rFonts w:ascii="Cambria Math" w:hAnsi="Cambria Math" w:cs="宋体"/>
                  <w:bCs w:val="0"/>
                  <w:i/>
                  <w:kern w:val="0"/>
                  <w:sz w:val="24"/>
                  <w:szCs w:val="24"/>
                  <w:lang w:val="en-US" w:bidi="ar"/>
                </w:rPr>
              </m:ctrlPr>
            </m:sSubPr>
            <m:e>
              <m:r>
                <m:rPr/>
                <w:rPr>
                  <w:rFonts w:hint="default" w:ascii="Cambria Math" w:hAnsi="Cambria Math" w:cs="宋体"/>
                  <w:kern w:val="0"/>
                  <w:sz w:val="24"/>
                  <w:szCs w:val="24"/>
                  <w:lang w:val="en-US" w:eastAsia="zh-CN" w:bidi="ar"/>
                </w:rPr>
                <m:t>L</m:t>
              </m:r>
              <m:ctrlPr>
                <w:rPr>
                  <w:rFonts w:ascii="Cambria Math" w:hAnsi="Cambria Math" w:cs="宋体"/>
                  <w:bCs w:val="0"/>
                  <w:i/>
                  <w:kern w:val="0"/>
                  <w:sz w:val="24"/>
                  <w:szCs w:val="24"/>
                  <w:lang w:val="en-US" w:bidi="ar"/>
                </w:rPr>
              </m:ctrlPr>
            </m:e>
            <m:sub>
              <m:r>
                <m:rPr/>
                <w:rPr>
                  <w:rFonts w:hint="default" w:ascii="Cambria Math" w:hAnsi="Cambria Math" w:cs="宋体"/>
                  <w:kern w:val="0"/>
                  <w:sz w:val="24"/>
                  <w:szCs w:val="24"/>
                  <w:lang w:val="en-US" w:eastAsia="zh-CN" w:bidi="ar"/>
                </w:rPr>
                <m:t>total</m:t>
              </m:r>
              <m:ctrlPr>
                <w:rPr>
                  <w:rFonts w:ascii="Cambria Math" w:hAnsi="Cambria Math" w:cs="宋体"/>
                  <w:bCs w:val="0"/>
                  <w:i/>
                  <w:kern w:val="0"/>
                  <w:sz w:val="24"/>
                  <w:szCs w:val="24"/>
                  <w:lang w:val="en-US" w:bidi="ar"/>
                </w:rPr>
              </m:ctrlPr>
            </m:sub>
          </m:sSub>
          <m:r>
            <m:rPr/>
            <w:rPr>
              <w:rFonts w:hint="default" w:ascii="Cambria Math" w:hAnsi="Cambria Math" w:cs="宋体"/>
              <w:kern w:val="0"/>
              <w:sz w:val="24"/>
              <w:szCs w:val="24"/>
              <w:lang w:val="en-US" w:eastAsia="zh-CN" w:bidi="ar"/>
            </w:rPr>
            <m:t>=</m:t>
          </m:r>
          <m:sSub>
            <m:sSubPr>
              <m:ctrlPr>
                <w:rPr>
                  <w:rFonts w:hint="default" w:ascii="Cambria Math" w:hAnsi="Cambria Math" w:cs="宋体"/>
                  <w:bCs w:val="0"/>
                  <w:i/>
                  <w:kern w:val="0"/>
                  <w:sz w:val="24"/>
                  <w:szCs w:val="24"/>
                  <w:lang w:val="en-US" w:eastAsia="zh-CN" w:bidi="ar"/>
                </w:rPr>
              </m:ctrlPr>
            </m:sSubPr>
            <m:e>
              <m:r>
                <m:rPr/>
                <w:rPr>
                  <w:rFonts w:hint="default" w:ascii="Cambria Math" w:hAnsi="Cambria Math" w:cs="宋体"/>
                  <w:kern w:val="0"/>
                  <w:sz w:val="24"/>
                  <w:szCs w:val="24"/>
                  <w:lang w:val="en-US" w:eastAsia="zh-CN" w:bidi="ar"/>
                </w:rPr>
                <m:t>L</m:t>
              </m:r>
              <m:ctrlPr>
                <w:rPr>
                  <w:rFonts w:hint="default" w:ascii="Cambria Math" w:hAnsi="Cambria Math" w:cs="宋体"/>
                  <w:bCs w:val="0"/>
                  <w:i/>
                  <w:kern w:val="0"/>
                  <w:sz w:val="24"/>
                  <w:szCs w:val="24"/>
                  <w:lang w:val="en-US" w:eastAsia="zh-CN" w:bidi="ar"/>
                </w:rPr>
              </m:ctrlPr>
            </m:e>
            <m:sub>
              <m:r>
                <m:rPr/>
                <w:rPr>
                  <w:rFonts w:hint="default" w:ascii="Cambria Math" w:hAnsi="Cambria Math" w:cs="宋体"/>
                  <w:kern w:val="0"/>
                  <w:sz w:val="24"/>
                  <w:szCs w:val="24"/>
                  <w:lang w:val="en-US" w:eastAsia="zh-CN" w:bidi="ar"/>
                </w:rPr>
                <m:t>det</m:t>
              </m:r>
              <m:ctrlPr>
                <w:rPr>
                  <w:rFonts w:hint="default" w:ascii="Cambria Math" w:hAnsi="Cambria Math" w:cs="宋体"/>
                  <w:bCs w:val="0"/>
                  <w:i/>
                  <w:kern w:val="0"/>
                  <w:sz w:val="24"/>
                  <w:szCs w:val="24"/>
                  <w:lang w:val="en-US" w:eastAsia="zh-CN" w:bidi="ar"/>
                </w:rPr>
              </m:ctrlPr>
            </m:sub>
          </m:sSub>
          <m:r>
            <m:rPr/>
            <w:rPr>
              <w:rFonts w:hint="default" w:ascii="Cambria Math" w:hAnsi="Cambria Math" w:cs="宋体"/>
              <w:kern w:val="0"/>
              <w:sz w:val="24"/>
              <w:szCs w:val="24"/>
              <w:lang w:val="en-US" w:eastAsia="zh-CN" w:bidi="ar"/>
            </w:rPr>
            <m:t>+</m:t>
          </m:r>
          <m:r>
            <m:rPr/>
            <w:rPr>
              <w:rFonts w:hint="default" w:ascii="Cambria Math" w:hAnsi="Cambria Math" w:cs="Cambria Math"/>
              <w:kern w:val="0"/>
              <w:sz w:val="24"/>
              <w:szCs w:val="24"/>
              <w:lang w:val="en-US" w:eastAsia="zh-CN" w:bidi="ar"/>
            </w:rPr>
            <m:t>β∙</m:t>
          </m:r>
          <m:sSub>
            <m:sSubPr>
              <m:ctrlPr>
                <w:rPr>
                  <w:rFonts w:hint="default" w:ascii="Cambria Math" w:hAnsi="Cambria Math" w:cs="Cambria Math"/>
                  <w:b w:val="0"/>
                  <w:bCs w:val="0"/>
                  <w:i/>
                  <w:kern w:val="0"/>
                  <w:sz w:val="24"/>
                  <w:szCs w:val="24"/>
                  <w:lang w:val="en-US" w:eastAsia="zh-CN" w:bidi="ar"/>
                </w:rPr>
              </m:ctrlPr>
            </m:sSubPr>
            <m:e>
              <m:r>
                <m:rPr/>
                <w:rPr>
                  <w:rFonts w:hint="default" w:ascii="Cambria Math" w:hAnsi="Cambria Math" w:cs="Cambria Math"/>
                  <w:kern w:val="0"/>
                  <w:sz w:val="24"/>
                  <w:szCs w:val="24"/>
                  <w:lang w:val="en-US" w:eastAsia="zh-CN" w:bidi="ar"/>
                </w:rPr>
                <m:t>L</m:t>
              </m:r>
              <m:ctrlPr>
                <w:rPr>
                  <w:rFonts w:hint="default" w:ascii="Cambria Math" w:hAnsi="Cambria Math" w:cs="Cambria Math"/>
                  <w:b w:val="0"/>
                  <w:bCs w:val="0"/>
                  <w:i/>
                  <w:kern w:val="0"/>
                  <w:sz w:val="24"/>
                  <w:szCs w:val="24"/>
                  <w:lang w:val="en-US" w:eastAsia="zh-CN" w:bidi="ar"/>
                </w:rPr>
              </m:ctrlPr>
            </m:e>
            <m:sub>
              <m:r>
                <m:rPr/>
                <w:rPr>
                  <w:rFonts w:hint="default" w:ascii="Cambria Math" w:hAnsi="Cambria Math" w:cs="Cambria Math"/>
                  <w:kern w:val="0"/>
                  <w:sz w:val="24"/>
                  <w:szCs w:val="24"/>
                  <w:lang w:val="en-US" w:eastAsia="zh-CN" w:bidi="ar"/>
                </w:rPr>
                <m:t>DA</m:t>
              </m:r>
              <m:ctrlPr>
                <w:rPr>
                  <w:rFonts w:hint="default" w:ascii="Cambria Math" w:hAnsi="Cambria Math" w:cs="Cambria Math"/>
                  <w:b w:val="0"/>
                  <w:bCs w:val="0"/>
                  <w:i/>
                  <w:kern w:val="0"/>
                  <w:sz w:val="24"/>
                  <w:szCs w:val="24"/>
                  <w:lang w:val="en-US" w:eastAsia="zh-CN" w:bidi="ar"/>
                </w:rPr>
              </m:ctrlPr>
            </m:sub>
          </m:sSub>
          <m:r>
            <m:rPr/>
            <w:rPr>
              <w:rFonts w:hint="eastAsia" w:ascii="Cambria Math" w:hAnsi="Cambria Math" w:cs="Cambria Math"/>
              <w:kern w:val="0"/>
              <w:sz w:val="24"/>
              <w:szCs w:val="24"/>
              <w:lang w:val="en-US" w:eastAsia="zh-CN" w:bidi="ar"/>
            </w:rPr>
            <m:t>，</m:t>
          </m:r>
        </m:oMath>
      </m:oMathPara>
    </w:p>
    <w:p w14:paraId="23B633D9">
      <w:pPr>
        <w:keepNext w:val="0"/>
        <w:keepLines w:val="0"/>
        <w:widowControl/>
        <w:suppressLineNumbers w:val="0"/>
        <w:ind w:left="0" w:leftChars="0" w:firstLine="0" w:firstLineChars="0"/>
        <w:jc w:val="left"/>
        <w:rPr>
          <w:rFonts w:hint="default" w:hAnsi="Cambria Math" w:cs="Cambria Math"/>
          <w:i w:val="0"/>
          <w:color w:val="000000"/>
          <w:kern w:val="2"/>
          <w:sz w:val="24"/>
          <w:szCs w:val="24"/>
          <w:u w:val="none"/>
          <w:lang w:val="en-US" w:eastAsia="zh-CN" w:bidi="ar-SA"/>
        </w:rPr>
      </w:pPr>
      <w:r>
        <w:rPr>
          <w:rFonts w:hint="default" w:hAnsi="Cambria Math" w:cs="Cambria Math"/>
          <w:b w:val="0"/>
          <w:bCs w:val="0"/>
          <w:i w:val="0"/>
          <w:kern w:val="0"/>
          <w:sz w:val="24"/>
          <w:szCs w:val="24"/>
          <w:lang w:val="en-US" w:eastAsia="zh-CN" w:bidi="ar"/>
        </w:rPr>
        <w:t>其中</w:t>
      </w:r>
      <m:oMath>
        <m:r>
          <m:rPr/>
          <w:rPr>
            <w:rFonts w:hint="default" w:ascii="Cambria Math" w:hAnsi="Cambria Math" w:cs="Cambria Math"/>
            <w:kern w:val="0"/>
            <w:sz w:val="24"/>
            <w:szCs w:val="24"/>
            <w:lang w:val="en-US" w:eastAsia="zh-CN" w:bidi="ar"/>
          </w:rPr>
          <m:t>β</m:t>
        </m:r>
      </m:oMath>
      <w:r>
        <w:rPr>
          <w:rFonts w:hint="default" w:hAnsi="Cambria Math" w:cs="Cambria Math"/>
          <w:b w:val="0"/>
          <w:bCs w:val="0"/>
          <w:i w:val="0"/>
          <w:kern w:val="0"/>
          <w:sz w:val="24"/>
          <w:szCs w:val="24"/>
          <w:lang w:val="en-US" w:eastAsia="zh-CN" w:bidi="ar"/>
        </w:rPr>
        <w:t>为域适应损失权重。检测损失促使模型学习精准的目标定位和分类能力，而域对抗损失则驱动模型提取天气无关的特征表示。这种多任务联合训练策略使改进后的YOLO12模型能够在保持晴天场景高检测精度的同时，显著提升在雨雪、雾霾等复杂天气条件下的检测性能，为后续的多目标追踪任务提供更加稳定可靠的检测结果。</w:t>
      </w:r>
    </w:p>
    <w:p w14:paraId="4EDAA73A">
      <w:pPr>
        <w:pStyle w:val="2"/>
        <w:bidi w:val="0"/>
        <w:rPr>
          <w:rFonts w:hint="default" w:cs="Times New Roman"/>
          <w:lang w:val="en-US" w:eastAsia="zh-CN"/>
        </w:rPr>
      </w:pPr>
      <w:r>
        <w:rPr>
          <w:rFonts w:hint="eastAsia"/>
          <w:lang w:val="en-US" w:eastAsia="zh-CN"/>
        </w:rPr>
        <w:t>4 实验分析</w:t>
      </w:r>
    </w:p>
    <w:p w14:paraId="7EDD7045">
      <w:pPr>
        <w:pStyle w:val="3"/>
        <w:bidi w:val="0"/>
        <w:rPr>
          <w:rFonts w:hint="eastAsia"/>
          <w:lang w:val="en-US" w:eastAsia="zh-CN"/>
        </w:rPr>
      </w:pPr>
      <w:r>
        <w:rPr>
          <w:rFonts w:hint="eastAsia"/>
          <w:lang w:val="en-US" w:eastAsia="zh-CN"/>
        </w:rPr>
        <w:t>4.1 实验环境与参数配置</w:t>
      </w:r>
    </w:p>
    <w:p w14:paraId="76EE0217">
      <w:pPr>
        <w:rPr>
          <w:rFonts w:hint="eastAsia"/>
          <w:lang w:val="en-US" w:eastAsia="zh-CN"/>
        </w:rPr>
      </w:pPr>
      <w:r>
        <w:rPr>
          <w:rFonts w:hint="eastAsia"/>
          <w:lang w:val="en-US" w:eastAsia="zh-CN"/>
        </w:rPr>
        <w:t>MSDA</w:t>
      </w:r>
      <w:r>
        <w:rPr>
          <w:rFonts w:hint="eastAsia"/>
        </w:rPr>
        <w:t>-</w:t>
      </w:r>
      <w:r>
        <w:rPr>
          <w:rFonts w:hint="eastAsia"/>
          <w:lang w:val="en-US" w:eastAsia="zh-CN"/>
        </w:rPr>
        <w:t>YOLO12算法使用的实验环境配置如表1所示。</w:t>
      </w:r>
    </w:p>
    <w:p w14:paraId="54083094">
      <w:pPr>
        <w:ind w:left="0" w:leftChars="0" w:firstLine="0" w:firstLineChars="0"/>
        <w:jc w:val="center"/>
        <w:rPr>
          <w:rFonts w:hint="eastAsia"/>
          <w:b/>
          <w:bCs/>
          <w:lang w:val="en-US" w:eastAsia="zh-CN"/>
        </w:rPr>
      </w:pPr>
      <w:r>
        <w:rPr>
          <w:rFonts w:hint="eastAsia"/>
          <w:b/>
          <w:bCs/>
          <w:lang w:val="en-US" w:eastAsia="zh-CN"/>
        </w:rPr>
        <w:t>表1 实验环境配置</w:t>
      </w:r>
    </w:p>
    <w:p w14:paraId="64193EAA">
      <w:pPr>
        <w:ind w:left="0" w:leftChars="0" w:firstLine="0" w:firstLineChars="0"/>
        <w:jc w:val="center"/>
        <w:rPr>
          <w:rFonts w:hint="default"/>
          <w:lang w:val="en-US" w:eastAsia="zh-CN"/>
        </w:rPr>
      </w:pPr>
      <w:r>
        <w:rPr>
          <w:rFonts w:hint="default"/>
          <w:lang w:val="en-US" w:eastAsia="zh-CN"/>
        </w:rPr>
        <w:t>Table 1</w:t>
      </w:r>
      <w:r>
        <w:rPr>
          <w:rFonts w:hint="eastAsia"/>
          <w:lang w:val="en-US" w:eastAsia="zh-CN"/>
        </w:rPr>
        <w:t xml:space="preserve"> </w:t>
      </w:r>
      <w:r>
        <w:rPr>
          <w:rFonts w:hint="default"/>
          <w:lang w:val="en-US" w:eastAsia="zh-CN"/>
        </w:rPr>
        <w:t xml:space="preserve"> Experimental Environment Settings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2B4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left w:val="nil"/>
              <w:bottom w:val="single" w:color="auto" w:sz="4" w:space="0"/>
              <w:right w:val="nil"/>
            </w:tcBorders>
          </w:tcPr>
          <w:p w14:paraId="7397616A">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Name</w:t>
            </w:r>
          </w:p>
        </w:tc>
        <w:tc>
          <w:tcPr>
            <w:tcW w:w="4261" w:type="dxa"/>
            <w:tcBorders>
              <w:left w:val="nil"/>
              <w:bottom w:val="single" w:color="auto" w:sz="4" w:space="0"/>
              <w:right w:val="nil"/>
            </w:tcBorders>
          </w:tcPr>
          <w:p w14:paraId="1462FE23">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Configuration/Version</w:t>
            </w:r>
          </w:p>
        </w:tc>
      </w:tr>
      <w:tr w14:paraId="54D8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top w:val="single" w:color="auto" w:sz="4" w:space="0"/>
              <w:left w:val="nil"/>
              <w:bottom w:val="nil"/>
              <w:right w:val="nil"/>
            </w:tcBorders>
          </w:tcPr>
          <w:p w14:paraId="76EE9F2B">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Operating System</w:t>
            </w:r>
          </w:p>
        </w:tc>
        <w:tc>
          <w:tcPr>
            <w:tcW w:w="4261" w:type="dxa"/>
            <w:tcBorders>
              <w:top w:val="single" w:color="auto" w:sz="4" w:space="0"/>
              <w:left w:val="nil"/>
              <w:bottom w:val="nil"/>
              <w:right w:val="nil"/>
            </w:tcBorders>
          </w:tcPr>
          <w:p w14:paraId="1FF7B6F8">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Linux Ubuntu 22.04 LTS</w:t>
            </w:r>
          </w:p>
        </w:tc>
      </w:tr>
      <w:tr w14:paraId="1875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4AC1CE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CPU</w:t>
            </w:r>
          </w:p>
        </w:tc>
        <w:tc>
          <w:tcPr>
            <w:tcW w:w="4261" w:type="dxa"/>
            <w:tcBorders>
              <w:top w:val="nil"/>
              <w:left w:val="nil"/>
              <w:bottom w:val="nil"/>
              <w:right w:val="nil"/>
            </w:tcBorders>
          </w:tcPr>
          <w:p w14:paraId="46BD72D7">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AMD EPYC 7642 48-Core Processor</w:t>
            </w:r>
          </w:p>
        </w:tc>
      </w:tr>
      <w:tr w14:paraId="11EB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A007696">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GPU</w:t>
            </w:r>
          </w:p>
        </w:tc>
        <w:tc>
          <w:tcPr>
            <w:tcW w:w="4261" w:type="dxa"/>
            <w:tcBorders>
              <w:top w:val="nil"/>
              <w:left w:val="nil"/>
              <w:bottom w:val="nil"/>
              <w:right w:val="nil"/>
            </w:tcBorders>
          </w:tcPr>
          <w:p w14:paraId="7FF33DD1">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NVIDIA GeForce RTX 3090</w:t>
            </w:r>
          </w:p>
        </w:tc>
      </w:tr>
      <w:tr w14:paraId="5458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FE10F32">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Deep Learning Frameworks</w:t>
            </w:r>
          </w:p>
        </w:tc>
        <w:tc>
          <w:tcPr>
            <w:tcW w:w="4261" w:type="dxa"/>
            <w:tcBorders>
              <w:top w:val="nil"/>
              <w:left w:val="nil"/>
              <w:bottom w:val="nil"/>
              <w:right w:val="nil"/>
            </w:tcBorders>
          </w:tcPr>
          <w:p w14:paraId="29218B17">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Py</w:t>
            </w:r>
            <w:r>
              <w:rPr>
                <w:rFonts w:hint="eastAsia"/>
                <w:b w:val="0"/>
                <w:bCs w:val="0"/>
                <w:vertAlign w:val="baseline"/>
                <w:lang w:val="en-US" w:eastAsia="zh-CN"/>
              </w:rPr>
              <w:t>t</w:t>
            </w:r>
            <w:r>
              <w:rPr>
                <w:rFonts w:hint="default"/>
                <w:b w:val="0"/>
                <w:bCs w:val="0"/>
                <w:vertAlign w:val="baseline"/>
                <w:lang w:val="en-US" w:eastAsia="zh-CN"/>
              </w:rPr>
              <w:t>orch</w:t>
            </w:r>
            <w:r>
              <w:rPr>
                <w:rFonts w:hint="eastAsia"/>
                <w:b w:val="0"/>
                <w:bCs w:val="0"/>
                <w:vertAlign w:val="baseline"/>
                <w:lang w:val="en-US" w:eastAsia="zh-CN"/>
              </w:rPr>
              <w:t xml:space="preserve"> </w:t>
            </w:r>
            <w:r>
              <w:rPr>
                <w:rFonts w:hint="default"/>
                <w:b w:val="0"/>
                <w:bCs w:val="0"/>
                <w:vertAlign w:val="baseline"/>
                <w:lang w:val="en-US" w:eastAsia="zh-CN"/>
              </w:rPr>
              <w:t>2.1.2</w:t>
            </w:r>
            <w:r>
              <w:rPr>
                <w:rFonts w:hint="eastAsia"/>
                <w:b w:val="0"/>
                <w:bCs w:val="0"/>
                <w:vertAlign w:val="baseline"/>
                <w:lang w:val="en-US" w:eastAsia="zh-CN"/>
              </w:rPr>
              <w:t>,CUDA 11.8</w:t>
            </w:r>
          </w:p>
        </w:tc>
      </w:tr>
      <w:tr w14:paraId="4118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right w:val="nil"/>
            </w:tcBorders>
          </w:tcPr>
          <w:p w14:paraId="384B899A">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 xml:space="preserve">Programming Language </w:t>
            </w:r>
          </w:p>
        </w:tc>
        <w:tc>
          <w:tcPr>
            <w:tcW w:w="4261" w:type="dxa"/>
            <w:tcBorders>
              <w:top w:val="nil"/>
              <w:left w:val="nil"/>
              <w:right w:val="nil"/>
            </w:tcBorders>
          </w:tcPr>
          <w:p w14:paraId="612C2FBE">
            <w:pPr>
              <w:ind w:left="0" w:leftChars="0" w:firstLine="0" w:firstLineChars="0"/>
              <w:jc w:val="center"/>
              <w:rPr>
                <w:rFonts w:hint="default"/>
                <w:b w:val="0"/>
                <w:bCs w:val="0"/>
                <w:vertAlign w:val="baseline"/>
                <w:lang w:val="en-US" w:eastAsia="zh-CN"/>
              </w:rPr>
            </w:pPr>
            <w:r>
              <w:rPr>
                <w:rFonts w:hint="default"/>
                <w:b w:val="0"/>
                <w:bCs w:val="0"/>
                <w:vertAlign w:val="baseline"/>
                <w:lang w:val="en-US" w:eastAsia="zh-CN"/>
              </w:rPr>
              <w:t>Python 3.</w:t>
            </w:r>
            <w:r>
              <w:rPr>
                <w:rFonts w:hint="eastAsia"/>
                <w:b w:val="0"/>
                <w:bCs w:val="0"/>
                <w:vertAlign w:val="baseline"/>
                <w:lang w:val="en-US" w:eastAsia="zh-CN"/>
              </w:rPr>
              <w:t>10</w:t>
            </w:r>
          </w:p>
        </w:tc>
      </w:tr>
    </w:tbl>
    <w:p w14:paraId="014C4D0B">
      <w:pPr>
        <w:ind w:left="0" w:leftChars="0" w:firstLine="0" w:firstLineChars="0"/>
        <w:jc w:val="center"/>
        <w:rPr>
          <w:rFonts w:hint="eastAsia"/>
          <w:lang w:val="en-US" w:eastAsia="zh-CN"/>
        </w:rPr>
      </w:pPr>
      <w:r>
        <w:rPr>
          <w:rFonts w:hint="eastAsia"/>
          <w:lang w:val="en-US" w:eastAsia="zh-CN"/>
        </w:rPr>
        <w:t>表2 训练参数设置</w:t>
      </w:r>
    </w:p>
    <w:p w14:paraId="3C79EF67">
      <w:pPr>
        <w:ind w:left="0" w:leftChars="0" w:firstLine="0" w:firstLineChars="0"/>
        <w:jc w:val="center"/>
        <w:rPr>
          <w:rFonts w:hint="eastAsia"/>
          <w:lang w:val="en-US" w:eastAsia="zh-CN"/>
        </w:rPr>
      </w:pPr>
      <w:r>
        <w:rPr>
          <w:rFonts w:hint="eastAsia"/>
          <w:lang w:val="en-US" w:eastAsia="zh-CN"/>
        </w:rPr>
        <w:t>Table 2  Training Parameter Settings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88F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left w:val="nil"/>
              <w:bottom w:val="single" w:color="auto" w:sz="4" w:space="0"/>
              <w:right w:val="nil"/>
            </w:tcBorders>
          </w:tcPr>
          <w:p w14:paraId="39EBCB1D">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Parameter Settings</w:t>
            </w:r>
          </w:p>
        </w:tc>
        <w:tc>
          <w:tcPr>
            <w:tcW w:w="4261" w:type="dxa"/>
            <w:tcBorders>
              <w:left w:val="nil"/>
              <w:bottom w:val="single" w:color="auto" w:sz="4" w:space="0"/>
              <w:right w:val="nil"/>
            </w:tcBorders>
          </w:tcPr>
          <w:p w14:paraId="28BF632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Parameter Values</w:t>
            </w:r>
          </w:p>
        </w:tc>
      </w:tr>
      <w:tr w14:paraId="0C84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nil"/>
              <w:bottom w:val="nil"/>
              <w:right w:val="nil"/>
            </w:tcBorders>
          </w:tcPr>
          <w:p w14:paraId="277CB4D5">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Image Size</w:t>
            </w:r>
          </w:p>
        </w:tc>
        <w:tc>
          <w:tcPr>
            <w:tcW w:w="4261" w:type="dxa"/>
            <w:tcBorders>
              <w:top w:val="single" w:color="auto" w:sz="4" w:space="0"/>
              <w:left w:val="nil"/>
              <w:bottom w:val="nil"/>
              <w:right w:val="nil"/>
            </w:tcBorders>
          </w:tcPr>
          <w:p w14:paraId="37B781A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640</w:t>
            </w:r>
            <w:r>
              <w:rPr>
                <w:rFonts w:hint="default" w:ascii="Arial" w:hAnsi="Arial" w:cs="Arial"/>
                <w:b w:val="0"/>
                <w:bCs w:val="0"/>
                <w:vertAlign w:val="baseline"/>
                <w:lang w:val="en-US" w:eastAsia="zh-CN"/>
              </w:rPr>
              <w:t>×</w:t>
            </w:r>
            <w:r>
              <w:rPr>
                <w:rFonts w:hint="eastAsia"/>
                <w:b w:val="0"/>
                <w:bCs w:val="0"/>
                <w:vertAlign w:val="baseline"/>
                <w:lang w:val="en-US" w:eastAsia="zh-CN"/>
              </w:rPr>
              <w:t>640</w:t>
            </w:r>
          </w:p>
        </w:tc>
      </w:tr>
      <w:tr w14:paraId="42A2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1D4399E">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Batch Size</w:t>
            </w:r>
          </w:p>
        </w:tc>
        <w:tc>
          <w:tcPr>
            <w:tcW w:w="4261" w:type="dxa"/>
            <w:tcBorders>
              <w:top w:val="nil"/>
              <w:left w:val="nil"/>
              <w:bottom w:val="nil"/>
              <w:right w:val="nil"/>
            </w:tcBorders>
          </w:tcPr>
          <w:p w14:paraId="652CC3B4">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32</w:t>
            </w:r>
          </w:p>
        </w:tc>
      </w:tr>
      <w:tr w14:paraId="52CE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1D5C85A9">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Optimizer</w:t>
            </w:r>
          </w:p>
        </w:tc>
        <w:tc>
          <w:tcPr>
            <w:tcW w:w="4261" w:type="dxa"/>
            <w:tcBorders>
              <w:top w:val="nil"/>
              <w:left w:val="nil"/>
              <w:bottom w:val="nil"/>
              <w:right w:val="nil"/>
            </w:tcBorders>
          </w:tcPr>
          <w:p w14:paraId="67FBE83A">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SGD</w:t>
            </w:r>
          </w:p>
        </w:tc>
      </w:tr>
      <w:tr w14:paraId="57A6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83DC847">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I</w:t>
            </w:r>
            <w:r>
              <w:rPr>
                <w:rFonts w:hint="default"/>
                <w:b w:val="0"/>
                <w:bCs w:val="0"/>
                <w:vertAlign w:val="baseline"/>
                <w:lang w:val="en-US" w:eastAsia="zh-CN"/>
              </w:rPr>
              <w:t>nitial learning rate</w:t>
            </w:r>
          </w:p>
        </w:tc>
        <w:tc>
          <w:tcPr>
            <w:tcW w:w="4261" w:type="dxa"/>
            <w:tcBorders>
              <w:top w:val="nil"/>
              <w:left w:val="nil"/>
              <w:bottom w:val="nil"/>
              <w:right w:val="nil"/>
            </w:tcBorders>
          </w:tcPr>
          <w:p w14:paraId="1CFCB9A1">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0.01</w:t>
            </w:r>
          </w:p>
        </w:tc>
      </w:tr>
      <w:tr w14:paraId="66D9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top"/>
          </w:tcPr>
          <w:p w14:paraId="04CFC0BC">
            <w:pPr>
              <w:ind w:left="0" w:leftChars="0" w:firstLine="0" w:firstLineChars="0"/>
              <w:jc w:val="center"/>
              <w:rPr>
                <w:rFonts w:hint="default"/>
                <w:b w:val="0"/>
                <w:bCs w:val="0"/>
                <w:vertAlign w:val="baseline"/>
                <w:lang w:val="en-US" w:eastAsia="zh-CN"/>
              </w:rPr>
            </w:pPr>
            <w:r>
              <w:rPr>
                <w:rFonts w:hint="eastAsia"/>
                <w:b w:val="0"/>
                <w:bCs w:val="0"/>
                <w:vertAlign w:val="baseline"/>
                <w:lang w:val="en-US" w:eastAsia="zh-CN"/>
              </w:rPr>
              <w:t>Weight Decay</w:t>
            </w:r>
          </w:p>
        </w:tc>
        <w:tc>
          <w:tcPr>
            <w:tcW w:w="4261" w:type="dxa"/>
            <w:tcBorders>
              <w:top w:val="nil"/>
              <w:left w:val="nil"/>
              <w:bottom w:val="nil"/>
              <w:right w:val="nil"/>
            </w:tcBorders>
            <w:vAlign w:val="top"/>
          </w:tcPr>
          <w:p w14:paraId="5006481B">
            <w:pPr>
              <w:ind w:left="0" w:leftChars="0" w:firstLine="0" w:firstLineChars="0"/>
              <w:jc w:val="center"/>
              <w:rPr>
                <w:rFonts w:hint="default"/>
                <w:b w:val="0"/>
                <w:bCs w:val="0"/>
                <w:vertAlign w:val="baseline"/>
                <w:lang w:val="en-US" w:eastAsia="zh-CN"/>
              </w:rPr>
            </w:pPr>
            <m:oMathPara>
              <m:oMathParaPr>
                <m:jc m:val="center"/>
              </m:oMathParaPr>
              <m:oMath>
                <m:sSup>
                  <m:sSupPr>
                    <m:ctrlPr>
                      <w:rPr>
                        <w:rFonts w:ascii="Cambria Math" w:hAnsi="Cambria Math"/>
                        <w:bCs w:val="0"/>
                        <w:i/>
                        <w:vertAlign w:val="baseline"/>
                        <w:lang w:val="en-US"/>
                      </w:rPr>
                    </m:ctrlPr>
                  </m:sSupPr>
                  <m:e>
                    <m:r>
                      <m:rPr/>
                      <w:rPr>
                        <w:rFonts w:hint="default" w:ascii="Cambria Math" w:hAnsi="Cambria Math"/>
                        <w:vertAlign w:val="baseline"/>
                        <w:lang w:val="en-US" w:eastAsia="zh-CN"/>
                      </w:rPr>
                      <m:t>5</m:t>
                    </m:r>
                    <m:r>
                      <m:rPr/>
                      <w:rPr>
                        <w:rFonts w:ascii="Cambria Math" w:hAnsi="Cambria Math"/>
                        <w:vertAlign w:val="baseline"/>
                        <w:lang w:val="en-US"/>
                      </w:rPr>
                      <m:t>×</m:t>
                    </m:r>
                    <m:r>
                      <m:rPr/>
                      <w:rPr>
                        <w:rFonts w:hint="default" w:ascii="Cambria Math" w:hAnsi="Cambria Math"/>
                        <w:vertAlign w:val="baseline"/>
                        <w:lang w:val="en-US" w:eastAsia="zh-CN"/>
                      </w:rPr>
                      <m:t>10</m:t>
                    </m:r>
                    <m:ctrlPr>
                      <w:rPr>
                        <w:rFonts w:ascii="Cambria Math" w:hAnsi="Cambria Math"/>
                        <w:bCs w:val="0"/>
                        <w:i/>
                        <w:vertAlign w:val="baseline"/>
                        <w:lang w:val="en-US"/>
                      </w:rPr>
                    </m:ctrlPr>
                  </m:e>
                  <m:sup>
                    <m:r>
                      <m:rPr/>
                      <w:rPr>
                        <w:rFonts w:hint="default" w:ascii="Cambria Math" w:hAnsi="Cambria Math"/>
                        <w:vertAlign w:val="baseline"/>
                        <w:lang w:val="en-US" w:eastAsia="zh-CN"/>
                      </w:rPr>
                      <m:t>−4</m:t>
                    </m:r>
                    <m:ctrlPr>
                      <w:rPr>
                        <w:rFonts w:ascii="Cambria Math" w:hAnsi="Cambria Math"/>
                        <w:bCs w:val="0"/>
                        <w:i/>
                        <w:vertAlign w:val="baseline"/>
                        <w:lang w:val="en-US"/>
                      </w:rPr>
                    </m:ctrlPr>
                  </m:sup>
                </m:sSup>
              </m:oMath>
            </m:oMathPara>
          </w:p>
        </w:tc>
      </w:tr>
      <w:tr w14:paraId="48F8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right w:val="nil"/>
            </w:tcBorders>
            <w:vAlign w:val="top"/>
          </w:tcPr>
          <w:p w14:paraId="6F9FD849">
            <w:pPr>
              <w:ind w:left="0" w:leftChars="0" w:firstLine="0" w:firstLineChars="0"/>
              <w:jc w:val="center"/>
              <w:rPr>
                <w:rFonts w:hint="eastAsia"/>
                <w:b w:val="0"/>
                <w:bCs w:val="0"/>
                <w:vertAlign w:val="baseline"/>
                <w:lang w:val="en-US" w:eastAsia="zh-CN"/>
              </w:rPr>
            </w:pPr>
            <w:r>
              <w:rPr>
                <w:rFonts w:hint="eastAsia"/>
                <w:b w:val="0"/>
                <w:bCs w:val="0"/>
                <w:vertAlign w:val="baseline"/>
                <w:lang w:val="en-US" w:eastAsia="zh-CN"/>
              </w:rPr>
              <w:t>Momentum</w:t>
            </w:r>
          </w:p>
        </w:tc>
        <w:tc>
          <w:tcPr>
            <w:tcW w:w="4261" w:type="dxa"/>
            <w:tcBorders>
              <w:top w:val="nil"/>
              <w:left w:val="nil"/>
              <w:right w:val="nil"/>
            </w:tcBorders>
            <w:vAlign w:val="top"/>
          </w:tcPr>
          <w:p w14:paraId="488A93F8">
            <w:pPr>
              <w:ind w:left="0" w:leftChars="0" w:firstLine="0" w:firstLineChars="0"/>
              <w:jc w:val="center"/>
              <w:rPr>
                <w:rFonts w:hint="eastAsia"/>
                <w:b w:val="0"/>
                <w:bCs w:val="0"/>
                <w:vertAlign w:val="baseline"/>
                <w:lang w:val="en-US" w:eastAsia="zh-CN"/>
              </w:rPr>
            </w:pPr>
            <w:r>
              <w:rPr>
                <w:rFonts w:hint="eastAsia"/>
                <w:b w:val="0"/>
                <w:bCs w:val="0"/>
                <w:vertAlign w:val="baseline"/>
                <w:lang w:val="en-US" w:eastAsia="zh-CN"/>
              </w:rPr>
              <w:t>0.937</w:t>
            </w:r>
          </w:p>
        </w:tc>
      </w:tr>
    </w:tbl>
    <w:p w14:paraId="7054E133">
      <w:pPr>
        <w:pStyle w:val="3"/>
        <w:bidi w:val="0"/>
        <w:rPr>
          <w:rFonts w:hint="eastAsia"/>
          <w:lang w:val="en-US" w:eastAsia="zh-CN"/>
        </w:rPr>
      </w:pPr>
      <w:r>
        <w:rPr>
          <w:rFonts w:hint="eastAsia"/>
          <w:lang w:val="en-US" w:eastAsia="zh-CN"/>
        </w:rPr>
        <w:t>4.2 数据集</w:t>
      </w:r>
    </w:p>
    <w:p w14:paraId="2CB08C2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eastAsia" w:cs="Times New Roman"/>
          <w:lang w:val="en-US" w:eastAsia="zh-CN"/>
        </w:rPr>
        <w:t>1.RainCityscapes数据集</w:t>
      </w:r>
    </w:p>
    <w:p w14:paraId="215816CC">
      <w:pPr>
        <w:rPr>
          <w:rFonts w:hint="eastAsia"/>
          <w:lang w:val="en-US" w:eastAsia="zh-CN"/>
        </w:rPr>
      </w:pPr>
      <w:r>
        <w:rPr>
          <w:rFonts w:hint="eastAsia"/>
          <w:lang w:val="en-US" w:eastAsia="zh-CN"/>
        </w:rPr>
        <w:t>Cityscapes数据集是一个专门为计算机视觉任务设计的高质量城市街景数据集。共由4982张图像组成，其中训练集包含2975张，验证集包含500张，另外1507张未标记的图像作为测试集。数据集涵盖了8个不同类别的注释，包括person、rider、car、truck、bus、train、motorcycle和bicycle。</w:t>
      </w:r>
    </w:p>
    <w:p w14:paraId="02046254">
      <w:pPr>
        <w:ind w:left="0" w:leftChars="0" w:firstLine="0" w:firstLineChars="0"/>
      </w:pPr>
      <w:r>
        <w:drawing>
          <wp:inline distT="0" distB="0" distL="114300" distR="114300">
            <wp:extent cx="5271770" cy="1139190"/>
            <wp:effectExtent l="0" t="0" r="1270" b="381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1"/>
                    <a:stretch>
                      <a:fillRect/>
                    </a:stretch>
                  </pic:blipFill>
                  <pic:spPr>
                    <a:xfrm>
                      <a:off x="0" y="0"/>
                      <a:ext cx="5271770" cy="1139190"/>
                    </a:xfrm>
                    <a:prstGeom prst="rect">
                      <a:avLst/>
                    </a:prstGeom>
                    <a:noFill/>
                    <a:ln>
                      <a:noFill/>
                    </a:ln>
                  </pic:spPr>
                </pic:pic>
              </a:graphicData>
            </a:graphic>
          </wp:inline>
        </w:drawing>
      </w:r>
    </w:p>
    <w:p w14:paraId="6354154D">
      <w:pPr>
        <w:pStyle w:val="5"/>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lang w:val="en-US" w:eastAsia="zh-CN"/>
        </w:rPr>
      </w:pPr>
      <w:r>
        <w:rPr>
          <w:rFonts w:hint="eastAsia"/>
          <w:lang w:val="en-US" w:eastAsia="zh-CN"/>
        </w:rPr>
        <w:t>图6。从Cityscapes数据合成RainCityscapes示意图:(a)来自Cityscapes的原始图像，</w:t>
      </w:r>
    </w:p>
    <w:p w14:paraId="00B5D4E8">
      <w:pPr>
        <w:pStyle w:val="5"/>
        <w:keepNext w:val="0"/>
        <w:keepLines w:val="0"/>
        <w:pageBreakBefore w:val="0"/>
        <w:widowControl w:val="0"/>
        <w:kinsoku/>
        <w:wordWrap/>
        <w:overflowPunct/>
        <w:topLinePunct w:val="0"/>
        <w:autoSpaceDE w:val="0"/>
        <w:autoSpaceDN w:val="0"/>
        <w:bidi w:val="0"/>
        <w:adjustRightInd/>
        <w:snapToGrid/>
        <w:spacing w:line="240" w:lineRule="auto"/>
        <w:ind w:left="0" w:leftChars="0" w:firstLine="0" w:firstLineChars="0"/>
        <w:jc w:val="center"/>
        <w:textAlignment w:val="auto"/>
        <w:rPr>
          <w:rFonts w:hint="eastAsia"/>
          <w:lang w:val="en-US" w:eastAsia="zh-CN"/>
        </w:rPr>
      </w:pPr>
      <w:r>
        <w:rPr>
          <w:rFonts w:hint="eastAsia"/>
          <w:lang w:val="en-US" w:eastAsia="zh-CN"/>
        </w:rPr>
        <w:t>(b)生成的降雨图，(c)合成的降雨图像。</w:t>
      </w:r>
    </w:p>
    <w:p w14:paraId="665EE2F1">
      <w:pPr>
        <w:rPr>
          <w:rFonts w:hint="eastAsia"/>
          <w:lang w:val="en-US" w:eastAsia="zh-CN"/>
        </w:rPr>
      </w:pPr>
      <w:r>
        <w:rPr>
          <w:rFonts w:hint="eastAsia"/>
          <w:lang w:val="en-US" w:eastAsia="zh-CN"/>
        </w:rPr>
        <w:t>RainyCityscape 数据集是在Cityscapes数据集基础上，通过添加模拟雨滴效果构建而成。雨滴效果生成依赖自定义算法，该算法会在图像空间内随机生成雨滴，并对雨滴的下落路径及运动模糊效应进行模拟，进而还原出贴近真实场景的雨天视觉呈现。具体实现中，定义了一个名为add_realistic_rain的函数，此函数的输入参数包含背景图像与降雨强度等关键控制变量，先对雨滴的数量、空间位置、长度及厚度等特征参数进行计算，再根据这些参数在图像上绘制出雨滴效果图像。为还原雨滴下落时因运动产生的模糊质感，对生成的雨滴层执行高斯模糊处理；最终，采用加权融合的方式将处理后的雨滴层与Cityscapes的图像进行叠加，生成真实下雨效果的图像。如图6所示，展示了合成一张RainCityscapes图像的过程。</w:t>
      </w:r>
    </w:p>
    <w:p w14:paraId="77424129">
      <w:pPr>
        <w:ind w:left="0" w:leftChars="0" w:firstLine="0" w:firstLineChars="0"/>
        <w:rPr>
          <w:rFonts w:hint="eastAsia"/>
          <w:lang w:val="en-US" w:eastAsia="zh-CN"/>
        </w:rPr>
      </w:pPr>
      <w:r>
        <w:rPr>
          <w:rFonts w:hint="eastAsia"/>
          <w:lang w:val="en-US" w:eastAsia="zh-CN"/>
        </w:rPr>
        <w:t>2.ACDC数据集</w:t>
      </w:r>
    </w:p>
    <w:p w14:paraId="47B9FF51">
      <w:pPr>
        <w:rPr>
          <w:rFonts w:hint="default"/>
          <w:lang w:val="en-US" w:eastAsia="zh-CN"/>
        </w:rPr>
      </w:pPr>
      <w:r>
        <w:rPr>
          <w:rFonts w:hint="default"/>
          <w:lang w:val="en-US" w:eastAsia="zh-CN"/>
        </w:rPr>
        <w:t>ACDC（Adverse Conditions Dataset with Correspondences）数据集是面向恶劣天气场景下计算机视觉任务构建的大规模驾驶场景图像数据集，专注于解决雾、夜、雨、雪等复杂视觉条件下的目标检测与环境感知问题，为跨域自适应算法的训练与评估提供了高质量、场景匹配的数据源。该数据集总计包含8012张图像，其中4006张为恶劣视觉条件下的图像，均匀覆盖雾、夜、雨、雪四种典型恶劣场景；另有4006张为相同场景在正常视觉条件下拍摄的图像，形成 “恶劣天气- 正常天气” 的场景对应关系，为域适应任务中源域（正常天气）与目标域（恶劣天气）的特征对齐提供了天然的数据支撑。</w:t>
      </w:r>
    </w:p>
    <w:p w14:paraId="31902276">
      <w:pPr>
        <w:rPr>
          <w:rFonts w:hint="default"/>
          <w:lang w:val="en-US" w:eastAsia="zh-CN"/>
        </w:rPr>
      </w:pPr>
      <w:r>
        <w:rPr>
          <w:rFonts w:hint="default"/>
          <w:lang w:val="en-US" w:eastAsia="zh-CN"/>
        </w:rPr>
        <w:t>在数据标注与划分方面，ACDC数据集恶劣视觉条件下的图像标注体系与Cityscapes保持一致，涵盖person（人）、rider（骑手）、car（汽车）、truck（卡车）、bus（公共汽车）、train（火车）、motorcycle（摩托车）、bicycle（自行车）八</w:t>
      </w:r>
      <w:r>
        <w:rPr>
          <w:rFonts w:hint="eastAsia"/>
          <w:lang w:val="en-US" w:eastAsia="zh-CN"/>
        </w:rPr>
        <w:t>个</w:t>
      </w:r>
      <w:r>
        <w:rPr>
          <w:rFonts w:hint="default"/>
          <w:lang w:val="en-US" w:eastAsia="zh-CN"/>
        </w:rPr>
        <w:t>类别，标注</w:t>
      </w:r>
      <w:r>
        <w:rPr>
          <w:rFonts w:hint="eastAsia"/>
          <w:lang w:val="en-US" w:eastAsia="zh-CN"/>
        </w:rPr>
        <w:t>详细</w:t>
      </w:r>
      <w:r>
        <w:rPr>
          <w:rFonts w:hint="default"/>
          <w:lang w:val="en-US" w:eastAsia="zh-CN"/>
        </w:rPr>
        <w:t>满足目标检测任务的定位与分类需求。数据集采用科学的划分策略：详细标注的训练集包含1600张恶劣天气图像，四种天气场景各400张，用于模型的核心训练；详细标注的验证集包含 400 张恶劣天气图像，四种天气场景各 100 张，用于训练过程中的模型优化与性能监控；未详细标注的测试集包含2000张恶劣天气图像，四种天气场景各500张，用于模型泛化能力的独立评估。对应的正常天气无标注图像则可作为源域辅助训练数据，与恶劣天气标注图像形成一一对应的场景配对，有效模拟自动驾驶中 “晴天训练、恶劣天气部署” 的实际应用场景，为验证 MSDA-YOLO12 算法的跨域泛化能力提供了极具针对性的数据支持。</w:t>
      </w:r>
    </w:p>
    <w:p w14:paraId="30B854C8">
      <w:pPr>
        <w:pStyle w:val="3"/>
        <w:bidi w:val="0"/>
        <w:rPr>
          <w:rFonts w:hint="eastAsia"/>
          <w:lang w:val="en-US" w:eastAsia="zh-CN"/>
        </w:rPr>
      </w:pPr>
      <w:r>
        <w:rPr>
          <w:rFonts w:hint="eastAsia"/>
          <w:lang w:val="en-US" w:eastAsia="zh-CN"/>
        </w:rPr>
        <w:t>4.3 评估指标</w:t>
      </w:r>
    </w:p>
    <w:p w14:paraId="77096CB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为全面评估模型在恶劣天气目标检测任务中的性能表现，本文引入精确率（Precision, P）、召回率（Recall, R）、平均精度（Average Precision, AP）、均值平均精度（Mean Average Precision, mAP）及帧率（Frames Per Second, FPS）等评价指标进行综合分析。</w:t>
      </w:r>
    </w:p>
    <w:p w14:paraId="35FB692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s="Times New Roman"/>
          <w:lang w:val="en-US" w:eastAsia="zh-CN"/>
        </w:rPr>
      </w:pPr>
      <w:r>
        <w:rPr>
          <w:rFonts w:hint="eastAsia" w:cs="Times New Roman"/>
          <w:lang w:val="en-US" w:eastAsia="zh-CN"/>
        </w:rPr>
        <w:t>精确率用于衡量模型检测结果的准确性，反映正确检测的目标占所有检测结果的比例，计算公式如（1）所示：</w:t>
      </w:r>
    </w:p>
    <w:p w14:paraId="6F6C6CD2">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Precision=</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TP</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TP+FP</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 xml:space="preserve">                         （1）</w:t>
      </w:r>
    </w:p>
    <w:p w14:paraId="18A0BD45">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cs="Times New Roman"/>
          <w:lang w:val="en-US" w:eastAsia="zh-CN"/>
        </w:rPr>
      </w:pPr>
      <w:r>
        <w:rPr>
          <w:rFonts w:hint="eastAsia" w:cs="Times New Roman"/>
          <w:lang w:val="en-US" w:eastAsia="zh-CN"/>
        </w:rPr>
        <w:t>其中，TP（True Positive）为真正例，指准确检测到目标且标注匹配的边界框；FP（False Positive）为假正例，指误将非目标判定为目标的边界框。</w:t>
      </w:r>
    </w:p>
    <w:p w14:paraId="48D25BA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召回率用于衡量模型对真实目标的覆盖能力，反映正确检测的目标占所有真实目标的比例，计算公式如（2）所示：</w:t>
      </w:r>
    </w:p>
    <w:p w14:paraId="19EF3AE0">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Recall=</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TP</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TP+FN</m:t>
            </m:r>
            <m:ctrlPr>
              <w:rPr>
                <w:rFonts w:hint="default" w:ascii="Cambria Math" w:hAnsi="Cambria Math" w:cs="Times New Roman"/>
                <w:i/>
                <w:kern w:val="2"/>
                <w:sz w:val="24"/>
                <w:szCs w:val="24"/>
                <w:lang w:val="en-US" w:eastAsia="zh-CN" w:bidi="ar-SA"/>
              </w:rPr>
            </m:ctrlPr>
          </m:den>
        </m:f>
      </m:oMath>
      <w:r>
        <w:rPr>
          <w:rFonts w:hint="eastAsia" w:hAnsi="Cambria Math" w:cs="Times New Roman"/>
          <w:i w:val="0"/>
          <w:kern w:val="2"/>
          <w:sz w:val="24"/>
          <w:szCs w:val="24"/>
          <w:lang w:val="en-US" w:eastAsia="zh-CN" w:bidi="ar-SA"/>
        </w:rPr>
        <w:t xml:space="preserve">                         （2）</w:t>
      </w:r>
    </w:p>
    <w:p w14:paraId="160A9EA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hAnsi="Cambria Math" w:cs="Times New Roman"/>
          <w:i w:val="0"/>
          <w:kern w:val="2"/>
          <w:sz w:val="24"/>
          <w:szCs w:val="24"/>
          <w:lang w:val="en-US" w:eastAsia="zh-CN" w:bidi="ar-SA"/>
        </w:rPr>
      </w:pPr>
      <w:r>
        <w:rPr>
          <w:rFonts w:hint="default" w:hAnsi="Cambria Math" w:cs="Times New Roman"/>
          <w:i w:val="0"/>
          <w:kern w:val="2"/>
          <w:sz w:val="24"/>
          <w:szCs w:val="24"/>
          <w:lang w:val="en-US" w:eastAsia="zh-CN" w:bidi="ar-SA"/>
        </w:rPr>
        <w:t>其中，FN（False Negative）为假负例，指真实存在目标但未被模型检测到。</w:t>
      </w:r>
    </w:p>
    <w:p w14:paraId="438CF0B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hAnsi="Cambria Math" w:cs="Times New Roman"/>
          <w:i w:val="0"/>
          <w:kern w:val="2"/>
          <w:sz w:val="24"/>
          <w:szCs w:val="24"/>
          <w:lang w:val="en-US" w:eastAsia="zh-CN" w:bidi="ar-SA"/>
        </w:rPr>
      </w:pPr>
      <w:r>
        <w:rPr>
          <w:rFonts w:hint="default" w:cs="Times New Roman"/>
          <w:lang w:val="en-US" w:eastAsia="zh-CN"/>
        </w:rPr>
        <w:t>平均精度是基于精确率</w:t>
      </w:r>
      <w:r>
        <w:rPr>
          <w:rFonts w:hint="eastAsia" w:cs="Times New Roman"/>
          <w:lang w:val="en-US" w:eastAsia="zh-CN"/>
        </w:rPr>
        <w:t>-</w:t>
      </w:r>
      <w:r>
        <w:rPr>
          <w:rFonts w:hint="default" w:cs="Times New Roman"/>
          <w:lang w:val="en-US" w:eastAsia="zh-CN"/>
        </w:rPr>
        <w:t>召回率（Precision-Recall）曲线的性能度量，通过计算该曲线下的积分面积量化单类目标的检测性能，计算公式如（3）所示：</w:t>
      </w:r>
    </w:p>
    <w:p w14:paraId="7B257FBF">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default" w:hAnsi="Cambria Math" w:eastAsia="宋体"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AP=</m:t>
        </m:r>
        <m:nary>
          <m:naryPr>
            <m:limLoc m:val="subSup"/>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0</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p>
          <m:e>
            <m:r>
              <m:rPr/>
              <w:rPr>
                <w:rFonts w:hint="default" w:ascii="Cambria Math" w:hAnsi="Cambria Math" w:cs="Times New Roman"/>
                <w:kern w:val="2"/>
                <w:sz w:val="24"/>
                <w:szCs w:val="24"/>
                <w:lang w:val="en-US" w:eastAsia="zh-CN" w:bidi="ar-SA"/>
              </w:rPr>
              <m:t>P(R)dR</m:t>
            </m:r>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（3）</w:t>
      </w:r>
    </w:p>
    <w:p w14:paraId="5041CB9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cs="Times New Roman"/>
          <w:lang w:val="en-US" w:eastAsia="zh-CN"/>
        </w:rPr>
      </w:pPr>
      <w:r>
        <w:rPr>
          <w:rFonts w:hint="default" w:cs="Times New Roman"/>
          <w:lang w:val="en-US" w:eastAsia="zh-CN"/>
        </w:rPr>
        <w:t>其中，P (R) 表示以召回率 R 为自变量的精确率函数，曲线积分结果越接近1，表明该类目标的检测性能越优。</w:t>
      </w:r>
    </w:p>
    <w:p w14:paraId="0F9A326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平均精度均值是所有目标类别的平均精度的算术平均值，用于综合评价模型对多类别目标的整体检测能力，计算公式如（4）所示：</w:t>
      </w:r>
    </w:p>
    <w:p w14:paraId="601158F0">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default" w:cs="Times New Roman"/>
          <w:lang w:val="en-US" w:eastAsia="zh-CN"/>
        </w:rPr>
      </w:pPr>
      <m:oMath>
        <m:r>
          <m:rPr/>
          <w:rPr>
            <w:rFonts w:hint="default" w:ascii="Cambria Math" w:hAnsi="Cambria Math" w:cs="Times New Roman"/>
            <w:kern w:val="2"/>
            <w:sz w:val="24"/>
            <w:szCs w:val="24"/>
            <w:lang w:val="en-US" w:eastAsia="zh-CN" w:bidi="ar-SA"/>
          </w:rPr>
          <m:t>mAP=</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den>
        </m:f>
        <m:nary>
          <m:naryPr>
            <m:chr m:val="∑"/>
            <m:limLoc m:val="undOvr"/>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p>
          <m:e>
            <m:r>
              <m:rPr/>
              <w:rPr>
                <w:rFonts w:hint="default" w:ascii="Cambria Math" w:hAnsi="Cambria Math" w:cs="Times New Roman"/>
                <w:kern w:val="2"/>
                <w:sz w:val="24"/>
                <w:szCs w:val="24"/>
                <w:lang w:val="en-US" w:eastAsia="zh-CN" w:bidi="ar-SA"/>
              </w:rPr>
              <m:t>A</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P</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（4）</w:t>
      </w:r>
    </w:p>
    <w:p w14:paraId="4DBC319D">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eastAsia="宋体" w:cs="Times New Roman"/>
          <w:lang w:val="en-US" w:eastAsia="zh-CN"/>
        </w:rPr>
      </w:pPr>
      <w:r>
        <w:rPr>
          <w:rFonts w:hint="default" w:cs="Times New Roman"/>
          <w:lang w:val="en-US" w:eastAsia="zh-CN"/>
        </w:rPr>
        <w:t>其中，K 为数据集中的目标类别总数，</w:t>
      </w:r>
      <m:oMath>
        <m:sSub>
          <m:sSubPr>
            <m:ctrlPr>
              <w:rPr>
                <w:rFonts w:ascii="Cambria Math" w:hAnsi="Cambria Math" w:cs="Times New Roman"/>
                <w:i/>
                <w:lang w:val="en-US"/>
              </w:rPr>
            </m:ctrlPr>
          </m:sSubPr>
          <m:e>
            <m:r>
              <m:rPr/>
              <w:rPr>
                <w:rFonts w:hint="default" w:ascii="Cambria Math" w:hAnsi="Cambria Math" w:cs="Times New Roman"/>
                <w:lang w:val="en-US" w:eastAsia="zh-CN"/>
              </w:rPr>
              <m:t>AP</m:t>
            </m:r>
            <m:ctrlPr>
              <w:rPr>
                <w:rFonts w:ascii="Cambria Math" w:hAnsi="Cambria Math" w:cs="Times New Roman"/>
                <w:i/>
                <w:lang w:val="en-US"/>
              </w:rPr>
            </m:ctrlPr>
          </m:e>
          <m:sub>
            <m:r>
              <m:rPr/>
              <w:rPr>
                <w:rFonts w:hint="default" w:ascii="Cambria Math" w:hAnsi="Cambria Math" w:cs="Times New Roman"/>
                <w:lang w:val="en-US" w:eastAsia="zh-CN"/>
              </w:rPr>
              <m:t>i</m:t>
            </m:r>
            <m:ctrlPr>
              <w:rPr>
                <w:rFonts w:ascii="Cambria Math" w:hAnsi="Cambria Math" w:cs="Times New Roman"/>
                <w:i/>
                <w:lang w:val="en-US"/>
              </w:rPr>
            </m:ctrlPr>
          </m:sub>
        </m:sSub>
      </m:oMath>
      <w:r>
        <w:rPr>
          <w:rFonts w:hint="eastAsia" w:hAnsi="Cambria Math" w:cs="Times New Roman"/>
          <w:i w:val="0"/>
          <w:lang w:val="en-US" w:eastAsia="zh-CN"/>
        </w:rPr>
        <w:t>为第 i 类目标的平均精度，mAP值越高说明模型的综合检测性能越稳定。</w:t>
      </w:r>
    </w:p>
    <w:p w14:paraId="772A346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cs="Times New Roman"/>
          <w:lang w:val="en-US" w:eastAsia="zh-CN"/>
        </w:rPr>
      </w:pPr>
      <w:r>
        <w:rPr>
          <w:rFonts w:hint="default" w:cs="Times New Roman"/>
          <w:lang w:val="en-US" w:eastAsia="zh-CN"/>
        </w:rPr>
        <w:t>帧率用于衡量模型的实时推理能力，指模型每秒能够处理的图像帧数。FPS 数值越高，表明模型推理速度越快，实时响应能力越强</w:t>
      </w:r>
      <w:r>
        <w:rPr>
          <w:rFonts w:hint="eastAsia" w:cs="Times New Roman"/>
          <w:lang w:val="en-US" w:eastAsia="zh-CN"/>
        </w:rPr>
        <w:t>。</w:t>
      </w:r>
    </w:p>
    <w:p w14:paraId="59751AF4">
      <w:pPr>
        <w:pStyle w:val="3"/>
        <w:bidi w:val="0"/>
        <w:rPr>
          <w:rFonts w:hint="eastAsia"/>
          <w:lang w:val="en-US" w:eastAsia="zh-CN"/>
        </w:rPr>
      </w:pPr>
      <w:r>
        <w:rPr>
          <w:rFonts w:hint="eastAsia"/>
          <w:lang w:val="en-US" w:eastAsia="zh-CN"/>
        </w:rPr>
        <w:t>4.4 消融实验</w:t>
      </w:r>
    </w:p>
    <w:p w14:paraId="5B1CE1C2">
      <w:pPr>
        <w:rPr>
          <w:rFonts w:hint="eastAsia"/>
          <w:lang w:val="en-US" w:eastAsia="zh-CN"/>
        </w:rPr>
      </w:pPr>
      <w:r>
        <w:rPr>
          <w:rFonts w:hint="eastAsia"/>
          <w:lang w:val="en-US" w:eastAsia="zh-CN"/>
        </w:rPr>
        <w:t>消融实验以YOLO12n为基线模型，通过逐步添加LDown、LSKC2f模块及 MSDA多尺度域适应策略，系统验证各模块的独立作用及协同优化效果。实验以Cityscapes数据集作为源域，RainCityscapes数据集作为目标域，并在RainCityscapes数据集上进行评估，结果如表3所示。</w:t>
      </w:r>
    </w:p>
    <w:p w14:paraId="1A54FA82">
      <w:pPr>
        <w:ind w:left="0" w:leftChars="0" w:firstLine="0" w:firstLineChars="0"/>
        <w:jc w:val="center"/>
        <w:rPr>
          <w:rFonts w:hint="eastAsia" w:ascii="Times New Roman" w:hAnsi="Times New Roman" w:eastAsia="宋体" w:cs="宋体"/>
          <w:sz w:val="22"/>
          <w:szCs w:val="22"/>
          <w:lang w:val="en-US" w:eastAsia="zh-CN"/>
        </w:rPr>
      </w:pPr>
      <w:r>
        <w:rPr>
          <w:rFonts w:hint="eastAsia" w:ascii="Times New Roman" w:hAnsi="Times New Roman" w:eastAsia="宋体" w:cs="宋体"/>
          <w:sz w:val="22"/>
          <w:szCs w:val="22"/>
          <w:lang w:val="en-US" w:eastAsia="zh-CN"/>
        </w:rPr>
        <w:t>表</w:t>
      </w:r>
      <w:r>
        <w:rPr>
          <w:rFonts w:hint="eastAsia" w:cs="宋体"/>
          <w:sz w:val="22"/>
          <w:szCs w:val="22"/>
          <w:lang w:val="en-US" w:eastAsia="zh-CN"/>
        </w:rPr>
        <w:t>3</w:t>
      </w:r>
      <w:r>
        <w:rPr>
          <w:rFonts w:hint="eastAsia" w:ascii="Times New Roman" w:hAnsi="Times New Roman" w:eastAsia="宋体" w:cs="宋体"/>
          <w:sz w:val="22"/>
          <w:szCs w:val="22"/>
          <w:lang w:val="en-US" w:eastAsia="zh-CN"/>
        </w:rPr>
        <w:t xml:space="preserve"> RainCity</w:t>
      </w:r>
      <w:r>
        <w:rPr>
          <w:rFonts w:hint="eastAsia" w:eastAsia="宋体" w:cs="宋体"/>
          <w:sz w:val="22"/>
          <w:szCs w:val="22"/>
          <w:lang w:val="en-US" w:eastAsia="zh-CN"/>
        </w:rPr>
        <w:t>s</w:t>
      </w:r>
      <w:r>
        <w:rPr>
          <w:rFonts w:hint="eastAsia" w:ascii="Times New Roman" w:hAnsi="Times New Roman" w:eastAsia="宋体" w:cs="宋体"/>
          <w:sz w:val="22"/>
          <w:szCs w:val="22"/>
          <w:lang w:val="en-US" w:eastAsia="zh-CN"/>
        </w:rPr>
        <w:t>capes数据集的消融测试结果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705"/>
        <w:gridCol w:w="756"/>
        <w:gridCol w:w="676"/>
        <w:gridCol w:w="932"/>
        <w:gridCol w:w="1003"/>
        <w:gridCol w:w="941"/>
        <w:gridCol w:w="1045"/>
        <w:gridCol w:w="543"/>
        <w:gridCol w:w="564"/>
        <w:gridCol w:w="543"/>
      </w:tblGrid>
      <w:tr w14:paraId="0B44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single" w:color="auto" w:sz="8" w:space="0"/>
              <w:left w:val="nil"/>
              <w:bottom w:val="single" w:color="auto" w:sz="8" w:space="0"/>
              <w:right w:val="nil"/>
            </w:tcBorders>
            <w:vAlign w:val="center"/>
          </w:tcPr>
          <w:p w14:paraId="1BDF854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Baseline</w:t>
            </w:r>
          </w:p>
        </w:tc>
        <w:tc>
          <w:tcPr>
            <w:tcW w:w="705" w:type="dxa"/>
            <w:tcBorders>
              <w:top w:val="single" w:color="auto" w:sz="8" w:space="0"/>
              <w:left w:val="nil"/>
              <w:bottom w:val="single" w:color="auto" w:sz="8" w:space="0"/>
              <w:right w:val="nil"/>
            </w:tcBorders>
            <w:vAlign w:val="center"/>
          </w:tcPr>
          <w:p w14:paraId="05A09FB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LDown</w:t>
            </w:r>
          </w:p>
        </w:tc>
        <w:tc>
          <w:tcPr>
            <w:tcW w:w="756" w:type="dxa"/>
            <w:tcBorders>
              <w:top w:val="single" w:color="auto" w:sz="8" w:space="0"/>
              <w:left w:val="nil"/>
              <w:bottom w:val="single" w:color="auto" w:sz="8" w:space="0"/>
              <w:right w:val="nil"/>
            </w:tcBorders>
            <w:vAlign w:val="center"/>
          </w:tcPr>
          <w:p w14:paraId="4BFB58B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LSKC2f</w:t>
            </w:r>
          </w:p>
        </w:tc>
        <w:tc>
          <w:tcPr>
            <w:tcW w:w="676" w:type="dxa"/>
            <w:tcBorders>
              <w:top w:val="single" w:color="auto" w:sz="8" w:space="0"/>
              <w:left w:val="nil"/>
              <w:bottom w:val="single" w:color="auto" w:sz="8" w:space="0"/>
              <w:right w:val="nil"/>
            </w:tcBorders>
            <w:vAlign w:val="center"/>
          </w:tcPr>
          <w:p w14:paraId="0526EB9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MSDA</w:t>
            </w:r>
          </w:p>
        </w:tc>
        <w:tc>
          <w:tcPr>
            <w:tcW w:w="932" w:type="dxa"/>
            <w:tcBorders>
              <w:top w:val="single" w:color="auto" w:sz="8" w:space="0"/>
              <w:left w:val="nil"/>
              <w:bottom w:val="single" w:color="auto" w:sz="8" w:space="0"/>
              <w:right w:val="nil"/>
            </w:tcBorders>
            <w:vAlign w:val="center"/>
          </w:tcPr>
          <w:p w14:paraId="1098F85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Params(M)</w:t>
            </w:r>
          </w:p>
        </w:tc>
        <w:tc>
          <w:tcPr>
            <w:tcW w:w="1003" w:type="dxa"/>
            <w:tcBorders>
              <w:top w:val="single" w:color="auto" w:sz="8" w:space="0"/>
              <w:left w:val="nil"/>
              <w:bottom w:val="single" w:color="auto" w:sz="8" w:space="0"/>
              <w:right w:val="nil"/>
            </w:tcBorders>
            <w:vAlign w:val="center"/>
          </w:tcPr>
          <w:p w14:paraId="6A03C1A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GFLOPs(G)</w:t>
            </w:r>
          </w:p>
        </w:tc>
        <w:tc>
          <w:tcPr>
            <w:tcW w:w="941" w:type="dxa"/>
            <w:tcBorders>
              <w:top w:val="single" w:color="auto" w:sz="8" w:space="0"/>
              <w:left w:val="nil"/>
              <w:bottom w:val="single" w:color="auto" w:sz="8" w:space="0"/>
              <w:right w:val="nil"/>
            </w:tcBorders>
            <w:vAlign w:val="center"/>
          </w:tcPr>
          <w:p w14:paraId="4CC9AEA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m:oMath>
              <m:sSub>
                <m:sSubPr>
                  <m:ctrlPr>
                    <w:rPr>
                      <w:rFonts w:hint="eastAsia" w:ascii="Cambria Math" w:hAnsi="Cambria Math" w:cs="Times New Roman"/>
                      <w:i w:val="0"/>
                      <w:kern w:val="2"/>
                      <w:sz w:val="15"/>
                      <w:szCs w:val="15"/>
                      <w:vertAlign w:val="baseline"/>
                      <w:lang w:val="en-US" w:eastAsia="zh-CN" w:bidi="ar-SA"/>
                    </w:rPr>
                  </m:ctrlPr>
                </m:sSubPr>
                <m:e>
                  <m:r>
                    <m:rPr>
                      <m:sty m:val="p"/>
                    </m:rPr>
                    <w:rPr>
                      <w:rFonts w:hint="eastAsia" w:ascii="Cambria Math" w:hAnsi="Cambria Math" w:cs="Times New Roman"/>
                      <w:kern w:val="2"/>
                      <w:sz w:val="15"/>
                      <w:szCs w:val="15"/>
                      <w:vertAlign w:val="baseline"/>
                      <w:lang w:val="en-US" w:eastAsia="zh-CN" w:bidi="ar-SA"/>
                    </w:rPr>
                    <m:t>mAP</m:t>
                  </m:r>
                  <m:ctrlPr>
                    <w:rPr>
                      <w:rFonts w:hint="eastAsia" w:ascii="Cambria Math" w:hAnsi="Cambria Math" w:cs="Times New Roman"/>
                      <w:i w:val="0"/>
                      <w:kern w:val="2"/>
                      <w:sz w:val="15"/>
                      <w:szCs w:val="15"/>
                      <w:vertAlign w:val="baseline"/>
                      <w:lang w:val="en-US" w:eastAsia="zh-CN" w:bidi="ar-SA"/>
                    </w:rPr>
                  </m:ctrlPr>
                </m:e>
                <m:sub>
                  <m:r>
                    <m:rPr>
                      <m:sty m:val="p"/>
                    </m:rPr>
                    <w:rPr>
                      <w:rFonts w:hint="eastAsia" w:ascii="Cambria Math" w:hAnsi="Cambria Math" w:cs="Times New Roman"/>
                      <w:kern w:val="2"/>
                      <w:sz w:val="15"/>
                      <w:szCs w:val="15"/>
                      <w:vertAlign w:val="baseline"/>
                      <w:lang w:val="en-US" w:eastAsia="zh-CN" w:bidi="ar-SA"/>
                    </w:rPr>
                    <m:t>50</m:t>
                  </m:r>
                  <m:ctrlPr>
                    <w:rPr>
                      <w:rFonts w:hint="eastAsia" w:ascii="Cambria Math" w:hAnsi="Cambria Math" w:cs="Times New Roman"/>
                      <w:i w:val="0"/>
                      <w:kern w:val="2"/>
                      <w:sz w:val="15"/>
                      <w:szCs w:val="15"/>
                      <w:vertAlign w:val="baseline"/>
                      <w:lang w:val="en-US" w:eastAsia="zh-CN" w:bidi="ar-SA"/>
                    </w:rPr>
                  </m:ctrlPr>
                </m:sub>
              </m:sSub>
            </m:oMath>
            <w:r>
              <w:rPr>
                <w:rFonts w:hint="eastAsia" w:cs="Times New Roman"/>
                <w:sz w:val="15"/>
                <w:szCs w:val="15"/>
                <w:vertAlign w:val="baseline"/>
                <w:lang w:val="en-US" w:eastAsia="zh-CN"/>
              </w:rPr>
              <w:t>(%)</w:t>
            </w:r>
          </w:p>
        </w:tc>
        <w:tc>
          <w:tcPr>
            <w:tcW w:w="1045" w:type="dxa"/>
            <w:tcBorders>
              <w:top w:val="single" w:color="auto" w:sz="8" w:space="0"/>
              <w:left w:val="nil"/>
              <w:bottom w:val="single" w:color="auto" w:sz="8" w:space="0"/>
              <w:right w:val="nil"/>
            </w:tcBorders>
            <w:vAlign w:val="center"/>
          </w:tcPr>
          <w:p w14:paraId="2C4924D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m:oMath>
              <m:sSub>
                <m:sSubPr>
                  <m:ctrlPr>
                    <w:rPr>
                      <w:rFonts w:ascii="Cambria Math" w:hAnsi="Cambria Math" w:cs="Times New Roman"/>
                      <w:i/>
                      <w:sz w:val="15"/>
                      <w:szCs w:val="15"/>
                      <w:vertAlign w:val="baseline"/>
                      <w:lang w:val="en-US"/>
                    </w:rPr>
                  </m:ctrlPr>
                </m:sSubPr>
                <m:e>
                  <m:r>
                    <m:rPr/>
                    <w:rPr>
                      <w:rFonts w:hint="default" w:ascii="Cambria Math" w:hAnsi="Cambria Math" w:cs="Times New Roman"/>
                      <w:sz w:val="15"/>
                      <w:szCs w:val="15"/>
                      <w:vertAlign w:val="baseline"/>
                      <w:lang w:val="en-US" w:eastAsia="zh-CN"/>
                    </w:rPr>
                    <m:t>mAP</m:t>
                  </m:r>
                  <m:ctrlPr>
                    <w:rPr>
                      <w:rFonts w:ascii="Cambria Math" w:hAnsi="Cambria Math" w:cs="Times New Roman"/>
                      <w:i/>
                      <w:sz w:val="15"/>
                      <w:szCs w:val="15"/>
                      <w:vertAlign w:val="baseline"/>
                      <w:lang w:val="en-US"/>
                    </w:rPr>
                  </m:ctrlPr>
                </m:e>
                <m:sub>
                  <m:r>
                    <m:rPr/>
                    <w:rPr>
                      <w:rFonts w:hint="default" w:ascii="Cambria Math" w:hAnsi="Cambria Math" w:cs="Times New Roman"/>
                      <w:sz w:val="15"/>
                      <w:szCs w:val="15"/>
                      <w:vertAlign w:val="baseline"/>
                      <w:lang w:val="en-US" w:eastAsia="zh-CN"/>
                    </w:rPr>
                    <m:t>50:95</m:t>
                  </m:r>
                  <m:ctrlPr>
                    <w:rPr>
                      <w:rFonts w:ascii="Cambria Math" w:hAnsi="Cambria Math" w:cs="Times New Roman"/>
                      <w:i/>
                      <w:sz w:val="15"/>
                      <w:szCs w:val="15"/>
                      <w:vertAlign w:val="baseline"/>
                      <w:lang w:val="en-US"/>
                    </w:rPr>
                  </m:ctrlPr>
                </m:sub>
              </m:sSub>
            </m:oMath>
            <w:r>
              <w:rPr>
                <w:rFonts w:hint="eastAsia" w:cs="Times New Roman"/>
                <w:sz w:val="15"/>
                <w:szCs w:val="15"/>
                <w:vertAlign w:val="baseline"/>
                <w:lang w:val="en-US" w:eastAsia="zh-CN"/>
              </w:rPr>
              <w:t>(%)</w:t>
            </w:r>
          </w:p>
        </w:tc>
        <w:tc>
          <w:tcPr>
            <w:tcW w:w="543" w:type="dxa"/>
            <w:tcBorders>
              <w:top w:val="single" w:color="auto" w:sz="8" w:space="0"/>
              <w:left w:val="nil"/>
              <w:bottom w:val="single" w:color="auto" w:sz="8" w:space="0"/>
              <w:right w:val="nil"/>
            </w:tcBorders>
            <w:vAlign w:val="center"/>
          </w:tcPr>
          <w:p w14:paraId="41C6676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P(%)</w:t>
            </w:r>
          </w:p>
        </w:tc>
        <w:tc>
          <w:tcPr>
            <w:tcW w:w="564" w:type="dxa"/>
            <w:tcBorders>
              <w:top w:val="single" w:color="auto" w:sz="8" w:space="0"/>
              <w:left w:val="nil"/>
              <w:bottom w:val="single" w:color="auto" w:sz="8" w:space="0"/>
              <w:right w:val="nil"/>
            </w:tcBorders>
            <w:vAlign w:val="center"/>
          </w:tcPr>
          <w:p w14:paraId="0008377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R(%)</w:t>
            </w:r>
          </w:p>
        </w:tc>
        <w:tc>
          <w:tcPr>
            <w:tcW w:w="543" w:type="dxa"/>
            <w:tcBorders>
              <w:top w:val="single" w:color="auto" w:sz="8" w:space="0"/>
              <w:left w:val="nil"/>
              <w:bottom w:val="single" w:color="auto" w:sz="8" w:space="0"/>
              <w:right w:val="nil"/>
            </w:tcBorders>
            <w:vAlign w:val="center"/>
          </w:tcPr>
          <w:p w14:paraId="731F69C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5"/>
                <w:szCs w:val="15"/>
                <w:vertAlign w:val="baseline"/>
                <w:lang w:val="en-US" w:eastAsia="zh-CN"/>
              </w:rPr>
            </w:pPr>
            <w:r>
              <w:rPr>
                <w:rFonts w:hint="eastAsia" w:cs="Times New Roman"/>
                <w:sz w:val="15"/>
                <w:szCs w:val="15"/>
                <w:vertAlign w:val="baseline"/>
                <w:lang w:val="en-US" w:eastAsia="zh-CN"/>
              </w:rPr>
              <w:t>FPS</w:t>
            </w:r>
          </w:p>
        </w:tc>
      </w:tr>
      <w:tr w14:paraId="212B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single" w:color="auto" w:sz="8" w:space="0"/>
              <w:left w:val="nil"/>
              <w:bottom w:val="nil"/>
              <w:right w:val="nil"/>
            </w:tcBorders>
            <w:vAlign w:val="center"/>
          </w:tcPr>
          <w:p w14:paraId="3287361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YOLO12n</w:t>
            </w:r>
          </w:p>
        </w:tc>
        <w:tc>
          <w:tcPr>
            <w:tcW w:w="705" w:type="dxa"/>
            <w:tcBorders>
              <w:top w:val="single" w:color="auto" w:sz="8" w:space="0"/>
              <w:left w:val="nil"/>
              <w:bottom w:val="nil"/>
              <w:right w:val="nil"/>
            </w:tcBorders>
            <w:vAlign w:val="center"/>
          </w:tcPr>
          <w:p w14:paraId="56E35A0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56" w:type="dxa"/>
            <w:tcBorders>
              <w:top w:val="single" w:color="auto" w:sz="8" w:space="0"/>
              <w:left w:val="nil"/>
              <w:bottom w:val="nil"/>
              <w:right w:val="nil"/>
            </w:tcBorders>
            <w:vAlign w:val="center"/>
          </w:tcPr>
          <w:p w14:paraId="5DA71E8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676" w:type="dxa"/>
            <w:tcBorders>
              <w:top w:val="single" w:color="auto" w:sz="8" w:space="0"/>
              <w:left w:val="nil"/>
              <w:bottom w:val="nil"/>
              <w:right w:val="nil"/>
            </w:tcBorders>
            <w:vAlign w:val="center"/>
          </w:tcPr>
          <w:p w14:paraId="09C6B02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932" w:type="dxa"/>
            <w:tcBorders>
              <w:top w:val="single" w:color="auto" w:sz="8" w:space="0"/>
              <w:left w:val="nil"/>
              <w:bottom w:val="nil"/>
              <w:right w:val="nil"/>
            </w:tcBorders>
            <w:vAlign w:val="center"/>
          </w:tcPr>
          <w:p w14:paraId="103F289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2.44</w:t>
            </w:r>
          </w:p>
        </w:tc>
        <w:tc>
          <w:tcPr>
            <w:tcW w:w="1003" w:type="dxa"/>
            <w:tcBorders>
              <w:top w:val="single" w:color="auto" w:sz="8" w:space="0"/>
              <w:left w:val="nil"/>
              <w:bottom w:val="nil"/>
              <w:right w:val="nil"/>
            </w:tcBorders>
            <w:vAlign w:val="center"/>
          </w:tcPr>
          <w:p w14:paraId="7E0D349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6.3</w:t>
            </w:r>
          </w:p>
        </w:tc>
        <w:tc>
          <w:tcPr>
            <w:tcW w:w="941" w:type="dxa"/>
            <w:tcBorders>
              <w:top w:val="single" w:color="auto" w:sz="8" w:space="0"/>
              <w:left w:val="nil"/>
              <w:bottom w:val="nil"/>
              <w:right w:val="nil"/>
            </w:tcBorders>
            <w:vAlign w:val="center"/>
          </w:tcPr>
          <w:p w14:paraId="0B2A4B0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0.324</w:t>
            </w:r>
          </w:p>
        </w:tc>
        <w:tc>
          <w:tcPr>
            <w:tcW w:w="1045" w:type="dxa"/>
            <w:tcBorders>
              <w:top w:val="single" w:color="auto" w:sz="8" w:space="0"/>
              <w:left w:val="nil"/>
              <w:bottom w:val="nil"/>
              <w:right w:val="nil"/>
            </w:tcBorders>
            <w:vAlign w:val="center"/>
          </w:tcPr>
          <w:p w14:paraId="1BC5804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0.177</w:t>
            </w:r>
          </w:p>
        </w:tc>
        <w:tc>
          <w:tcPr>
            <w:tcW w:w="543" w:type="dxa"/>
            <w:tcBorders>
              <w:top w:val="single" w:color="auto" w:sz="8" w:space="0"/>
              <w:left w:val="nil"/>
              <w:bottom w:val="nil"/>
              <w:right w:val="nil"/>
            </w:tcBorders>
            <w:vAlign w:val="center"/>
          </w:tcPr>
          <w:p w14:paraId="57333A5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0.49</w:t>
            </w:r>
          </w:p>
        </w:tc>
        <w:tc>
          <w:tcPr>
            <w:tcW w:w="564" w:type="dxa"/>
            <w:tcBorders>
              <w:top w:val="single" w:color="auto" w:sz="8" w:space="0"/>
              <w:left w:val="nil"/>
              <w:bottom w:val="nil"/>
              <w:right w:val="nil"/>
            </w:tcBorders>
            <w:vAlign w:val="center"/>
          </w:tcPr>
          <w:p w14:paraId="0F5C783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0.324</w:t>
            </w:r>
          </w:p>
        </w:tc>
        <w:tc>
          <w:tcPr>
            <w:tcW w:w="543" w:type="dxa"/>
            <w:tcBorders>
              <w:top w:val="single" w:color="auto" w:sz="8" w:space="0"/>
              <w:left w:val="nil"/>
              <w:bottom w:val="nil"/>
              <w:right w:val="nil"/>
            </w:tcBorders>
            <w:vAlign w:val="center"/>
          </w:tcPr>
          <w:p w14:paraId="4B50DAC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113.5</w:t>
            </w:r>
          </w:p>
        </w:tc>
      </w:tr>
      <w:tr w14:paraId="6F16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nil"/>
              <w:right w:val="nil"/>
            </w:tcBorders>
            <w:vAlign w:val="center"/>
          </w:tcPr>
          <w:p w14:paraId="6A3C8B2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nil"/>
              <w:right w:val="nil"/>
            </w:tcBorders>
            <w:vAlign w:val="center"/>
          </w:tcPr>
          <w:p w14:paraId="5422794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b/>
                <w:bCs/>
                <w:sz w:val="13"/>
                <w:szCs w:val="13"/>
                <w:vertAlign w:val="baseline"/>
                <w:lang w:val="en-US" w:eastAsia="zh-CN"/>
              </w:rPr>
            </w:pPr>
            <w:r>
              <w:rPr>
                <w:rFonts w:hint="default" w:ascii="Arial" w:hAnsi="Arial" w:cs="Arial"/>
                <w:b/>
                <w:bCs/>
                <w:sz w:val="13"/>
                <w:szCs w:val="13"/>
                <w:vertAlign w:val="baseline"/>
                <w:lang w:val="en-US" w:eastAsia="zh-CN"/>
              </w:rPr>
              <w:t>√</w:t>
            </w:r>
          </w:p>
        </w:tc>
        <w:tc>
          <w:tcPr>
            <w:tcW w:w="756" w:type="dxa"/>
            <w:tcBorders>
              <w:top w:val="nil"/>
              <w:left w:val="nil"/>
              <w:bottom w:val="nil"/>
              <w:right w:val="nil"/>
            </w:tcBorders>
            <w:vAlign w:val="center"/>
          </w:tcPr>
          <w:p w14:paraId="6BA51C5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676" w:type="dxa"/>
            <w:tcBorders>
              <w:top w:val="nil"/>
              <w:left w:val="nil"/>
              <w:bottom w:val="nil"/>
              <w:right w:val="nil"/>
            </w:tcBorders>
            <w:vAlign w:val="center"/>
          </w:tcPr>
          <w:p w14:paraId="796D747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932" w:type="dxa"/>
            <w:tcBorders>
              <w:top w:val="nil"/>
              <w:left w:val="nil"/>
              <w:bottom w:val="nil"/>
              <w:right w:val="nil"/>
            </w:tcBorders>
            <w:vAlign w:val="center"/>
          </w:tcPr>
          <w:p w14:paraId="48A0A26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1.89</w:t>
            </w:r>
          </w:p>
        </w:tc>
        <w:tc>
          <w:tcPr>
            <w:tcW w:w="1003" w:type="dxa"/>
            <w:tcBorders>
              <w:top w:val="nil"/>
              <w:left w:val="nil"/>
              <w:bottom w:val="nil"/>
              <w:right w:val="nil"/>
            </w:tcBorders>
            <w:vAlign w:val="center"/>
          </w:tcPr>
          <w:p w14:paraId="23C15F6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5.7</w:t>
            </w:r>
          </w:p>
        </w:tc>
        <w:tc>
          <w:tcPr>
            <w:tcW w:w="941" w:type="dxa"/>
            <w:tcBorders>
              <w:top w:val="nil"/>
              <w:left w:val="nil"/>
              <w:bottom w:val="nil"/>
              <w:right w:val="nil"/>
            </w:tcBorders>
            <w:vAlign w:val="center"/>
          </w:tcPr>
          <w:p w14:paraId="24FF499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0.348</w:t>
            </w:r>
          </w:p>
        </w:tc>
        <w:tc>
          <w:tcPr>
            <w:tcW w:w="1045" w:type="dxa"/>
            <w:tcBorders>
              <w:top w:val="nil"/>
              <w:left w:val="nil"/>
              <w:bottom w:val="nil"/>
              <w:right w:val="nil"/>
            </w:tcBorders>
            <w:vAlign w:val="center"/>
          </w:tcPr>
          <w:p w14:paraId="636E021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0.192</w:t>
            </w:r>
          </w:p>
        </w:tc>
        <w:tc>
          <w:tcPr>
            <w:tcW w:w="543" w:type="dxa"/>
            <w:tcBorders>
              <w:top w:val="nil"/>
              <w:left w:val="nil"/>
              <w:bottom w:val="nil"/>
              <w:right w:val="nil"/>
            </w:tcBorders>
            <w:vAlign w:val="center"/>
          </w:tcPr>
          <w:p w14:paraId="44587E1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0.478</w:t>
            </w:r>
          </w:p>
        </w:tc>
        <w:tc>
          <w:tcPr>
            <w:tcW w:w="564" w:type="dxa"/>
            <w:tcBorders>
              <w:top w:val="nil"/>
              <w:left w:val="nil"/>
              <w:bottom w:val="nil"/>
              <w:right w:val="nil"/>
            </w:tcBorders>
            <w:vAlign w:val="center"/>
          </w:tcPr>
          <w:p w14:paraId="10F8C07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0.343</w:t>
            </w:r>
          </w:p>
        </w:tc>
        <w:tc>
          <w:tcPr>
            <w:tcW w:w="543" w:type="dxa"/>
            <w:tcBorders>
              <w:top w:val="nil"/>
              <w:left w:val="nil"/>
              <w:bottom w:val="nil"/>
              <w:right w:val="nil"/>
            </w:tcBorders>
            <w:vAlign w:val="center"/>
          </w:tcPr>
          <w:p w14:paraId="0C7DC70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129.9</w:t>
            </w:r>
          </w:p>
        </w:tc>
      </w:tr>
      <w:tr w14:paraId="51BD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nil"/>
              <w:right w:val="nil"/>
            </w:tcBorders>
            <w:vAlign w:val="center"/>
          </w:tcPr>
          <w:p w14:paraId="3924BE3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nil"/>
              <w:right w:val="nil"/>
            </w:tcBorders>
            <w:vAlign w:val="center"/>
          </w:tcPr>
          <w:p w14:paraId="03AD1D8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756" w:type="dxa"/>
            <w:tcBorders>
              <w:top w:val="nil"/>
              <w:left w:val="nil"/>
              <w:bottom w:val="nil"/>
              <w:right w:val="nil"/>
            </w:tcBorders>
            <w:vAlign w:val="center"/>
          </w:tcPr>
          <w:p w14:paraId="07079D8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r>
              <w:rPr>
                <w:rFonts w:hint="default" w:ascii="Arial" w:hAnsi="Arial" w:cs="Arial"/>
                <w:b/>
                <w:bCs/>
                <w:sz w:val="13"/>
                <w:szCs w:val="13"/>
                <w:vertAlign w:val="baseline"/>
                <w:lang w:val="en-US" w:eastAsia="zh-CN"/>
              </w:rPr>
              <w:t>√</w:t>
            </w:r>
          </w:p>
        </w:tc>
        <w:tc>
          <w:tcPr>
            <w:tcW w:w="676" w:type="dxa"/>
            <w:tcBorders>
              <w:top w:val="nil"/>
              <w:left w:val="nil"/>
              <w:bottom w:val="nil"/>
              <w:right w:val="nil"/>
            </w:tcBorders>
            <w:vAlign w:val="center"/>
          </w:tcPr>
          <w:p w14:paraId="6CB4309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932" w:type="dxa"/>
            <w:tcBorders>
              <w:top w:val="nil"/>
              <w:left w:val="nil"/>
              <w:bottom w:val="nil"/>
              <w:right w:val="nil"/>
            </w:tcBorders>
            <w:vAlign w:val="center"/>
          </w:tcPr>
          <w:p w14:paraId="2A474B4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2.08</w:t>
            </w:r>
          </w:p>
        </w:tc>
        <w:tc>
          <w:tcPr>
            <w:tcW w:w="1003" w:type="dxa"/>
            <w:tcBorders>
              <w:top w:val="nil"/>
              <w:left w:val="nil"/>
              <w:bottom w:val="nil"/>
              <w:right w:val="nil"/>
            </w:tcBorders>
            <w:vAlign w:val="center"/>
          </w:tcPr>
          <w:p w14:paraId="15744A3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5.8</w:t>
            </w:r>
          </w:p>
        </w:tc>
        <w:tc>
          <w:tcPr>
            <w:tcW w:w="941" w:type="dxa"/>
            <w:tcBorders>
              <w:top w:val="nil"/>
              <w:left w:val="nil"/>
              <w:bottom w:val="nil"/>
              <w:right w:val="nil"/>
            </w:tcBorders>
            <w:vAlign w:val="center"/>
          </w:tcPr>
          <w:p w14:paraId="1CC125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0.358</w:t>
            </w:r>
          </w:p>
        </w:tc>
        <w:tc>
          <w:tcPr>
            <w:tcW w:w="1045" w:type="dxa"/>
            <w:tcBorders>
              <w:top w:val="nil"/>
              <w:left w:val="nil"/>
              <w:bottom w:val="nil"/>
              <w:right w:val="nil"/>
            </w:tcBorders>
            <w:vAlign w:val="center"/>
          </w:tcPr>
          <w:p w14:paraId="32D2EC7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0.197</w:t>
            </w:r>
          </w:p>
        </w:tc>
        <w:tc>
          <w:tcPr>
            <w:tcW w:w="543" w:type="dxa"/>
            <w:tcBorders>
              <w:top w:val="nil"/>
              <w:left w:val="nil"/>
              <w:bottom w:val="nil"/>
              <w:right w:val="nil"/>
            </w:tcBorders>
            <w:vAlign w:val="center"/>
          </w:tcPr>
          <w:p w14:paraId="13CACD5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0.499</w:t>
            </w:r>
          </w:p>
        </w:tc>
        <w:tc>
          <w:tcPr>
            <w:tcW w:w="564" w:type="dxa"/>
            <w:tcBorders>
              <w:top w:val="nil"/>
              <w:left w:val="nil"/>
              <w:bottom w:val="nil"/>
              <w:right w:val="nil"/>
            </w:tcBorders>
            <w:vAlign w:val="center"/>
          </w:tcPr>
          <w:p w14:paraId="3DF4C36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0.346</w:t>
            </w:r>
          </w:p>
        </w:tc>
        <w:tc>
          <w:tcPr>
            <w:tcW w:w="543" w:type="dxa"/>
            <w:tcBorders>
              <w:top w:val="nil"/>
              <w:left w:val="nil"/>
              <w:bottom w:val="nil"/>
              <w:right w:val="nil"/>
            </w:tcBorders>
            <w:vAlign w:val="center"/>
          </w:tcPr>
          <w:p w14:paraId="11CC170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133.5</w:t>
            </w:r>
          </w:p>
        </w:tc>
      </w:tr>
      <w:tr w14:paraId="11DE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nil"/>
              <w:right w:val="nil"/>
            </w:tcBorders>
            <w:vAlign w:val="center"/>
          </w:tcPr>
          <w:p w14:paraId="2E0F969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nil"/>
              <w:right w:val="nil"/>
            </w:tcBorders>
            <w:vAlign w:val="center"/>
          </w:tcPr>
          <w:p w14:paraId="35568ED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756" w:type="dxa"/>
            <w:tcBorders>
              <w:top w:val="nil"/>
              <w:left w:val="nil"/>
              <w:bottom w:val="nil"/>
              <w:right w:val="nil"/>
            </w:tcBorders>
            <w:vAlign w:val="center"/>
          </w:tcPr>
          <w:p w14:paraId="1AAB52B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p>
        </w:tc>
        <w:tc>
          <w:tcPr>
            <w:tcW w:w="676" w:type="dxa"/>
            <w:tcBorders>
              <w:top w:val="nil"/>
              <w:left w:val="nil"/>
              <w:bottom w:val="nil"/>
              <w:right w:val="nil"/>
            </w:tcBorders>
            <w:vAlign w:val="center"/>
          </w:tcPr>
          <w:p w14:paraId="1C07B93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b/>
                <w:bCs/>
                <w:sz w:val="13"/>
                <w:szCs w:val="13"/>
                <w:vertAlign w:val="baseline"/>
                <w:lang w:val="en-US" w:eastAsia="zh-CN"/>
              </w:rPr>
            </w:pPr>
            <w:r>
              <w:rPr>
                <w:rFonts w:hint="default" w:ascii="Arial" w:hAnsi="Arial" w:cs="Arial"/>
                <w:b/>
                <w:bCs/>
                <w:sz w:val="13"/>
                <w:szCs w:val="13"/>
                <w:vertAlign w:val="baseline"/>
                <w:lang w:val="en-US" w:eastAsia="zh-CN"/>
              </w:rPr>
              <w:t>√</w:t>
            </w:r>
          </w:p>
        </w:tc>
        <w:tc>
          <w:tcPr>
            <w:tcW w:w="932" w:type="dxa"/>
            <w:tcBorders>
              <w:top w:val="nil"/>
              <w:left w:val="nil"/>
              <w:bottom w:val="nil"/>
              <w:right w:val="nil"/>
            </w:tcBorders>
            <w:vAlign w:val="center"/>
          </w:tcPr>
          <w:p w14:paraId="61DAA0A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eastAsia" w:cs="Times New Roman"/>
                <w:sz w:val="13"/>
                <w:szCs w:val="13"/>
                <w:vertAlign w:val="baseline"/>
                <w:lang w:val="en-US" w:eastAsia="zh-CN"/>
              </w:rPr>
              <w:t>2.44</w:t>
            </w:r>
          </w:p>
        </w:tc>
        <w:tc>
          <w:tcPr>
            <w:tcW w:w="1003" w:type="dxa"/>
            <w:tcBorders>
              <w:top w:val="nil"/>
              <w:left w:val="nil"/>
              <w:bottom w:val="nil"/>
              <w:right w:val="nil"/>
            </w:tcBorders>
            <w:vAlign w:val="center"/>
          </w:tcPr>
          <w:p w14:paraId="46C88E5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6.3</w:t>
            </w:r>
          </w:p>
        </w:tc>
        <w:tc>
          <w:tcPr>
            <w:tcW w:w="941" w:type="dxa"/>
            <w:tcBorders>
              <w:top w:val="nil"/>
              <w:left w:val="nil"/>
              <w:bottom w:val="nil"/>
              <w:right w:val="nil"/>
            </w:tcBorders>
            <w:vAlign w:val="center"/>
          </w:tcPr>
          <w:p w14:paraId="14B7268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0.373</w:t>
            </w:r>
          </w:p>
        </w:tc>
        <w:tc>
          <w:tcPr>
            <w:tcW w:w="1045" w:type="dxa"/>
            <w:tcBorders>
              <w:top w:val="nil"/>
              <w:left w:val="nil"/>
              <w:bottom w:val="nil"/>
              <w:right w:val="nil"/>
            </w:tcBorders>
            <w:vAlign w:val="center"/>
          </w:tcPr>
          <w:p w14:paraId="70AD2E8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0.203</w:t>
            </w:r>
          </w:p>
        </w:tc>
        <w:tc>
          <w:tcPr>
            <w:tcW w:w="543" w:type="dxa"/>
            <w:tcBorders>
              <w:top w:val="nil"/>
              <w:left w:val="nil"/>
              <w:bottom w:val="nil"/>
              <w:right w:val="nil"/>
            </w:tcBorders>
            <w:vAlign w:val="center"/>
          </w:tcPr>
          <w:p w14:paraId="621103C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0.602</w:t>
            </w:r>
          </w:p>
        </w:tc>
        <w:tc>
          <w:tcPr>
            <w:tcW w:w="564" w:type="dxa"/>
            <w:tcBorders>
              <w:top w:val="nil"/>
              <w:left w:val="nil"/>
              <w:bottom w:val="nil"/>
              <w:right w:val="nil"/>
            </w:tcBorders>
            <w:vAlign w:val="center"/>
          </w:tcPr>
          <w:p w14:paraId="1C41C87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0.336</w:t>
            </w:r>
          </w:p>
        </w:tc>
        <w:tc>
          <w:tcPr>
            <w:tcW w:w="543" w:type="dxa"/>
            <w:tcBorders>
              <w:top w:val="nil"/>
              <w:left w:val="nil"/>
              <w:bottom w:val="nil"/>
              <w:right w:val="nil"/>
            </w:tcBorders>
            <w:vAlign w:val="center"/>
          </w:tcPr>
          <w:p w14:paraId="07FCAAA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121</w:t>
            </w:r>
          </w:p>
        </w:tc>
      </w:tr>
      <w:tr w14:paraId="16A6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Borders>
              <w:top w:val="nil"/>
              <w:left w:val="nil"/>
              <w:bottom w:val="single" w:color="auto" w:sz="8" w:space="0"/>
              <w:right w:val="nil"/>
            </w:tcBorders>
            <w:vAlign w:val="center"/>
          </w:tcPr>
          <w:p w14:paraId="51764A2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p>
        </w:tc>
        <w:tc>
          <w:tcPr>
            <w:tcW w:w="705" w:type="dxa"/>
            <w:tcBorders>
              <w:top w:val="nil"/>
              <w:left w:val="nil"/>
              <w:bottom w:val="single" w:color="auto" w:sz="8" w:space="0"/>
              <w:right w:val="nil"/>
            </w:tcBorders>
            <w:vAlign w:val="center"/>
          </w:tcPr>
          <w:p w14:paraId="391B90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default" w:ascii="Arial" w:hAnsi="Arial" w:cs="Arial"/>
                <w:sz w:val="13"/>
                <w:szCs w:val="13"/>
                <w:vertAlign w:val="baseline"/>
                <w:lang w:val="en-US" w:eastAsia="zh-CN"/>
              </w:rPr>
              <w:t>√</w:t>
            </w:r>
          </w:p>
        </w:tc>
        <w:tc>
          <w:tcPr>
            <w:tcW w:w="756" w:type="dxa"/>
            <w:tcBorders>
              <w:top w:val="nil"/>
              <w:left w:val="nil"/>
              <w:bottom w:val="single" w:color="auto" w:sz="8" w:space="0"/>
              <w:right w:val="nil"/>
            </w:tcBorders>
            <w:vAlign w:val="center"/>
          </w:tcPr>
          <w:p w14:paraId="24FAFE2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default" w:ascii="Arial" w:hAnsi="Arial" w:cs="Arial"/>
                <w:sz w:val="13"/>
                <w:szCs w:val="13"/>
                <w:vertAlign w:val="baseline"/>
                <w:lang w:val="en-US" w:eastAsia="zh-CN"/>
              </w:rPr>
              <w:t>√</w:t>
            </w:r>
          </w:p>
        </w:tc>
        <w:tc>
          <w:tcPr>
            <w:tcW w:w="676" w:type="dxa"/>
            <w:tcBorders>
              <w:top w:val="nil"/>
              <w:left w:val="nil"/>
              <w:bottom w:val="single" w:color="auto" w:sz="8" w:space="0"/>
              <w:right w:val="nil"/>
            </w:tcBorders>
            <w:vAlign w:val="center"/>
          </w:tcPr>
          <w:p w14:paraId="056F77D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13"/>
                <w:szCs w:val="13"/>
                <w:vertAlign w:val="baseline"/>
                <w:lang w:val="en-US" w:eastAsia="zh-CN"/>
              </w:rPr>
            </w:pPr>
            <w:r>
              <w:rPr>
                <w:rFonts w:hint="default" w:ascii="Arial" w:hAnsi="Arial" w:cs="Arial"/>
                <w:sz w:val="13"/>
                <w:szCs w:val="13"/>
                <w:vertAlign w:val="baseline"/>
                <w:lang w:val="en-US" w:eastAsia="zh-CN"/>
              </w:rPr>
              <w:t>√</w:t>
            </w:r>
          </w:p>
        </w:tc>
        <w:tc>
          <w:tcPr>
            <w:tcW w:w="932" w:type="dxa"/>
            <w:tcBorders>
              <w:top w:val="nil"/>
              <w:left w:val="nil"/>
              <w:bottom w:val="single" w:color="auto" w:sz="8" w:space="0"/>
              <w:right w:val="nil"/>
            </w:tcBorders>
            <w:vAlign w:val="center"/>
          </w:tcPr>
          <w:p w14:paraId="6C07B2B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1.51</w:t>
            </w:r>
          </w:p>
        </w:tc>
        <w:tc>
          <w:tcPr>
            <w:tcW w:w="1003" w:type="dxa"/>
            <w:tcBorders>
              <w:top w:val="nil"/>
              <w:left w:val="nil"/>
              <w:bottom w:val="single" w:color="auto" w:sz="8" w:space="0"/>
              <w:right w:val="nil"/>
            </w:tcBorders>
            <w:vAlign w:val="center"/>
          </w:tcPr>
          <w:p w14:paraId="0BA387D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5.1</w:t>
            </w:r>
          </w:p>
        </w:tc>
        <w:tc>
          <w:tcPr>
            <w:tcW w:w="941" w:type="dxa"/>
            <w:tcBorders>
              <w:top w:val="nil"/>
              <w:left w:val="nil"/>
              <w:bottom w:val="single" w:color="auto" w:sz="8" w:space="0"/>
              <w:right w:val="nil"/>
            </w:tcBorders>
            <w:vAlign w:val="center"/>
          </w:tcPr>
          <w:p w14:paraId="187F0F1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0.363</w:t>
            </w:r>
          </w:p>
        </w:tc>
        <w:tc>
          <w:tcPr>
            <w:tcW w:w="1045" w:type="dxa"/>
            <w:tcBorders>
              <w:top w:val="nil"/>
              <w:left w:val="nil"/>
              <w:bottom w:val="single" w:color="auto" w:sz="8" w:space="0"/>
              <w:right w:val="nil"/>
            </w:tcBorders>
            <w:vAlign w:val="center"/>
          </w:tcPr>
          <w:p w14:paraId="54D009B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0.198</w:t>
            </w:r>
          </w:p>
        </w:tc>
        <w:tc>
          <w:tcPr>
            <w:tcW w:w="543" w:type="dxa"/>
            <w:tcBorders>
              <w:top w:val="nil"/>
              <w:left w:val="nil"/>
              <w:bottom w:val="single" w:color="auto" w:sz="8" w:space="0"/>
              <w:right w:val="nil"/>
            </w:tcBorders>
            <w:vAlign w:val="center"/>
          </w:tcPr>
          <w:p w14:paraId="46DEBD5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0.51</w:t>
            </w:r>
          </w:p>
        </w:tc>
        <w:tc>
          <w:tcPr>
            <w:tcW w:w="564" w:type="dxa"/>
            <w:tcBorders>
              <w:top w:val="nil"/>
              <w:left w:val="nil"/>
              <w:bottom w:val="single" w:color="auto" w:sz="8" w:space="0"/>
              <w:right w:val="nil"/>
            </w:tcBorders>
            <w:vAlign w:val="center"/>
          </w:tcPr>
          <w:p w14:paraId="3E21976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b/>
                <w:bCs/>
                <w:sz w:val="13"/>
                <w:szCs w:val="13"/>
                <w:vertAlign w:val="baseline"/>
                <w:lang w:val="en-US" w:eastAsia="zh-CN"/>
              </w:rPr>
              <w:t>0.346</w:t>
            </w:r>
          </w:p>
        </w:tc>
        <w:tc>
          <w:tcPr>
            <w:tcW w:w="543" w:type="dxa"/>
            <w:tcBorders>
              <w:top w:val="nil"/>
              <w:left w:val="nil"/>
              <w:bottom w:val="single" w:color="auto" w:sz="8" w:space="0"/>
              <w:right w:val="nil"/>
            </w:tcBorders>
            <w:vAlign w:val="center"/>
          </w:tcPr>
          <w:p w14:paraId="3A3F377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13"/>
                <w:szCs w:val="13"/>
                <w:vertAlign w:val="baseline"/>
                <w:lang w:val="en-US" w:eastAsia="zh-CN"/>
              </w:rPr>
            </w:pPr>
            <w:r>
              <w:rPr>
                <w:rFonts w:hint="eastAsia" w:cs="Times New Roman"/>
                <w:sz w:val="13"/>
                <w:szCs w:val="13"/>
                <w:vertAlign w:val="baseline"/>
                <w:lang w:val="en-US" w:eastAsia="zh-CN"/>
              </w:rPr>
              <w:t>125.3</w:t>
            </w:r>
          </w:p>
        </w:tc>
      </w:tr>
    </w:tbl>
    <w:p w14:paraId="22D4DDC8">
      <w:pPr>
        <w:rPr>
          <w:rFonts w:hint="eastAsia"/>
          <w:lang w:val="en-US" w:eastAsia="zh-CN"/>
        </w:rPr>
      </w:pPr>
      <w:r>
        <w:rPr>
          <w:rFonts w:hint="eastAsia"/>
          <w:lang w:val="en-US" w:eastAsia="zh-CN"/>
        </w:rPr>
        <w:t>单独引入LDown模块后，模型参数量从基线的2.44M降至1.89M，计算量从6.3G降至5.7G，帧率从113.5 FPS提升至129.9 FPS，实现了显著的轻量化与推理加速。同时，</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从0.324提升至0.348，较基线提升2.4%。结果表明，LDown通过拆分通道与双池化分支设计，在减少冗余计算的同时保留了有效特征信息，既降低了模型部署成本，又保障了特征提取的完整性，实现了“轻量化与精度”的初步平衡。</w:t>
      </w:r>
    </w:p>
    <w:p w14:paraId="1EDDAAF9">
      <w:pPr>
        <w:rPr>
          <w:rFonts w:hint="eastAsia"/>
          <w:lang w:val="en-US" w:eastAsia="zh-CN"/>
        </w:rPr>
      </w:pPr>
      <w:r>
        <w:rPr>
          <w:rFonts w:hint="eastAsia"/>
          <w:lang w:val="en-US" w:eastAsia="zh-CN"/>
        </w:rPr>
        <w:t>仅加入LSKC2f模块时，模型参数量为2.08M，较基线减少14.8%，计算量 5.8G，帧率提升至133.5 FPS，是单模块添加下推理速度最快的配置。</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达到0.358，较基线提升3.4%，精确率与召回率分别提升至0.499和0.346。这得益于LSKC2f将LSKAttention的多尺度特征筛选能力与C2f块的梯度流动优势相结合，强化了长距离上下文信息聚合，有效抑制了雨天噪声干扰，提升了目标特征的辨识度，尤其适配恶劣天气下的特征畸变场景。</w:t>
      </w:r>
    </w:p>
    <w:p w14:paraId="1311975C">
      <w:pPr>
        <w:rPr>
          <w:rFonts w:hint="eastAsia"/>
          <w:lang w:val="en-US" w:eastAsia="zh-CN"/>
        </w:rPr>
      </w:pPr>
      <w:r>
        <w:rPr>
          <w:rFonts w:hint="eastAsia"/>
          <w:lang w:val="en-US" w:eastAsia="zh-CN"/>
        </w:rPr>
        <w:t>单独集成MSDA模块后，模型参数量与计算量均与基线相同，未增加任何冗余开销，帧率维持在121 FPS，满足实时推理需求。而关键检测指标实现跨越式提升：</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从0.324提升至0.373，较基线提升4.9%；精确率提升至0.602，较基线提升22.9%；召回率稳定在0.336，保持了对真实目标的覆盖能力。实验结果充分验证了MSDA的核心作用，通过多尺度特征对齐与域对抗训练，从本质上缩小了源域与目标域的分布差异，使模型学习到天气无关的鲁棒特征，在不改变模型复杂度的前提下，显著提升了跨域泛化能力。</w:t>
      </w:r>
    </w:p>
    <w:p w14:paraId="5F1DF6A2">
      <w:pPr>
        <w:rPr>
          <w:rFonts w:hint="eastAsia"/>
          <w:lang w:val="en-US" w:eastAsia="zh-CN"/>
        </w:rPr>
      </w:pPr>
      <w:r>
        <w:rPr>
          <w:rFonts w:hint="eastAsia"/>
          <w:lang w:val="en-US" w:eastAsia="zh-CN"/>
        </w:rPr>
        <w:t>将LDown、LSKC2f与MSDA三个模块集成后，模型实现了 “轻量化、精度、实时性” 的最优平衡。参数量降至1.51M，较基线减少38%；计算量进一步压缩至5.1G，帧率保持在125.3 FPS，完全适配自动驾驶的实时部署需求。检测精度方面，</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达到0.363，较基线提升3.9%，虽略低于单独使用MSDA的峰值，但通过牺牲少量精度，获得38%的参数量缩减与更快的推理速度。这一协同效果证明，轻量化模块与域适应策略的有机结合，既能通过MSDA突破跨域检测瓶颈，又能借助LDown与LSKC2f优化模型部署效率，形成了适配恶劣天气场景的高效检测架构。</w:t>
      </w:r>
    </w:p>
    <w:p w14:paraId="668085C1">
      <w:pPr>
        <w:pStyle w:val="3"/>
        <w:bidi w:val="0"/>
        <w:rPr>
          <w:rFonts w:hint="eastAsia"/>
          <w:lang w:val="en-US" w:eastAsia="zh-CN"/>
        </w:rPr>
      </w:pPr>
      <w:r>
        <w:rPr>
          <w:rFonts w:hint="eastAsia"/>
          <w:lang w:val="en-US" w:eastAsia="zh-CN"/>
        </w:rPr>
        <w:t>4.5 对比实验</w:t>
      </w:r>
    </w:p>
    <w:p w14:paraId="0EB3B7E4">
      <w:pPr>
        <w:rPr>
          <w:rFonts w:hint="eastAsia"/>
          <w:lang w:val="en-US" w:eastAsia="zh-CN"/>
        </w:rPr>
      </w:pPr>
      <w:r>
        <w:rPr>
          <w:rFonts w:hint="eastAsia"/>
          <w:lang w:val="en-US" w:eastAsia="zh-CN"/>
        </w:rPr>
        <w:t>为全面评估本文提出的MSDA-YOLO12算法在恶劣天气目标检测任务中的综合性能，在相同软硬件实验环境下，选取YOLO系列主流轻量化模型作为对比基准，开展系统性对比实验。</w:t>
      </w:r>
    </w:p>
    <w:p w14:paraId="67AAA0D3">
      <w:pPr>
        <w:rPr>
          <w:rFonts w:hint="eastAsia" w:ascii="Times New Roman" w:hAnsi="Times New Roman" w:eastAsia="宋体" w:cs="宋体"/>
          <w:sz w:val="22"/>
          <w:szCs w:val="22"/>
          <w:lang w:val="en-US" w:eastAsia="zh-CN"/>
        </w:rPr>
      </w:pPr>
      <w:r>
        <w:rPr>
          <w:rFonts w:hint="eastAsia"/>
          <w:lang w:val="en-US" w:eastAsia="zh-CN"/>
        </w:rPr>
        <w:t>对比实验的数据集配置贴合自动驾驶真实应用场景——现实中带标注的恶劣天气图像往往稀缺，因此采用Cityscapes与ACDC混合训练方案：以 Cityscapes 数据集（正常天气场景）作为源域，ACDC数据集（恶劣天气场景，含雾、雨、雪、夜）作为目标域，模拟“晴天训练、恶劣天气部署”的实际需求。所有模型均基于混合数据集构建训练样本库，其中MSDA-YOLO12的主干网络在混合数据集上训练，同时通过域对抗训练机制对齐源域（Cityscapes）与目标域（ACDC）的特征分布；其他对比模型均采用常规训练流程，未引入域自适应策略。</w:t>
      </w:r>
    </w:p>
    <w:p w14:paraId="0E9E2187">
      <w:pPr>
        <w:ind w:left="0" w:leftChars="0" w:firstLine="0" w:firstLineChars="0"/>
        <w:jc w:val="center"/>
        <w:rPr>
          <w:rFonts w:hint="eastAsia"/>
          <w:lang w:val="en-US" w:eastAsia="zh-CN"/>
        </w:rPr>
      </w:pPr>
      <w:r>
        <w:rPr>
          <w:rFonts w:hint="eastAsia" w:ascii="Times New Roman" w:hAnsi="Times New Roman" w:eastAsia="宋体" w:cs="宋体"/>
          <w:sz w:val="22"/>
          <w:szCs w:val="22"/>
          <w:lang w:val="en-US" w:eastAsia="zh-CN"/>
        </w:rPr>
        <w:t>表</w:t>
      </w:r>
      <w:r>
        <w:rPr>
          <w:rFonts w:hint="eastAsia" w:cs="宋体"/>
          <w:sz w:val="22"/>
          <w:szCs w:val="22"/>
          <w:lang w:val="en-US" w:eastAsia="zh-CN"/>
        </w:rPr>
        <w:t>3</w:t>
      </w:r>
      <w:r>
        <w:rPr>
          <w:rFonts w:hint="eastAsia" w:ascii="Times New Roman" w:hAnsi="Times New Roman" w:eastAsia="宋体" w:cs="宋体"/>
          <w:sz w:val="22"/>
          <w:szCs w:val="22"/>
          <w:lang w:val="en-US" w:eastAsia="zh-CN"/>
        </w:rPr>
        <w:t xml:space="preserve"> </w:t>
      </w:r>
      <w:r>
        <w:rPr>
          <w:rFonts w:hint="eastAsia" w:cs="宋体"/>
          <w:sz w:val="22"/>
          <w:szCs w:val="22"/>
          <w:lang w:val="en-US" w:eastAsia="zh-CN"/>
        </w:rPr>
        <w:t>ACDC</w:t>
      </w:r>
      <w:r>
        <w:rPr>
          <w:rFonts w:hint="eastAsia" w:ascii="Times New Roman" w:hAnsi="Times New Roman" w:eastAsia="宋体" w:cs="宋体"/>
          <w:sz w:val="22"/>
          <w:szCs w:val="22"/>
          <w:lang w:val="en-US" w:eastAsia="zh-CN"/>
        </w:rPr>
        <w:t>数据集</w:t>
      </w:r>
      <w:r>
        <w:rPr>
          <w:rFonts w:hint="eastAsia" w:cs="宋体"/>
          <w:sz w:val="22"/>
          <w:szCs w:val="22"/>
          <w:lang w:val="en-US" w:eastAsia="zh-CN"/>
        </w:rPr>
        <w:t>四种场景混合对比</w:t>
      </w:r>
      <w:r>
        <w:rPr>
          <w:rFonts w:hint="eastAsia" w:ascii="Times New Roman" w:hAnsi="Times New Roman" w:eastAsia="宋体" w:cs="宋体"/>
          <w:sz w:val="22"/>
          <w:szCs w:val="22"/>
          <w:lang w:val="en-US" w:eastAsia="zh-CN"/>
        </w:rPr>
        <w:t>测试结果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1176"/>
        <w:gridCol w:w="1438"/>
        <w:gridCol w:w="1137"/>
        <w:gridCol w:w="1137"/>
        <w:gridCol w:w="1139"/>
        <w:gridCol w:w="1154"/>
      </w:tblGrid>
      <w:tr w14:paraId="2997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left w:val="nil"/>
              <w:bottom w:val="single" w:color="auto" w:sz="4" w:space="0"/>
              <w:right w:val="nil"/>
            </w:tcBorders>
            <w:vAlign w:val="top"/>
          </w:tcPr>
          <w:p w14:paraId="3D34EBBD">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Model</w:t>
            </w:r>
          </w:p>
        </w:tc>
        <w:tc>
          <w:tcPr>
            <w:tcW w:w="1176" w:type="dxa"/>
            <w:tcBorders>
              <w:left w:val="nil"/>
              <w:bottom w:val="single" w:color="auto" w:sz="4" w:space="0"/>
              <w:right w:val="nil"/>
            </w:tcBorders>
            <w:vAlign w:val="top"/>
          </w:tcPr>
          <w:p w14:paraId="60BE9104">
            <w:pPr>
              <w:ind w:left="0" w:leftChars="0" w:firstLine="0" w:firstLineChars="0"/>
              <w:jc w:val="center"/>
              <w:rPr>
                <w:rFonts w:hint="eastAsia"/>
                <w:sz w:val="15"/>
                <w:szCs w:val="15"/>
                <w:vertAlign w:val="baseline"/>
                <w:lang w:val="en-US" w:eastAsia="zh-CN"/>
              </w:rPr>
            </w:pPr>
            <w:r>
              <w:rPr>
                <w:rFonts w:hint="eastAsia" w:cs="Times New Roman"/>
                <w:sz w:val="15"/>
                <w:szCs w:val="15"/>
                <w:vertAlign w:val="baseline"/>
                <w:lang w:val="en-US" w:eastAsia="zh-CN"/>
              </w:rPr>
              <w:t>Params(M)</w:t>
            </w:r>
          </w:p>
        </w:tc>
        <w:tc>
          <w:tcPr>
            <w:tcW w:w="1438" w:type="dxa"/>
            <w:tcBorders>
              <w:left w:val="nil"/>
              <w:bottom w:val="single" w:color="auto" w:sz="4" w:space="0"/>
              <w:right w:val="nil"/>
            </w:tcBorders>
            <w:vAlign w:val="top"/>
          </w:tcPr>
          <w:p w14:paraId="6B6C2CB6">
            <w:pPr>
              <w:ind w:firstLine="300" w:firstLineChars="200"/>
              <w:jc w:val="center"/>
              <w:rPr>
                <w:rFonts w:hint="eastAsia"/>
                <w:sz w:val="15"/>
                <w:szCs w:val="15"/>
                <w:vertAlign w:val="baseline"/>
                <w:lang w:val="en-US" w:eastAsia="zh-CN"/>
              </w:rPr>
            </w:pPr>
            <w:r>
              <w:rPr>
                <w:rFonts w:hint="eastAsia" w:cs="Times New Roman"/>
                <w:sz w:val="15"/>
                <w:szCs w:val="15"/>
                <w:vertAlign w:val="baseline"/>
                <w:lang w:val="en-US" w:eastAsia="zh-CN"/>
              </w:rPr>
              <w:t>GFLOPs(G)</w:t>
            </w:r>
          </w:p>
        </w:tc>
        <w:tc>
          <w:tcPr>
            <w:tcW w:w="1137" w:type="dxa"/>
            <w:tcBorders>
              <w:left w:val="nil"/>
              <w:bottom w:val="single" w:color="auto" w:sz="4" w:space="0"/>
              <w:right w:val="nil"/>
            </w:tcBorders>
            <w:vAlign w:val="top"/>
          </w:tcPr>
          <w:p w14:paraId="376EB961">
            <w:pPr>
              <w:ind w:left="0" w:leftChars="0" w:firstLine="0" w:firstLineChars="0"/>
              <w:jc w:val="center"/>
              <w:rPr>
                <w:rFonts w:hint="eastAsia"/>
                <w:sz w:val="15"/>
                <w:szCs w:val="15"/>
                <w:vertAlign w:val="baseline"/>
                <w:lang w:val="en-US" w:eastAsia="zh-CN"/>
              </w:rPr>
            </w:pPr>
            <m:oMath>
              <m:sSub>
                <m:sSubPr>
                  <m:ctrlPr>
                    <w:rPr>
                      <w:rFonts w:hint="eastAsia" w:ascii="Cambria Math" w:hAnsi="Cambria Math" w:cs="Times New Roman"/>
                      <w:i w:val="0"/>
                      <w:kern w:val="2"/>
                      <w:sz w:val="15"/>
                      <w:szCs w:val="15"/>
                      <w:vertAlign w:val="baseline"/>
                      <w:lang w:val="en-US" w:eastAsia="zh-CN" w:bidi="ar-SA"/>
                    </w:rPr>
                  </m:ctrlPr>
                </m:sSubPr>
                <m:e>
                  <m:r>
                    <m:rPr>
                      <m:sty m:val="p"/>
                    </m:rPr>
                    <w:rPr>
                      <w:rFonts w:hint="eastAsia" w:ascii="Cambria Math" w:hAnsi="Cambria Math" w:cs="Times New Roman"/>
                      <w:kern w:val="2"/>
                      <w:sz w:val="15"/>
                      <w:szCs w:val="15"/>
                      <w:vertAlign w:val="baseline"/>
                      <w:lang w:val="en-US" w:eastAsia="zh-CN" w:bidi="ar-SA"/>
                    </w:rPr>
                    <m:t>mAP</m:t>
                  </m:r>
                  <m:ctrlPr>
                    <w:rPr>
                      <w:rFonts w:hint="eastAsia" w:ascii="Cambria Math" w:hAnsi="Cambria Math" w:cs="Times New Roman"/>
                      <w:i w:val="0"/>
                      <w:kern w:val="2"/>
                      <w:sz w:val="15"/>
                      <w:szCs w:val="15"/>
                      <w:vertAlign w:val="baseline"/>
                      <w:lang w:val="en-US" w:eastAsia="zh-CN" w:bidi="ar-SA"/>
                    </w:rPr>
                  </m:ctrlPr>
                </m:e>
                <m:sub>
                  <m:r>
                    <m:rPr>
                      <m:sty m:val="p"/>
                    </m:rPr>
                    <w:rPr>
                      <w:rFonts w:hint="eastAsia" w:ascii="Cambria Math" w:hAnsi="Cambria Math" w:cs="Times New Roman"/>
                      <w:kern w:val="2"/>
                      <w:sz w:val="15"/>
                      <w:szCs w:val="15"/>
                      <w:vertAlign w:val="baseline"/>
                      <w:lang w:val="en-US" w:eastAsia="zh-CN" w:bidi="ar-SA"/>
                    </w:rPr>
                    <m:t>50</m:t>
                  </m:r>
                  <m:ctrlPr>
                    <w:rPr>
                      <w:rFonts w:hint="eastAsia" w:ascii="Cambria Math" w:hAnsi="Cambria Math" w:cs="Times New Roman"/>
                      <w:i w:val="0"/>
                      <w:kern w:val="2"/>
                      <w:sz w:val="15"/>
                      <w:szCs w:val="15"/>
                      <w:vertAlign w:val="baseline"/>
                      <w:lang w:val="en-US" w:eastAsia="zh-CN" w:bidi="ar-SA"/>
                    </w:rPr>
                  </m:ctrlPr>
                </m:sub>
              </m:sSub>
            </m:oMath>
            <w:r>
              <w:rPr>
                <w:rFonts w:hint="eastAsia" w:cs="Times New Roman"/>
                <w:sz w:val="15"/>
                <w:szCs w:val="15"/>
                <w:vertAlign w:val="baseline"/>
                <w:lang w:val="en-US" w:eastAsia="zh-CN"/>
              </w:rPr>
              <w:t>(%)</w:t>
            </w:r>
          </w:p>
        </w:tc>
        <w:tc>
          <w:tcPr>
            <w:tcW w:w="1137" w:type="dxa"/>
            <w:tcBorders>
              <w:left w:val="nil"/>
              <w:bottom w:val="single" w:color="auto" w:sz="4" w:space="0"/>
              <w:right w:val="nil"/>
            </w:tcBorders>
            <w:vAlign w:val="top"/>
          </w:tcPr>
          <w:p w14:paraId="02088DF1">
            <w:pPr>
              <w:ind w:left="0" w:leftChars="0" w:firstLine="0" w:firstLineChars="0"/>
              <w:jc w:val="center"/>
              <w:rPr>
                <w:rFonts w:hint="eastAsia"/>
                <w:sz w:val="15"/>
                <w:szCs w:val="15"/>
                <w:vertAlign w:val="baseline"/>
                <w:lang w:val="en-US" w:eastAsia="zh-CN"/>
              </w:rPr>
            </w:pPr>
            <m:oMath>
              <m:sSub>
                <m:sSubPr>
                  <m:ctrlPr>
                    <w:rPr>
                      <w:rFonts w:ascii="Cambria Math" w:hAnsi="Cambria Math" w:cs="Times New Roman"/>
                      <w:i/>
                      <w:sz w:val="15"/>
                      <w:szCs w:val="15"/>
                      <w:vertAlign w:val="baseline"/>
                      <w:lang w:val="en-US"/>
                    </w:rPr>
                  </m:ctrlPr>
                </m:sSubPr>
                <m:e>
                  <m:r>
                    <m:rPr/>
                    <w:rPr>
                      <w:rFonts w:hint="default" w:ascii="Cambria Math" w:hAnsi="Cambria Math" w:cs="Times New Roman"/>
                      <w:sz w:val="15"/>
                      <w:szCs w:val="15"/>
                      <w:vertAlign w:val="baseline"/>
                      <w:lang w:val="en-US" w:eastAsia="zh-CN"/>
                    </w:rPr>
                    <m:t>mAP</m:t>
                  </m:r>
                  <m:ctrlPr>
                    <w:rPr>
                      <w:rFonts w:ascii="Cambria Math" w:hAnsi="Cambria Math" w:cs="Times New Roman"/>
                      <w:i/>
                      <w:sz w:val="15"/>
                      <w:szCs w:val="15"/>
                      <w:vertAlign w:val="baseline"/>
                      <w:lang w:val="en-US"/>
                    </w:rPr>
                  </m:ctrlPr>
                </m:e>
                <m:sub>
                  <m:r>
                    <m:rPr/>
                    <w:rPr>
                      <w:rFonts w:hint="default" w:ascii="Cambria Math" w:hAnsi="Cambria Math" w:cs="Times New Roman"/>
                      <w:sz w:val="15"/>
                      <w:szCs w:val="15"/>
                      <w:vertAlign w:val="baseline"/>
                      <w:lang w:val="en-US" w:eastAsia="zh-CN"/>
                    </w:rPr>
                    <m:t>50:95</m:t>
                  </m:r>
                  <m:ctrlPr>
                    <w:rPr>
                      <w:rFonts w:ascii="Cambria Math" w:hAnsi="Cambria Math" w:cs="Times New Roman"/>
                      <w:i/>
                      <w:sz w:val="15"/>
                      <w:szCs w:val="15"/>
                      <w:vertAlign w:val="baseline"/>
                      <w:lang w:val="en-US"/>
                    </w:rPr>
                  </m:ctrlPr>
                </m:sub>
              </m:sSub>
            </m:oMath>
            <w:r>
              <w:rPr>
                <w:rFonts w:hint="eastAsia" w:cs="Times New Roman"/>
                <w:sz w:val="15"/>
                <w:szCs w:val="15"/>
                <w:vertAlign w:val="baseline"/>
                <w:lang w:val="en-US" w:eastAsia="zh-CN"/>
              </w:rPr>
              <w:t>(%)</w:t>
            </w:r>
          </w:p>
        </w:tc>
        <w:tc>
          <w:tcPr>
            <w:tcW w:w="1139" w:type="dxa"/>
            <w:tcBorders>
              <w:left w:val="nil"/>
              <w:bottom w:val="single" w:color="auto" w:sz="4" w:space="0"/>
              <w:right w:val="nil"/>
            </w:tcBorders>
            <w:vAlign w:val="center"/>
          </w:tcPr>
          <w:p w14:paraId="6C606D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P(%)</w:t>
            </w:r>
          </w:p>
        </w:tc>
        <w:tc>
          <w:tcPr>
            <w:tcW w:w="1154" w:type="dxa"/>
            <w:tcBorders>
              <w:left w:val="nil"/>
              <w:bottom w:val="single" w:color="auto" w:sz="4" w:space="0"/>
              <w:right w:val="nil"/>
            </w:tcBorders>
            <w:vAlign w:val="center"/>
          </w:tcPr>
          <w:p w14:paraId="623D15A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5"/>
                <w:szCs w:val="15"/>
                <w:vertAlign w:val="baseline"/>
                <w:lang w:val="en-US" w:eastAsia="zh-CN"/>
              </w:rPr>
            </w:pPr>
            <w:r>
              <w:rPr>
                <w:rFonts w:hint="eastAsia" w:cs="Times New Roman"/>
                <w:sz w:val="15"/>
                <w:szCs w:val="15"/>
                <w:vertAlign w:val="baseline"/>
                <w:lang w:val="en-US" w:eastAsia="zh-CN"/>
              </w:rPr>
              <w:t>R(%)</w:t>
            </w:r>
          </w:p>
        </w:tc>
      </w:tr>
      <w:tr w14:paraId="5248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55CCB29C">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YOLOv5n</w:t>
            </w:r>
          </w:p>
        </w:tc>
        <w:tc>
          <w:tcPr>
            <w:tcW w:w="1176" w:type="dxa"/>
            <w:tcBorders>
              <w:top w:val="nil"/>
              <w:left w:val="nil"/>
              <w:bottom w:val="nil"/>
              <w:right w:val="nil"/>
            </w:tcBorders>
            <w:vAlign w:val="top"/>
          </w:tcPr>
          <w:p w14:paraId="095BC802">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2.39</w:t>
            </w:r>
          </w:p>
        </w:tc>
        <w:tc>
          <w:tcPr>
            <w:tcW w:w="1438" w:type="dxa"/>
            <w:tcBorders>
              <w:top w:val="nil"/>
              <w:left w:val="nil"/>
              <w:bottom w:val="nil"/>
              <w:right w:val="nil"/>
            </w:tcBorders>
            <w:vAlign w:val="top"/>
          </w:tcPr>
          <w:p w14:paraId="16911486">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7.1</w:t>
            </w:r>
          </w:p>
        </w:tc>
        <w:tc>
          <w:tcPr>
            <w:tcW w:w="1137" w:type="dxa"/>
            <w:tcBorders>
              <w:top w:val="nil"/>
              <w:left w:val="nil"/>
              <w:bottom w:val="nil"/>
              <w:right w:val="nil"/>
            </w:tcBorders>
            <w:vAlign w:val="top"/>
          </w:tcPr>
          <w:p w14:paraId="62461E5F">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0.308</w:t>
            </w:r>
          </w:p>
        </w:tc>
        <w:tc>
          <w:tcPr>
            <w:tcW w:w="1137" w:type="dxa"/>
            <w:tcBorders>
              <w:top w:val="nil"/>
              <w:left w:val="nil"/>
              <w:bottom w:val="nil"/>
              <w:right w:val="nil"/>
            </w:tcBorders>
            <w:vAlign w:val="top"/>
          </w:tcPr>
          <w:p w14:paraId="2447FDC9">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0.178</w:t>
            </w:r>
          </w:p>
        </w:tc>
        <w:tc>
          <w:tcPr>
            <w:tcW w:w="1139" w:type="dxa"/>
            <w:tcBorders>
              <w:top w:val="nil"/>
              <w:left w:val="nil"/>
              <w:bottom w:val="nil"/>
              <w:right w:val="nil"/>
            </w:tcBorders>
            <w:vAlign w:val="top"/>
          </w:tcPr>
          <w:p w14:paraId="6188DD72">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0.442</w:t>
            </w:r>
          </w:p>
        </w:tc>
        <w:tc>
          <w:tcPr>
            <w:tcW w:w="1154" w:type="dxa"/>
            <w:tcBorders>
              <w:top w:val="nil"/>
              <w:left w:val="nil"/>
              <w:bottom w:val="nil"/>
              <w:right w:val="nil"/>
            </w:tcBorders>
            <w:vAlign w:val="top"/>
          </w:tcPr>
          <w:p w14:paraId="78C12A3A">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0.303</w:t>
            </w:r>
          </w:p>
        </w:tc>
      </w:tr>
      <w:tr w14:paraId="376F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1D6C839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YOLOv6n</w:t>
            </w:r>
          </w:p>
        </w:tc>
        <w:tc>
          <w:tcPr>
            <w:tcW w:w="1176" w:type="dxa"/>
            <w:tcBorders>
              <w:top w:val="nil"/>
              <w:left w:val="nil"/>
              <w:bottom w:val="nil"/>
              <w:right w:val="nil"/>
            </w:tcBorders>
            <w:vAlign w:val="top"/>
          </w:tcPr>
          <w:p w14:paraId="3F42A2CF">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4.04</w:t>
            </w:r>
          </w:p>
        </w:tc>
        <w:tc>
          <w:tcPr>
            <w:tcW w:w="1438" w:type="dxa"/>
            <w:tcBorders>
              <w:top w:val="nil"/>
              <w:left w:val="nil"/>
              <w:bottom w:val="nil"/>
              <w:right w:val="nil"/>
            </w:tcBorders>
            <w:vAlign w:val="top"/>
          </w:tcPr>
          <w:p w14:paraId="5BB269B5">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11.7</w:t>
            </w:r>
          </w:p>
        </w:tc>
        <w:tc>
          <w:tcPr>
            <w:tcW w:w="1137" w:type="dxa"/>
            <w:tcBorders>
              <w:top w:val="nil"/>
              <w:left w:val="nil"/>
              <w:bottom w:val="nil"/>
              <w:right w:val="nil"/>
            </w:tcBorders>
            <w:vAlign w:val="top"/>
          </w:tcPr>
          <w:p w14:paraId="3058A9DE">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0.312</w:t>
            </w:r>
          </w:p>
        </w:tc>
        <w:tc>
          <w:tcPr>
            <w:tcW w:w="1137" w:type="dxa"/>
            <w:tcBorders>
              <w:top w:val="nil"/>
              <w:left w:val="nil"/>
              <w:bottom w:val="nil"/>
              <w:right w:val="nil"/>
            </w:tcBorders>
            <w:vAlign w:val="top"/>
          </w:tcPr>
          <w:p w14:paraId="61DF4CD3">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0.178</w:t>
            </w:r>
          </w:p>
        </w:tc>
        <w:tc>
          <w:tcPr>
            <w:tcW w:w="1139" w:type="dxa"/>
            <w:tcBorders>
              <w:top w:val="nil"/>
              <w:left w:val="nil"/>
              <w:bottom w:val="nil"/>
              <w:right w:val="nil"/>
            </w:tcBorders>
            <w:vAlign w:val="top"/>
          </w:tcPr>
          <w:p w14:paraId="720B4865">
            <w:pPr>
              <w:ind w:left="0" w:leftChars="0" w:firstLine="0" w:firstLineChars="0"/>
              <w:jc w:val="center"/>
              <w:rPr>
                <w:rFonts w:hint="default"/>
                <w:b w:val="0"/>
                <w:bCs w:val="0"/>
                <w:sz w:val="15"/>
                <w:szCs w:val="15"/>
                <w:vertAlign w:val="baseline"/>
                <w:lang w:val="en-US" w:eastAsia="zh-CN"/>
              </w:rPr>
            </w:pPr>
            <w:r>
              <w:rPr>
                <w:rFonts w:hint="eastAsia"/>
                <w:b/>
                <w:bCs/>
                <w:sz w:val="15"/>
                <w:szCs w:val="15"/>
                <w:vertAlign w:val="baseline"/>
                <w:lang w:val="en-US" w:eastAsia="zh-CN"/>
              </w:rPr>
              <w:t>0.532</w:t>
            </w:r>
          </w:p>
        </w:tc>
        <w:tc>
          <w:tcPr>
            <w:tcW w:w="1154" w:type="dxa"/>
            <w:tcBorders>
              <w:top w:val="nil"/>
              <w:left w:val="nil"/>
              <w:bottom w:val="nil"/>
              <w:right w:val="nil"/>
            </w:tcBorders>
            <w:vAlign w:val="top"/>
          </w:tcPr>
          <w:p w14:paraId="3BD8EA42">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0.303</w:t>
            </w:r>
          </w:p>
        </w:tc>
      </w:tr>
      <w:tr w14:paraId="6397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4641E736">
            <w:pPr>
              <w:ind w:left="0" w:leftChars="0" w:firstLine="0" w:firstLineChars="0"/>
              <w:jc w:val="center"/>
              <w:rPr>
                <w:rFonts w:hint="default"/>
                <w:color w:val="auto"/>
                <w:sz w:val="15"/>
                <w:szCs w:val="15"/>
                <w:vertAlign w:val="baseline"/>
                <w:lang w:val="en-US" w:eastAsia="zh-CN"/>
              </w:rPr>
            </w:pPr>
            <w:r>
              <w:rPr>
                <w:rFonts w:hint="eastAsia"/>
                <w:color w:val="auto"/>
                <w:sz w:val="15"/>
                <w:szCs w:val="15"/>
                <w:vertAlign w:val="baseline"/>
                <w:lang w:val="en-US" w:eastAsia="zh-CN"/>
              </w:rPr>
              <w:t>YOLOv8n</w:t>
            </w:r>
          </w:p>
        </w:tc>
        <w:tc>
          <w:tcPr>
            <w:tcW w:w="1176" w:type="dxa"/>
            <w:tcBorders>
              <w:top w:val="nil"/>
              <w:left w:val="nil"/>
              <w:bottom w:val="nil"/>
              <w:right w:val="nil"/>
            </w:tcBorders>
            <w:vAlign w:val="top"/>
          </w:tcPr>
          <w:p w14:paraId="6B819AC5">
            <w:pPr>
              <w:ind w:left="0" w:leftChars="0" w:firstLine="0" w:firstLineChars="0"/>
              <w:jc w:val="center"/>
              <w:rPr>
                <w:rFonts w:hint="eastAsia"/>
                <w:b w:val="0"/>
                <w:bCs w:val="0"/>
                <w:color w:val="auto"/>
                <w:sz w:val="15"/>
                <w:szCs w:val="15"/>
                <w:vertAlign w:val="baseline"/>
                <w:lang w:val="en-US" w:eastAsia="zh-CN"/>
              </w:rPr>
            </w:pPr>
            <w:r>
              <w:rPr>
                <w:rFonts w:hint="eastAsia"/>
                <w:b w:val="0"/>
                <w:bCs w:val="0"/>
                <w:color w:val="auto"/>
                <w:sz w:val="15"/>
                <w:szCs w:val="15"/>
                <w:vertAlign w:val="baseline"/>
                <w:lang w:val="en-US" w:eastAsia="zh-CN"/>
              </w:rPr>
              <w:t>2.87</w:t>
            </w:r>
          </w:p>
        </w:tc>
        <w:tc>
          <w:tcPr>
            <w:tcW w:w="1438" w:type="dxa"/>
            <w:tcBorders>
              <w:top w:val="nil"/>
              <w:left w:val="nil"/>
              <w:bottom w:val="nil"/>
              <w:right w:val="nil"/>
            </w:tcBorders>
            <w:vAlign w:val="top"/>
          </w:tcPr>
          <w:p w14:paraId="748275CB">
            <w:pPr>
              <w:ind w:left="0" w:leftChars="0" w:firstLine="0" w:firstLineChars="0"/>
              <w:jc w:val="center"/>
              <w:rPr>
                <w:rFonts w:hint="eastAsia"/>
                <w:b w:val="0"/>
                <w:bCs w:val="0"/>
                <w:color w:val="auto"/>
                <w:sz w:val="15"/>
                <w:szCs w:val="15"/>
                <w:vertAlign w:val="baseline"/>
                <w:lang w:val="en-US" w:eastAsia="zh-CN"/>
              </w:rPr>
            </w:pPr>
            <w:r>
              <w:rPr>
                <w:rFonts w:hint="eastAsia"/>
                <w:b w:val="0"/>
                <w:bCs w:val="0"/>
                <w:color w:val="auto"/>
                <w:sz w:val="15"/>
                <w:szCs w:val="15"/>
                <w:vertAlign w:val="baseline"/>
                <w:lang w:val="en-US" w:eastAsia="zh-CN"/>
              </w:rPr>
              <w:t>8.1</w:t>
            </w:r>
          </w:p>
        </w:tc>
        <w:tc>
          <w:tcPr>
            <w:tcW w:w="1137" w:type="dxa"/>
            <w:tcBorders>
              <w:top w:val="nil"/>
              <w:left w:val="nil"/>
              <w:bottom w:val="nil"/>
              <w:right w:val="nil"/>
            </w:tcBorders>
            <w:vAlign w:val="top"/>
          </w:tcPr>
          <w:p w14:paraId="792A3214">
            <w:pPr>
              <w:ind w:left="0" w:leftChars="0" w:firstLine="0" w:firstLineChars="0"/>
              <w:jc w:val="center"/>
              <w:rPr>
                <w:rFonts w:hint="default"/>
                <w:b w:val="0"/>
                <w:bCs w:val="0"/>
                <w:color w:val="auto"/>
                <w:sz w:val="15"/>
                <w:szCs w:val="15"/>
                <w:vertAlign w:val="baseline"/>
                <w:lang w:val="en-US" w:eastAsia="zh-CN"/>
              </w:rPr>
            </w:pPr>
            <w:r>
              <w:rPr>
                <w:rFonts w:hint="eastAsia"/>
                <w:b w:val="0"/>
                <w:bCs w:val="0"/>
                <w:color w:val="auto"/>
                <w:sz w:val="15"/>
                <w:szCs w:val="15"/>
                <w:vertAlign w:val="baseline"/>
                <w:lang w:val="en-US" w:eastAsia="zh-CN"/>
              </w:rPr>
              <w:t>0.323</w:t>
            </w:r>
          </w:p>
        </w:tc>
        <w:tc>
          <w:tcPr>
            <w:tcW w:w="1137" w:type="dxa"/>
            <w:tcBorders>
              <w:top w:val="nil"/>
              <w:left w:val="nil"/>
              <w:bottom w:val="nil"/>
              <w:right w:val="nil"/>
            </w:tcBorders>
            <w:vAlign w:val="top"/>
          </w:tcPr>
          <w:p w14:paraId="5D736948">
            <w:pPr>
              <w:ind w:left="0" w:leftChars="0" w:firstLine="0" w:firstLineChars="0"/>
              <w:jc w:val="center"/>
              <w:rPr>
                <w:rFonts w:hint="default"/>
                <w:b w:val="0"/>
                <w:bCs w:val="0"/>
                <w:color w:val="auto"/>
                <w:sz w:val="15"/>
                <w:szCs w:val="15"/>
                <w:vertAlign w:val="baseline"/>
                <w:lang w:val="en-US" w:eastAsia="zh-CN"/>
              </w:rPr>
            </w:pPr>
            <w:r>
              <w:rPr>
                <w:rFonts w:hint="eastAsia"/>
                <w:b/>
                <w:bCs/>
                <w:color w:val="auto"/>
                <w:sz w:val="15"/>
                <w:szCs w:val="15"/>
                <w:vertAlign w:val="baseline"/>
                <w:lang w:val="en-US" w:eastAsia="zh-CN"/>
              </w:rPr>
              <w:t>0.187</w:t>
            </w:r>
          </w:p>
        </w:tc>
        <w:tc>
          <w:tcPr>
            <w:tcW w:w="1139" w:type="dxa"/>
            <w:tcBorders>
              <w:top w:val="nil"/>
              <w:left w:val="nil"/>
              <w:bottom w:val="nil"/>
              <w:right w:val="nil"/>
            </w:tcBorders>
            <w:vAlign w:val="top"/>
          </w:tcPr>
          <w:p w14:paraId="7F316560">
            <w:pPr>
              <w:ind w:left="0" w:leftChars="0" w:firstLine="0" w:firstLineChars="0"/>
              <w:jc w:val="center"/>
              <w:rPr>
                <w:rFonts w:hint="default"/>
                <w:b w:val="0"/>
                <w:bCs w:val="0"/>
                <w:color w:val="auto"/>
                <w:sz w:val="15"/>
                <w:szCs w:val="15"/>
                <w:vertAlign w:val="baseline"/>
                <w:lang w:val="en-US" w:eastAsia="zh-CN"/>
              </w:rPr>
            </w:pPr>
            <w:r>
              <w:rPr>
                <w:rFonts w:hint="eastAsia"/>
                <w:b w:val="0"/>
                <w:bCs w:val="0"/>
                <w:color w:val="auto"/>
                <w:sz w:val="15"/>
                <w:szCs w:val="15"/>
                <w:vertAlign w:val="baseline"/>
                <w:lang w:val="en-US" w:eastAsia="zh-CN"/>
              </w:rPr>
              <w:t>0.449</w:t>
            </w:r>
          </w:p>
        </w:tc>
        <w:tc>
          <w:tcPr>
            <w:tcW w:w="1154" w:type="dxa"/>
            <w:tcBorders>
              <w:top w:val="nil"/>
              <w:left w:val="nil"/>
              <w:bottom w:val="nil"/>
              <w:right w:val="nil"/>
            </w:tcBorders>
            <w:vAlign w:val="top"/>
          </w:tcPr>
          <w:p w14:paraId="4ACAEBE2">
            <w:pPr>
              <w:ind w:left="0" w:leftChars="0" w:firstLine="0" w:firstLineChars="0"/>
              <w:jc w:val="center"/>
              <w:rPr>
                <w:rFonts w:hint="default"/>
                <w:b w:val="0"/>
                <w:bCs w:val="0"/>
                <w:color w:val="auto"/>
                <w:sz w:val="15"/>
                <w:szCs w:val="15"/>
                <w:vertAlign w:val="baseline"/>
                <w:lang w:val="en-US" w:eastAsia="zh-CN"/>
              </w:rPr>
            </w:pPr>
            <w:r>
              <w:rPr>
                <w:rFonts w:hint="eastAsia"/>
                <w:b/>
                <w:bCs/>
                <w:color w:val="auto"/>
                <w:sz w:val="15"/>
                <w:szCs w:val="15"/>
                <w:vertAlign w:val="baseline"/>
                <w:lang w:val="en-US" w:eastAsia="zh-CN"/>
              </w:rPr>
              <w:t>0.335</w:t>
            </w:r>
          </w:p>
        </w:tc>
      </w:tr>
      <w:tr w14:paraId="71C5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507559DB">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YOLOv10n</w:t>
            </w:r>
          </w:p>
        </w:tc>
        <w:tc>
          <w:tcPr>
            <w:tcW w:w="1176" w:type="dxa"/>
            <w:tcBorders>
              <w:top w:val="nil"/>
              <w:left w:val="nil"/>
              <w:bottom w:val="nil"/>
              <w:right w:val="nil"/>
            </w:tcBorders>
            <w:vAlign w:val="top"/>
          </w:tcPr>
          <w:p w14:paraId="256A9315">
            <w:pPr>
              <w:ind w:left="0" w:leftChars="0" w:firstLine="0" w:firstLineChars="0"/>
              <w:jc w:val="center"/>
              <w:rPr>
                <w:rFonts w:hint="eastAsia"/>
                <w:b w:val="0"/>
                <w:bCs w:val="0"/>
                <w:sz w:val="15"/>
                <w:szCs w:val="15"/>
                <w:vertAlign w:val="baseline"/>
                <w:lang w:val="en-US" w:eastAsia="zh-CN"/>
              </w:rPr>
            </w:pPr>
            <w:r>
              <w:rPr>
                <w:rFonts w:hint="eastAsia"/>
                <w:b w:val="0"/>
                <w:bCs w:val="0"/>
                <w:sz w:val="15"/>
                <w:szCs w:val="15"/>
                <w:vertAlign w:val="baseline"/>
                <w:lang w:val="en-US" w:eastAsia="zh-CN"/>
              </w:rPr>
              <w:t>2.16</w:t>
            </w:r>
          </w:p>
        </w:tc>
        <w:tc>
          <w:tcPr>
            <w:tcW w:w="1438" w:type="dxa"/>
            <w:tcBorders>
              <w:top w:val="nil"/>
              <w:left w:val="nil"/>
              <w:bottom w:val="nil"/>
              <w:right w:val="nil"/>
            </w:tcBorders>
            <w:vAlign w:val="top"/>
          </w:tcPr>
          <w:p w14:paraId="0B9A2CAC">
            <w:pPr>
              <w:ind w:left="0" w:leftChars="0" w:firstLine="0" w:firstLineChars="0"/>
              <w:jc w:val="center"/>
              <w:rPr>
                <w:rFonts w:hint="eastAsia"/>
                <w:b w:val="0"/>
                <w:bCs w:val="0"/>
                <w:sz w:val="15"/>
                <w:szCs w:val="15"/>
                <w:vertAlign w:val="baseline"/>
                <w:lang w:val="en-US" w:eastAsia="zh-CN"/>
              </w:rPr>
            </w:pPr>
            <w:r>
              <w:rPr>
                <w:rFonts w:hint="eastAsia"/>
                <w:b w:val="0"/>
                <w:bCs w:val="0"/>
                <w:sz w:val="15"/>
                <w:szCs w:val="15"/>
                <w:vertAlign w:val="baseline"/>
                <w:lang w:val="en-US" w:eastAsia="zh-CN"/>
              </w:rPr>
              <w:t>6.5</w:t>
            </w:r>
          </w:p>
        </w:tc>
        <w:tc>
          <w:tcPr>
            <w:tcW w:w="1137" w:type="dxa"/>
            <w:tcBorders>
              <w:top w:val="nil"/>
              <w:left w:val="nil"/>
              <w:bottom w:val="nil"/>
              <w:right w:val="nil"/>
            </w:tcBorders>
            <w:vAlign w:val="top"/>
          </w:tcPr>
          <w:p w14:paraId="7D04EF51">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0.317</w:t>
            </w:r>
          </w:p>
        </w:tc>
        <w:tc>
          <w:tcPr>
            <w:tcW w:w="1137" w:type="dxa"/>
            <w:tcBorders>
              <w:top w:val="nil"/>
              <w:left w:val="nil"/>
              <w:bottom w:val="nil"/>
              <w:right w:val="nil"/>
            </w:tcBorders>
            <w:vAlign w:val="top"/>
          </w:tcPr>
          <w:p w14:paraId="418DA0FF">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0.186</w:t>
            </w:r>
          </w:p>
        </w:tc>
        <w:tc>
          <w:tcPr>
            <w:tcW w:w="1139" w:type="dxa"/>
            <w:tcBorders>
              <w:top w:val="nil"/>
              <w:left w:val="nil"/>
              <w:bottom w:val="nil"/>
              <w:right w:val="nil"/>
            </w:tcBorders>
            <w:vAlign w:val="top"/>
          </w:tcPr>
          <w:p w14:paraId="6FD94B1F">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0.506</w:t>
            </w:r>
          </w:p>
        </w:tc>
        <w:tc>
          <w:tcPr>
            <w:tcW w:w="1154" w:type="dxa"/>
            <w:tcBorders>
              <w:top w:val="nil"/>
              <w:left w:val="nil"/>
              <w:bottom w:val="nil"/>
              <w:right w:val="nil"/>
            </w:tcBorders>
            <w:vAlign w:val="top"/>
          </w:tcPr>
          <w:p w14:paraId="59843071">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0.286</w:t>
            </w:r>
          </w:p>
        </w:tc>
      </w:tr>
      <w:tr w14:paraId="42F0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099695A6">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YOLOv11n</w:t>
            </w:r>
          </w:p>
        </w:tc>
        <w:tc>
          <w:tcPr>
            <w:tcW w:w="1176" w:type="dxa"/>
            <w:tcBorders>
              <w:top w:val="nil"/>
              <w:left w:val="nil"/>
              <w:bottom w:val="nil"/>
              <w:right w:val="nil"/>
            </w:tcBorders>
            <w:vAlign w:val="top"/>
          </w:tcPr>
          <w:p w14:paraId="377BC0C0">
            <w:pPr>
              <w:ind w:left="0" w:leftChars="0" w:firstLine="0" w:firstLineChars="0"/>
              <w:jc w:val="center"/>
              <w:rPr>
                <w:rFonts w:hint="eastAsia"/>
                <w:b w:val="0"/>
                <w:bCs w:val="0"/>
                <w:sz w:val="15"/>
                <w:szCs w:val="15"/>
                <w:vertAlign w:val="baseline"/>
                <w:lang w:val="en-US" w:eastAsia="zh-CN"/>
              </w:rPr>
            </w:pPr>
            <w:r>
              <w:rPr>
                <w:rFonts w:hint="eastAsia"/>
                <w:b w:val="0"/>
                <w:bCs w:val="0"/>
                <w:sz w:val="15"/>
                <w:szCs w:val="15"/>
                <w:vertAlign w:val="baseline"/>
                <w:lang w:val="en-US" w:eastAsia="zh-CN"/>
              </w:rPr>
              <w:t>2.46</w:t>
            </w:r>
          </w:p>
        </w:tc>
        <w:tc>
          <w:tcPr>
            <w:tcW w:w="1438" w:type="dxa"/>
            <w:tcBorders>
              <w:top w:val="nil"/>
              <w:left w:val="nil"/>
              <w:bottom w:val="nil"/>
              <w:right w:val="nil"/>
            </w:tcBorders>
            <w:vAlign w:val="top"/>
          </w:tcPr>
          <w:p w14:paraId="35081354">
            <w:pPr>
              <w:ind w:left="0" w:leftChars="0" w:firstLine="0" w:firstLineChars="0"/>
              <w:jc w:val="center"/>
              <w:rPr>
                <w:rFonts w:hint="eastAsia"/>
                <w:b w:val="0"/>
                <w:bCs w:val="0"/>
                <w:sz w:val="15"/>
                <w:szCs w:val="15"/>
                <w:vertAlign w:val="baseline"/>
                <w:lang w:val="en-US" w:eastAsia="zh-CN"/>
              </w:rPr>
            </w:pPr>
            <w:r>
              <w:rPr>
                <w:rFonts w:hint="eastAsia"/>
                <w:b w:val="0"/>
                <w:bCs w:val="0"/>
                <w:sz w:val="15"/>
                <w:szCs w:val="15"/>
                <w:vertAlign w:val="baseline"/>
                <w:lang w:val="en-US" w:eastAsia="zh-CN"/>
              </w:rPr>
              <w:t>6.3</w:t>
            </w:r>
          </w:p>
        </w:tc>
        <w:tc>
          <w:tcPr>
            <w:tcW w:w="1137" w:type="dxa"/>
            <w:tcBorders>
              <w:top w:val="nil"/>
              <w:left w:val="nil"/>
              <w:bottom w:val="nil"/>
              <w:right w:val="nil"/>
            </w:tcBorders>
            <w:vAlign w:val="top"/>
          </w:tcPr>
          <w:p w14:paraId="3FB07F5A">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0.317</w:t>
            </w:r>
          </w:p>
        </w:tc>
        <w:tc>
          <w:tcPr>
            <w:tcW w:w="1137" w:type="dxa"/>
            <w:tcBorders>
              <w:top w:val="nil"/>
              <w:left w:val="nil"/>
              <w:bottom w:val="nil"/>
              <w:right w:val="nil"/>
            </w:tcBorders>
            <w:vAlign w:val="top"/>
          </w:tcPr>
          <w:p w14:paraId="77629D8C">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0.184</w:t>
            </w:r>
          </w:p>
        </w:tc>
        <w:tc>
          <w:tcPr>
            <w:tcW w:w="1139" w:type="dxa"/>
            <w:tcBorders>
              <w:top w:val="nil"/>
              <w:left w:val="nil"/>
              <w:bottom w:val="nil"/>
              <w:right w:val="nil"/>
            </w:tcBorders>
            <w:vAlign w:val="top"/>
          </w:tcPr>
          <w:p w14:paraId="0ED7802A">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0.495</w:t>
            </w:r>
          </w:p>
        </w:tc>
        <w:tc>
          <w:tcPr>
            <w:tcW w:w="1154" w:type="dxa"/>
            <w:tcBorders>
              <w:top w:val="nil"/>
              <w:left w:val="nil"/>
              <w:bottom w:val="nil"/>
              <w:right w:val="nil"/>
            </w:tcBorders>
            <w:vAlign w:val="top"/>
          </w:tcPr>
          <w:p w14:paraId="63121E29">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0.298</w:t>
            </w:r>
          </w:p>
        </w:tc>
      </w:tr>
      <w:tr w14:paraId="1088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bottom w:val="nil"/>
              <w:right w:val="nil"/>
            </w:tcBorders>
            <w:vAlign w:val="top"/>
          </w:tcPr>
          <w:p w14:paraId="2F647450">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YOLOv12n</w:t>
            </w:r>
          </w:p>
        </w:tc>
        <w:tc>
          <w:tcPr>
            <w:tcW w:w="1176" w:type="dxa"/>
            <w:tcBorders>
              <w:top w:val="nil"/>
              <w:left w:val="nil"/>
              <w:bottom w:val="nil"/>
              <w:right w:val="nil"/>
            </w:tcBorders>
            <w:vAlign w:val="top"/>
          </w:tcPr>
          <w:p w14:paraId="01999DFA">
            <w:pPr>
              <w:ind w:left="0" w:leftChars="0" w:firstLine="0" w:firstLineChars="0"/>
              <w:jc w:val="center"/>
              <w:rPr>
                <w:rFonts w:hint="eastAsia"/>
                <w:b w:val="0"/>
                <w:bCs w:val="0"/>
                <w:sz w:val="15"/>
                <w:szCs w:val="15"/>
                <w:vertAlign w:val="baseline"/>
                <w:lang w:val="en-US" w:eastAsia="zh-CN"/>
              </w:rPr>
            </w:pPr>
            <w:r>
              <w:rPr>
                <w:rFonts w:hint="eastAsia" w:cs="Times New Roman"/>
                <w:b w:val="0"/>
                <w:bCs w:val="0"/>
                <w:sz w:val="15"/>
                <w:szCs w:val="15"/>
                <w:vertAlign w:val="baseline"/>
                <w:lang w:val="en-US" w:eastAsia="zh-CN"/>
              </w:rPr>
              <w:t>2.44</w:t>
            </w:r>
          </w:p>
        </w:tc>
        <w:tc>
          <w:tcPr>
            <w:tcW w:w="1438" w:type="dxa"/>
            <w:tcBorders>
              <w:top w:val="nil"/>
              <w:left w:val="nil"/>
              <w:bottom w:val="nil"/>
              <w:right w:val="nil"/>
            </w:tcBorders>
            <w:vAlign w:val="top"/>
          </w:tcPr>
          <w:p w14:paraId="76CD7135">
            <w:pPr>
              <w:ind w:left="0" w:leftChars="0" w:firstLine="0" w:firstLineChars="0"/>
              <w:jc w:val="center"/>
              <w:rPr>
                <w:rFonts w:hint="eastAsia"/>
                <w:b w:val="0"/>
                <w:bCs w:val="0"/>
                <w:sz w:val="15"/>
                <w:szCs w:val="15"/>
                <w:vertAlign w:val="baseline"/>
                <w:lang w:val="en-US" w:eastAsia="zh-CN"/>
              </w:rPr>
            </w:pPr>
            <w:r>
              <w:rPr>
                <w:rFonts w:hint="eastAsia"/>
                <w:b w:val="0"/>
                <w:bCs w:val="0"/>
                <w:sz w:val="15"/>
                <w:szCs w:val="15"/>
                <w:vertAlign w:val="baseline"/>
                <w:lang w:val="en-US" w:eastAsia="zh-CN"/>
              </w:rPr>
              <w:t>6.3</w:t>
            </w:r>
          </w:p>
        </w:tc>
        <w:tc>
          <w:tcPr>
            <w:tcW w:w="1137" w:type="dxa"/>
            <w:tcBorders>
              <w:top w:val="nil"/>
              <w:left w:val="nil"/>
              <w:bottom w:val="nil"/>
              <w:right w:val="nil"/>
            </w:tcBorders>
            <w:vAlign w:val="top"/>
          </w:tcPr>
          <w:p w14:paraId="66EC269B">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0.318</w:t>
            </w:r>
          </w:p>
        </w:tc>
        <w:tc>
          <w:tcPr>
            <w:tcW w:w="1137" w:type="dxa"/>
            <w:tcBorders>
              <w:top w:val="nil"/>
              <w:left w:val="nil"/>
              <w:bottom w:val="nil"/>
              <w:right w:val="nil"/>
            </w:tcBorders>
            <w:vAlign w:val="top"/>
          </w:tcPr>
          <w:p w14:paraId="15246242">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0.184</w:t>
            </w:r>
          </w:p>
        </w:tc>
        <w:tc>
          <w:tcPr>
            <w:tcW w:w="1139" w:type="dxa"/>
            <w:tcBorders>
              <w:top w:val="nil"/>
              <w:left w:val="nil"/>
              <w:bottom w:val="nil"/>
              <w:right w:val="nil"/>
            </w:tcBorders>
            <w:vAlign w:val="top"/>
          </w:tcPr>
          <w:p w14:paraId="1C8A3F7B">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0.447</w:t>
            </w:r>
          </w:p>
        </w:tc>
        <w:tc>
          <w:tcPr>
            <w:tcW w:w="1154" w:type="dxa"/>
            <w:tcBorders>
              <w:top w:val="nil"/>
              <w:left w:val="nil"/>
              <w:bottom w:val="nil"/>
              <w:right w:val="nil"/>
            </w:tcBorders>
            <w:vAlign w:val="top"/>
          </w:tcPr>
          <w:p w14:paraId="0915D148">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0.317</w:t>
            </w:r>
          </w:p>
        </w:tc>
      </w:tr>
      <w:tr w14:paraId="6104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1" w:type="dxa"/>
            <w:tcBorders>
              <w:top w:val="nil"/>
              <w:left w:val="nil"/>
              <w:right w:val="nil"/>
            </w:tcBorders>
            <w:vAlign w:val="top"/>
          </w:tcPr>
          <w:p w14:paraId="10AA7364">
            <w:pPr>
              <w:ind w:left="0" w:leftChars="0" w:firstLine="0" w:firstLineChars="0"/>
              <w:jc w:val="center"/>
              <w:rPr>
                <w:rFonts w:hint="default"/>
                <w:sz w:val="15"/>
                <w:szCs w:val="15"/>
                <w:vertAlign w:val="baseline"/>
                <w:lang w:val="en-US" w:eastAsia="zh-CN"/>
              </w:rPr>
            </w:pPr>
            <w:r>
              <w:rPr>
                <w:rFonts w:hint="eastAsia"/>
                <w:sz w:val="15"/>
                <w:szCs w:val="15"/>
                <w:vertAlign w:val="baseline"/>
                <w:lang w:val="en-US" w:eastAsia="zh-CN"/>
              </w:rPr>
              <w:t>MSDA-YOLOv12</w:t>
            </w:r>
          </w:p>
        </w:tc>
        <w:tc>
          <w:tcPr>
            <w:tcW w:w="1176" w:type="dxa"/>
            <w:tcBorders>
              <w:top w:val="nil"/>
              <w:left w:val="nil"/>
              <w:right w:val="nil"/>
            </w:tcBorders>
            <w:vAlign w:val="top"/>
          </w:tcPr>
          <w:p w14:paraId="144402B6">
            <w:pPr>
              <w:ind w:left="0" w:leftChars="0" w:firstLine="0" w:firstLineChars="0"/>
              <w:jc w:val="center"/>
              <w:rPr>
                <w:rFonts w:hint="default"/>
                <w:b/>
                <w:bCs/>
                <w:sz w:val="15"/>
                <w:szCs w:val="15"/>
                <w:vertAlign w:val="baseline"/>
                <w:lang w:val="en-US" w:eastAsia="zh-CN"/>
              </w:rPr>
            </w:pPr>
            <w:r>
              <w:rPr>
                <w:rFonts w:hint="eastAsia" w:cs="Times New Roman"/>
                <w:b/>
                <w:bCs/>
                <w:sz w:val="15"/>
                <w:szCs w:val="15"/>
                <w:vertAlign w:val="baseline"/>
                <w:lang w:val="en-US" w:eastAsia="zh-CN"/>
              </w:rPr>
              <w:t>1.51</w:t>
            </w:r>
          </w:p>
        </w:tc>
        <w:tc>
          <w:tcPr>
            <w:tcW w:w="1438" w:type="dxa"/>
            <w:tcBorders>
              <w:top w:val="nil"/>
              <w:left w:val="nil"/>
              <w:right w:val="nil"/>
            </w:tcBorders>
            <w:vAlign w:val="top"/>
          </w:tcPr>
          <w:p w14:paraId="079DD54A">
            <w:pPr>
              <w:ind w:left="0" w:leftChars="0" w:firstLine="0" w:firstLineChars="0"/>
              <w:jc w:val="center"/>
              <w:rPr>
                <w:rFonts w:hint="default"/>
                <w:b/>
                <w:bCs/>
                <w:sz w:val="15"/>
                <w:szCs w:val="15"/>
                <w:vertAlign w:val="baseline"/>
                <w:lang w:val="en-US" w:eastAsia="zh-CN"/>
              </w:rPr>
            </w:pPr>
            <w:r>
              <w:rPr>
                <w:rFonts w:hint="eastAsia"/>
                <w:b/>
                <w:bCs/>
                <w:sz w:val="15"/>
                <w:szCs w:val="15"/>
                <w:vertAlign w:val="baseline"/>
                <w:lang w:val="en-US" w:eastAsia="zh-CN"/>
              </w:rPr>
              <w:t>5.1</w:t>
            </w:r>
          </w:p>
        </w:tc>
        <w:tc>
          <w:tcPr>
            <w:tcW w:w="1137" w:type="dxa"/>
            <w:tcBorders>
              <w:top w:val="nil"/>
              <w:left w:val="nil"/>
              <w:right w:val="nil"/>
            </w:tcBorders>
            <w:vAlign w:val="top"/>
          </w:tcPr>
          <w:p w14:paraId="2158D026">
            <w:pPr>
              <w:ind w:left="0" w:leftChars="0" w:firstLine="0" w:firstLineChars="0"/>
              <w:jc w:val="center"/>
              <w:rPr>
                <w:rFonts w:hint="default"/>
                <w:b/>
                <w:bCs/>
                <w:sz w:val="15"/>
                <w:szCs w:val="15"/>
                <w:vertAlign w:val="baseline"/>
                <w:lang w:val="en-US" w:eastAsia="zh-CN"/>
              </w:rPr>
            </w:pPr>
            <w:r>
              <w:rPr>
                <w:rFonts w:hint="eastAsia"/>
                <w:b/>
                <w:bCs/>
                <w:sz w:val="15"/>
                <w:szCs w:val="15"/>
                <w:vertAlign w:val="baseline"/>
                <w:lang w:val="en-US" w:eastAsia="zh-CN"/>
              </w:rPr>
              <w:t>0.331</w:t>
            </w:r>
          </w:p>
        </w:tc>
        <w:tc>
          <w:tcPr>
            <w:tcW w:w="1137" w:type="dxa"/>
            <w:tcBorders>
              <w:top w:val="nil"/>
              <w:left w:val="nil"/>
              <w:right w:val="nil"/>
            </w:tcBorders>
            <w:vAlign w:val="top"/>
          </w:tcPr>
          <w:p w14:paraId="71B46C38">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0.186</w:t>
            </w:r>
          </w:p>
        </w:tc>
        <w:tc>
          <w:tcPr>
            <w:tcW w:w="1139" w:type="dxa"/>
            <w:tcBorders>
              <w:top w:val="nil"/>
              <w:left w:val="nil"/>
              <w:right w:val="nil"/>
            </w:tcBorders>
            <w:vAlign w:val="top"/>
          </w:tcPr>
          <w:p w14:paraId="1EBC9C6E">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0.502</w:t>
            </w:r>
          </w:p>
        </w:tc>
        <w:tc>
          <w:tcPr>
            <w:tcW w:w="1154" w:type="dxa"/>
            <w:tcBorders>
              <w:top w:val="nil"/>
              <w:left w:val="nil"/>
              <w:right w:val="nil"/>
            </w:tcBorders>
            <w:vAlign w:val="top"/>
          </w:tcPr>
          <w:p w14:paraId="05C7283B">
            <w:pPr>
              <w:ind w:left="0" w:leftChars="0" w:firstLine="0" w:firstLineChars="0"/>
              <w:jc w:val="center"/>
              <w:rPr>
                <w:rFonts w:hint="default"/>
                <w:b w:val="0"/>
                <w:bCs w:val="0"/>
                <w:sz w:val="15"/>
                <w:szCs w:val="15"/>
                <w:vertAlign w:val="baseline"/>
                <w:lang w:val="en-US" w:eastAsia="zh-CN"/>
              </w:rPr>
            </w:pPr>
            <w:r>
              <w:rPr>
                <w:rFonts w:hint="eastAsia"/>
                <w:b w:val="0"/>
                <w:bCs w:val="0"/>
                <w:sz w:val="15"/>
                <w:szCs w:val="15"/>
                <w:vertAlign w:val="baseline"/>
                <w:lang w:val="en-US" w:eastAsia="zh-CN"/>
              </w:rPr>
              <w:t>0.316</w:t>
            </w:r>
          </w:p>
        </w:tc>
      </w:tr>
    </w:tbl>
    <w:p w14:paraId="7153E2D2">
      <w:pPr>
        <w:rPr>
          <w:rFonts w:hint="eastAsia"/>
          <w:lang w:val="en-US" w:eastAsia="zh-CN"/>
        </w:rPr>
      </w:pPr>
      <w:r>
        <w:rPr>
          <w:rFonts w:hint="eastAsia"/>
          <w:lang w:val="en-US" w:eastAsia="zh-CN"/>
        </w:rPr>
        <w:t>从实验结果来看，MSDA-YOLO12 在轻量化与检测精度的平衡上展现出显著优势：其参数量仅为1.51M，较基线YOLOv12n（2.44M）减少38%，较参数量最高的YOLOv6n（4.04M）减少 62.6%，计算量5.1G同样远低于其他对比模型，充分验证了LDown轻量级下采样算子在降低冗余计算方面的有效性；而在核心检测精度指标上，MSDA-YOLO12的</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达到33.1%，不仅高于基线 YOLO12n的31.8%，也优于YOLOv8n、YOLOv10n、YOLOv11n 等主流模型，精确率达到50.2%，召回率维持在31.6%，实现了轻量化与检测精度的平衡，这得益于MSDA多尺度域自适应策略对跨域特征分布的有效对齐，以及LSKC2f 模块对长距离上下文信息的聚合与噪声抑制能力。</w:t>
      </w:r>
    </w:p>
    <w:p w14:paraId="0626AFAC">
      <w:pPr>
        <w:rPr>
          <w:rFonts w:hint="eastAsia"/>
          <w:lang w:val="en-US" w:eastAsia="zh-CN"/>
        </w:rPr>
      </w:pPr>
      <w:r>
        <w:rPr>
          <w:rFonts w:hint="eastAsia"/>
          <w:lang w:val="en-US" w:eastAsia="zh-CN"/>
        </w:rPr>
        <w:t>与YOLO系列历代轻量化模型相比，传统模型从YOLOv5n到YOLO12n的精度提升相对有限，且难以在参数量、计算量与检测性能之间形成有效平衡，而 MSDA-YOLO12是实现“参数量最小、计算量最低、</w:t>
      </w:r>
      <m:oMath>
        <m:sSub>
          <m:sSubPr>
            <m:ctrlPr>
              <w:rPr>
                <w:rFonts w:hint="eastAsia" w:ascii="Cambria Math" w:hAnsi="Cambria Math" w:cs="Times New Roman"/>
                <w:i w:val="0"/>
                <w:kern w:val="2"/>
                <w:sz w:val="24"/>
                <w:szCs w:val="24"/>
                <w:vertAlign w:val="baseline"/>
                <w:lang w:val="en-US" w:eastAsia="zh-CN" w:bidi="ar-SA"/>
              </w:rPr>
            </m:ctrlPr>
          </m:sSubPr>
          <m:e>
            <m:r>
              <m:rPr>
                <m:sty m:val="p"/>
              </m:rPr>
              <w:rPr>
                <w:rFonts w:hint="eastAsia" w:ascii="Cambria Math" w:hAnsi="Cambria Math" w:cs="Times New Roman"/>
                <w:kern w:val="2"/>
                <w:sz w:val="24"/>
                <w:szCs w:val="24"/>
                <w:vertAlign w:val="baseline"/>
                <w:lang w:val="en-US" w:eastAsia="zh-CN" w:bidi="ar-SA"/>
              </w:rPr>
              <m:t>mAP</m:t>
            </m:r>
            <m:ctrlPr>
              <w:rPr>
                <w:rFonts w:hint="eastAsia" w:ascii="Cambria Math" w:hAnsi="Cambria Math" w:cs="Times New Roman"/>
                <w:i w:val="0"/>
                <w:kern w:val="2"/>
                <w:sz w:val="24"/>
                <w:szCs w:val="24"/>
                <w:vertAlign w:val="baseline"/>
                <w:lang w:val="en-US" w:eastAsia="zh-CN" w:bidi="ar-SA"/>
              </w:rPr>
            </m:ctrlPr>
          </m:e>
          <m:sub>
            <m:r>
              <m:rPr>
                <m:sty m:val="p"/>
              </m:rPr>
              <w:rPr>
                <w:rFonts w:hint="eastAsia" w:ascii="Cambria Math" w:hAnsi="Cambria Math" w:cs="Times New Roman"/>
                <w:kern w:val="2"/>
                <w:sz w:val="24"/>
                <w:szCs w:val="24"/>
                <w:vertAlign w:val="baseline"/>
                <w:lang w:val="en-US" w:eastAsia="zh-CN" w:bidi="ar-SA"/>
              </w:rPr>
              <m:t>50</m:t>
            </m:r>
            <m:ctrlPr>
              <w:rPr>
                <w:rFonts w:hint="eastAsia" w:ascii="Cambria Math" w:hAnsi="Cambria Math" w:cs="Times New Roman"/>
                <w:i w:val="0"/>
                <w:kern w:val="2"/>
                <w:sz w:val="24"/>
                <w:szCs w:val="24"/>
                <w:vertAlign w:val="baseline"/>
                <w:lang w:val="en-US" w:eastAsia="zh-CN" w:bidi="ar-SA"/>
              </w:rPr>
            </m:ctrlPr>
          </m:sub>
        </m:sSub>
      </m:oMath>
      <w:r>
        <w:rPr>
          <w:rFonts w:hint="eastAsia"/>
          <w:lang w:val="en-US" w:eastAsia="zh-CN"/>
        </w:rPr>
        <w:t>最高” 的模型，打破了“精度提升必然伴随复杂度增加”的传统矛盾。其核心优势在于将多尺度域自适应策略与轻量化架构优化有机结合，既通过MSDA策略从本质上解决了恶劣天气导致的域分布偏移问题，又借助LDown与LSKC2f模块大幅降低模型部署成本，确保实时推理能力，使其能够适配雾、雨、雪、夜等多种恶劣场景，为自动驾驶的可靠环境感知提供了兼具性能与实用性的解决方案。</w:t>
      </w:r>
    </w:p>
    <w:p w14:paraId="272DCB13">
      <w:pPr>
        <w:pStyle w:val="3"/>
        <w:bidi w:val="0"/>
        <w:rPr>
          <w:rFonts w:hint="eastAsia"/>
          <w:lang w:val="en-US" w:eastAsia="zh-CN"/>
        </w:rPr>
      </w:pPr>
      <w:r>
        <w:rPr>
          <w:rFonts w:hint="eastAsia"/>
          <w:lang w:val="en-US" w:eastAsia="zh-CN"/>
        </w:rPr>
        <w:t>4.6 可视化结果</w:t>
      </w:r>
    </w:p>
    <w:p w14:paraId="6D680DE0">
      <w:pPr>
        <w:rPr>
          <w:rFonts w:hint="eastAsia"/>
          <w:lang w:val="en-US" w:eastAsia="zh-CN"/>
        </w:rPr>
      </w:pPr>
      <w:r>
        <w:rPr>
          <w:rFonts w:hint="eastAsia"/>
          <w:lang w:val="en-US" w:eastAsia="zh-CN"/>
        </w:rPr>
        <w:t>为了直观验证MSDA-YOLO12在恶劣天气场景下的目标检测效果，选取ACDC 数据集涵盖雨、雾、雪、夜四种典型恶劣场景的图像，对比原始YOLO12与本文提出的MSDA-YOLO12的检测可视化结果，如图7所示（注：图中从左至右依次为“原始图像→YOLO12检测结果→MSDA-YOLO12检测结果”）。</w:t>
      </w:r>
    </w:p>
    <w:p w14:paraId="7E84742E">
      <w:pPr>
        <w:ind w:left="0" w:leftChars="0" w:firstLine="0" w:firstLineChars="0"/>
        <w:rPr>
          <w:rFonts w:hint="default"/>
          <w:lang w:val="en-US" w:eastAsia="zh-CN"/>
        </w:rPr>
      </w:pPr>
      <w:r>
        <w:rPr>
          <w:rFonts w:hint="eastAsia"/>
          <w:lang w:val="en-US" w:eastAsia="zh-CN"/>
        </w:rPr>
        <w:drawing>
          <wp:inline distT="0" distB="0" distL="114300" distR="114300">
            <wp:extent cx="1587500" cy="892810"/>
            <wp:effectExtent l="0" t="0" r="12700" b="6350"/>
            <wp:docPr id="11" name="图片 11" descr="GOPR0402_frame_000755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GOPR0402_frame_000755_rgb_anon"/>
                    <pic:cNvPicPr>
                      <a:picLocks noChangeAspect="1"/>
                    </pic:cNvPicPr>
                  </pic:nvPicPr>
                  <pic:blipFill>
                    <a:blip r:embed="rId12"/>
                    <a:stretch>
                      <a:fillRect/>
                    </a:stretch>
                  </pic:blipFill>
                  <pic:spPr>
                    <a:xfrm>
                      <a:off x="0" y="0"/>
                      <a:ext cx="1587500" cy="89281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81785" cy="889635"/>
            <wp:effectExtent l="0" t="0" r="3175" b="9525"/>
            <wp:docPr id="12" name="图片 12" descr="GOPR0402_frame_000755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PR0402_frame_000755_rgb_anon"/>
                    <pic:cNvPicPr>
                      <a:picLocks noChangeAspect="1"/>
                    </pic:cNvPicPr>
                  </pic:nvPicPr>
                  <pic:blipFill>
                    <a:blip r:embed="rId13"/>
                    <a:stretch>
                      <a:fillRect/>
                    </a:stretch>
                  </pic:blipFill>
                  <pic:spPr>
                    <a:xfrm>
                      <a:off x="0" y="0"/>
                      <a:ext cx="1581785" cy="88963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84325" cy="891540"/>
            <wp:effectExtent l="0" t="0" r="635" b="7620"/>
            <wp:docPr id="13" name="图片 13" descr="GOPR0402_frame_000755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GOPR0402_frame_000755_rgb_anon"/>
                    <pic:cNvPicPr>
                      <a:picLocks noChangeAspect="1"/>
                    </pic:cNvPicPr>
                  </pic:nvPicPr>
                  <pic:blipFill>
                    <a:blip r:embed="rId14"/>
                    <a:stretch>
                      <a:fillRect/>
                    </a:stretch>
                  </pic:blipFill>
                  <pic:spPr>
                    <a:xfrm>
                      <a:off x="0" y="0"/>
                      <a:ext cx="1584325" cy="891540"/>
                    </a:xfrm>
                    <a:prstGeom prst="rect">
                      <a:avLst/>
                    </a:prstGeom>
                  </pic:spPr>
                </pic:pic>
              </a:graphicData>
            </a:graphic>
          </wp:inline>
        </w:drawing>
      </w:r>
    </w:p>
    <w:p w14:paraId="049016B2">
      <w:pPr>
        <w:ind w:left="0" w:leftChars="0" w:firstLine="0" w:firstLineChars="0"/>
        <w:rPr>
          <w:rFonts w:hint="default"/>
          <w:lang w:val="en-US" w:eastAsia="zh-CN"/>
        </w:rPr>
      </w:pPr>
      <w:r>
        <w:rPr>
          <w:rFonts w:hint="default"/>
          <w:lang w:val="en-US" w:eastAsia="zh-CN"/>
        </w:rPr>
        <w:drawing>
          <wp:inline distT="0" distB="0" distL="114300" distR="114300">
            <wp:extent cx="1595755" cy="897890"/>
            <wp:effectExtent l="0" t="0" r="4445" b="1270"/>
            <wp:docPr id="15" name="图片 15" descr="GOPR0476_frame_000926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GOPR0476_frame_000926_rgb_anon"/>
                    <pic:cNvPicPr>
                      <a:picLocks noChangeAspect="1"/>
                    </pic:cNvPicPr>
                  </pic:nvPicPr>
                  <pic:blipFill>
                    <a:blip r:embed="rId15"/>
                    <a:stretch>
                      <a:fillRect/>
                    </a:stretch>
                  </pic:blipFill>
                  <pic:spPr>
                    <a:xfrm>
                      <a:off x="0" y="0"/>
                      <a:ext cx="1595755" cy="89789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60195" cy="878205"/>
            <wp:effectExtent l="0" t="0" r="9525" b="5715"/>
            <wp:docPr id="16" name="图片 16" descr="GOPR0476_frame_000926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GOPR0476_frame_000926_rgb_anon"/>
                    <pic:cNvPicPr>
                      <a:picLocks noChangeAspect="1"/>
                    </pic:cNvPicPr>
                  </pic:nvPicPr>
                  <pic:blipFill>
                    <a:blip r:embed="rId16"/>
                    <a:stretch>
                      <a:fillRect/>
                    </a:stretch>
                  </pic:blipFill>
                  <pic:spPr>
                    <a:xfrm>
                      <a:off x="0" y="0"/>
                      <a:ext cx="1560195" cy="87820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87500" cy="893445"/>
            <wp:effectExtent l="0" t="0" r="12700" b="5715"/>
            <wp:docPr id="17" name="图片 17" descr="GOPR0476_frame_000926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GOPR0476_frame_000926_rgb_anon"/>
                    <pic:cNvPicPr>
                      <a:picLocks noChangeAspect="1"/>
                    </pic:cNvPicPr>
                  </pic:nvPicPr>
                  <pic:blipFill>
                    <a:blip r:embed="rId17"/>
                    <a:stretch>
                      <a:fillRect/>
                    </a:stretch>
                  </pic:blipFill>
                  <pic:spPr>
                    <a:xfrm>
                      <a:off x="0" y="0"/>
                      <a:ext cx="1587500" cy="893445"/>
                    </a:xfrm>
                    <a:prstGeom prst="rect">
                      <a:avLst/>
                    </a:prstGeom>
                  </pic:spPr>
                </pic:pic>
              </a:graphicData>
            </a:graphic>
          </wp:inline>
        </w:drawing>
      </w:r>
    </w:p>
    <w:p w14:paraId="3946760A">
      <w:pPr>
        <w:ind w:left="0" w:leftChars="0" w:firstLine="0" w:firstLineChars="0"/>
        <w:rPr>
          <w:rFonts w:hint="default"/>
          <w:lang w:val="en-US" w:eastAsia="zh-CN"/>
        </w:rPr>
      </w:pPr>
      <w:r>
        <w:rPr>
          <w:rFonts w:hint="default"/>
          <w:lang w:val="en-US" w:eastAsia="zh-CN"/>
        </w:rPr>
        <w:drawing>
          <wp:inline distT="0" distB="0" distL="114300" distR="114300">
            <wp:extent cx="1572895" cy="885190"/>
            <wp:effectExtent l="0" t="0" r="12065" b="13970"/>
            <wp:docPr id="18" name="图片 18" descr="GOPR0606_frame_000196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GOPR0606_frame_000196_rgb_anon"/>
                    <pic:cNvPicPr>
                      <a:picLocks noChangeAspect="1"/>
                    </pic:cNvPicPr>
                  </pic:nvPicPr>
                  <pic:blipFill>
                    <a:blip r:embed="rId18"/>
                    <a:stretch>
                      <a:fillRect/>
                    </a:stretch>
                  </pic:blipFill>
                  <pic:spPr>
                    <a:xfrm>
                      <a:off x="0" y="0"/>
                      <a:ext cx="1572895" cy="88519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88770" cy="894080"/>
            <wp:effectExtent l="0" t="0" r="11430" b="5080"/>
            <wp:docPr id="20" name="图片 20" descr="GOPR0606_frame_000196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GOPR0606_frame_000196_rgb_anon"/>
                    <pic:cNvPicPr>
                      <a:picLocks noChangeAspect="1"/>
                    </pic:cNvPicPr>
                  </pic:nvPicPr>
                  <pic:blipFill>
                    <a:blip r:embed="rId19"/>
                    <a:stretch>
                      <a:fillRect/>
                    </a:stretch>
                  </pic:blipFill>
                  <pic:spPr>
                    <a:xfrm>
                      <a:off x="0" y="0"/>
                      <a:ext cx="1588770" cy="89408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84325" cy="891540"/>
            <wp:effectExtent l="0" t="0" r="635" b="7620"/>
            <wp:docPr id="21" name="图片 21" descr="GOPR0606_frame_000196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GOPR0606_frame_000196_rgb_anon"/>
                    <pic:cNvPicPr>
                      <a:picLocks noChangeAspect="1"/>
                    </pic:cNvPicPr>
                  </pic:nvPicPr>
                  <pic:blipFill>
                    <a:blip r:embed="rId20"/>
                    <a:stretch>
                      <a:fillRect/>
                    </a:stretch>
                  </pic:blipFill>
                  <pic:spPr>
                    <a:xfrm>
                      <a:off x="0" y="0"/>
                      <a:ext cx="1584325" cy="891540"/>
                    </a:xfrm>
                    <a:prstGeom prst="rect">
                      <a:avLst/>
                    </a:prstGeom>
                  </pic:spPr>
                </pic:pic>
              </a:graphicData>
            </a:graphic>
          </wp:inline>
        </w:drawing>
      </w:r>
    </w:p>
    <w:p w14:paraId="266AB377">
      <w:pPr>
        <w:ind w:left="0" w:leftChars="0" w:firstLine="0" w:firstLineChars="0"/>
        <w:rPr>
          <w:rFonts w:hint="default"/>
          <w:lang w:val="en-US" w:eastAsia="zh-CN"/>
        </w:rPr>
      </w:pPr>
      <w:r>
        <w:rPr>
          <w:rFonts w:hint="eastAsia"/>
          <w:lang w:val="en-US" w:eastAsia="zh-CN"/>
        </w:rPr>
        <w:drawing>
          <wp:inline distT="0" distB="0" distL="114300" distR="114300">
            <wp:extent cx="1584325" cy="891540"/>
            <wp:effectExtent l="0" t="0" r="635" b="7620"/>
            <wp:docPr id="1" name="图片 1" descr="GOPR0356_frame_000360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OPR0356_frame_000360_rgb_anon"/>
                    <pic:cNvPicPr>
                      <a:picLocks noChangeAspect="1"/>
                    </pic:cNvPicPr>
                  </pic:nvPicPr>
                  <pic:blipFill>
                    <a:blip r:embed="rId21"/>
                    <a:stretch>
                      <a:fillRect/>
                    </a:stretch>
                  </pic:blipFill>
                  <pic:spPr>
                    <a:xfrm>
                      <a:off x="0" y="0"/>
                      <a:ext cx="1584325" cy="89154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591310" cy="895985"/>
            <wp:effectExtent l="0" t="0" r="8890" b="3175"/>
            <wp:docPr id="3" name="图片 3" descr="GOPR0356_frame_000360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OPR0356_frame_000360_rgb_anon"/>
                    <pic:cNvPicPr>
                      <a:picLocks noChangeAspect="1"/>
                    </pic:cNvPicPr>
                  </pic:nvPicPr>
                  <pic:blipFill>
                    <a:blip r:embed="rId22"/>
                    <a:stretch>
                      <a:fillRect/>
                    </a:stretch>
                  </pic:blipFill>
                  <pic:spPr>
                    <a:xfrm>
                      <a:off x="0" y="0"/>
                      <a:ext cx="1591310" cy="89598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97025" cy="898525"/>
            <wp:effectExtent l="0" t="0" r="3175" b="635"/>
            <wp:docPr id="4" name="图片 4" descr="GOPR0356_frame_000360_rgb_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OPR0356_frame_000360_rgb_anon"/>
                    <pic:cNvPicPr>
                      <a:picLocks noChangeAspect="1"/>
                    </pic:cNvPicPr>
                  </pic:nvPicPr>
                  <pic:blipFill>
                    <a:blip r:embed="rId22"/>
                    <a:stretch>
                      <a:fillRect/>
                    </a:stretch>
                  </pic:blipFill>
                  <pic:spPr>
                    <a:xfrm>
                      <a:off x="0" y="0"/>
                      <a:ext cx="1597025" cy="898525"/>
                    </a:xfrm>
                    <a:prstGeom prst="rect">
                      <a:avLst/>
                    </a:prstGeom>
                  </pic:spPr>
                </pic:pic>
              </a:graphicData>
            </a:graphic>
          </wp:inline>
        </w:drawing>
      </w:r>
    </w:p>
    <w:p w14:paraId="55220BE6">
      <w:pPr>
        <w:ind w:left="0" w:leftChars="0" w:firstLine="480" w:firstLineChars="200"/>
        <w:rPr>
          <w:rFonts w:hint="eastAsia"/>
          <w:lang w:val="en-US" w:eastAsia="zh-CN"/>
        </w:rPr>
      </w:pPr>
      <w:r>
        <w:rPr>
          <w:rFonts w:hint="eastAsia"/>
          <w:lang w:val="en-US" w:eastAsia="zh-CN"/>
        </w:rPr>
        <w:t>Original images            YOLO12                Ours</w:t>
      </w:r>
    </w:p>
    <w:p w14:paraId="2C5EB1F5">
      <w:pPr>
        <w:rPr>
          <w:rFonts w:hint="default"/>
          <w:lang w:val="en-US" w:eastAsia="zh-CN"/>
        </w:rPr>
      </w:pPr>
      <w:r>
        <w:rPr>
          <w:rFonts w:hint="default"/>
          <w:lang w:val="en-US" w:eastAsia="zh-CN"/>
        </w:rPr>
        <w:t>从可视化结果可以看出，恶劣天气导致的图像对比度下降、目标模糊、噪声干扰等问题，使得原始YOLO12在检测过程中普遍存在漏检、置信度偏低及虚假检测等情况，尤其对中远距离目标和小尺寸目标的识别能力不足，难以有效应对复杂场景下的特征畸变。而MSDA-YOLO12通过多尺度域自适应策略与轻量级模块的协同作用，展现出更优的检测性能：不仅成功捕捉到更多原本被漏检的目标，核心目标的检测置信度显著提升，且有效抑制了雨雪、眩光等带来的噪声干扰，减少了虚假检测的发生，检测框定位也更为精准。</w:t>
      </w:r>
    </w:p>
    <w:p w14:paraId="15C5DDA1">
      <w:pPr>
        <w:rPr>
          <w:rFonts w:hint="default"/>
          <w:lang w:val="en-US" w:eastAsia="zh-CN"/>
        </w:rPr>
      </w:pPr>
      <w:r>
        <w:rPr>
          <w:rFonts w:hint="default"/>
          <w:lang w:val="en-US" w:eastAsia="zh-CN"/>
        </w:rPr>
        <w:t>这一对比直观印证了MSDA策略在缩小域分布差异、LSKC2f模块在强化特征表达与噪声抑制、LDown模块在保留多尺度有效特征方面的综合作用，充分体现了算法在恶劣天气场景下的实用价值与鲁棒性。</w:t>
      </w:r>
      <w:bookmarkStart w:id="0" w:name="_GoBack"/>
      <w:bookmarkEnd w:id="0"/>
    </w:p>
    <w:p w14:paraId="0C92A358">
      <w:pPr>
        <w:pStyle w:val="2"/>
        <w:bidi w:val="0"/>
        <w:rPr>
          <w:rFonts w:hint="eastAsia"/>
          <w:lang w:val="en-US" w:eastAsia="zh-CN"/>
        </w:rPr>
      </w:pPr>
      <w:r>
        <w:rPr>
          <w:rFonts w:hint="eastAsia"/>
          <w:lang w:val="en-US" w:eastAsia="zh-CN"/>
        </w:rPr>
        <w:t>5 结论</w:t>
      </w:r>
    </w:p>
    <w:p w14:paraId="74F3446D">
      <w:pPr>
        <w:rPr>
          <w:rFonts w:hint="default"/>
          <w:lang w:val="en-US" w:eastAsia="zh-CN"/>
        </w:rPr>
      </w:pPr>
      <w:r>
        <w:rPr>
          <w:rFonts w:hint="default"/>
          <w:lang w:val="en-US" w:eastAsia="zh-CN"/>
        </w:rPr>
        <w:t>本文提出的MSDA-YOLO12算法，通过将多尺度域自适应策略</w:t>
      </w:r>
      <w:r>
        <w:rPr>
          <w:rFonts w:hint="eastAsia"/>
          <w:lang w:val="en-US" w:eastAsia="zh-CN"/>
        </w:rPr>
        <w:t>MSDA</w:t>
      </w:r>
      <w:r>
        <w:rPr>
          <w:rFonts w:hint="default"/>
          <w:lang w:val="en-US" w:eastAsia="zh-CN"/>
        </w:rPr>
        <w:t>与 YOLO12训练流程深度融合，结合轻量级下采样算子LDown与LSKC2f特征增强模块，构建了兼顾跨域泛化能力与实时部署效率的恶劣天气目标检测架构，有效解决了源域与目标域的特征分布偏移问题，同时克服了现有模型在性能提升与参数量优化之间的矛盾。在RainCityscapes数据集上的实验验证表明，该算法相较于原始YOLO12n基线，在几乎不损失源域检测精度的前提下，将目标域</w:t>
      </w:r>
      <w:r>
        <w:rPr>
          <w:rFonts w:hint="eastAsia"/>
          <w:lang w:val="en-US" w:eastAsia="zh-CN"/>
        </w:rPr>
        <w:t>检测精度提升</w:t>
      </w:r>
      <w:r>
        <w:rPr>
          <w:rFonts w:hint="default"/>
          <w:lang w:val="en-US" w:eastAsia="zh-CN"/>
        </w:rPr>
        <w:t>3.</w:t>
      </w:r>
      <w:r>
        <w:rPr>
          <w:rFonts w:hint="eastAsia"/>
          <w:lang w:val="en-US" w:eastAsia="zh-CN"/>
        </w:rPr>
        <w:t>9%</w:t>
      </w:r>
      <w:r>
        <w:rPr>
          <w:rFonts w:hint="default"/>
          <w:lang w:val="en-US" w:eastAsia="zh-CN"/>
        </w:rPr>
        <w:t>，且参数量减少3</w:t>
      </w:r>
      <w:r>
        <w:rPr>
          <w:rFonts w:hint="eastAsia"/>
          <w:lang w:val="en-US" w:eastAsia="zh-CN"/>
        </w:rPr>
        <w:t>8</w:t>
      </w:r>
      <w:r>
        <w:rPr>
          <w:rFonts w:hint="default"/>
          <w:lang w:val="en-US" w:eastAsia="zh-CN"/>
        </w:rPr>
        <w:t>%，帧率满足实时推理需求，</w:t>
      </w:r>
      <w:r>
        <w:rPr>
          <w:rFonts w:hint="eastAsia"/>
          <w:lang w:val="en-US" w:eastAsia="zh-CN"/>
        </w:rPr>
        <w:t>同时在真实数据集ACDC上进行验证，</w:t>
      </w:r>
      <w:r>
        <w:rPr>
          <w:rFonts w:hint="default"/>
          <w:lang w:val="en-US" w:eastAsia="zh-CN"/>
        </w:rPr>
        <w:t>充分证明了多尺度域对齐与轻量化架构改进相结合的有效性。MSDA-YOLO12为恶劣天气下自动驾驶的可靠环境感知提供了实用解决方案，也为后续跨域目标检测算法在复杂场景中的优化提供了有益参考。</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2774B"/>
    <w:rsid w:val="016D25A9"/>
    <w:rsid w:val="02350661"/>
    <w:rsid w:val="03EE1054"/>
    <w:rsid w:val="0422630F"/>
    <w:rsid w:val="043B10FF"/>
    <w:rsid w:val="04E86B91"/>
    <w:rsid w:val="06C228AB"/>
    <w:rsid w:val="07E44C99"/>
    <w:rsid w:val="08400A92"/>
    <w:rsid w:val="08CB6C25"/>
    <w:rsid w:val="0A235CF1"/>
    <w:rsid w:val="0A4D56E8"/>
    <w:rsid w:val="0B405A93"/>
    <w:rsid w:val="0B862856"/>
    <w:rsid w:val="0BE8397E"/>
    <w:rsid w:val="0C807CE3"/>
    <w:rsid w:val="0EFA4090"/>
    <w:rsid w:val="0F7F00F1"/>
    <w:rsid w:val="1040267F"/>
    <w:rsid w:val="131E09B4"/>
    <w:rsid w:val="15B61DB8"/>
    <w:rsid w:val="15E02F4A"/>
    <w:rsid w:val="16AD19E8"/>
    <w:rsid w:val="179B7A92"/>
    <w:rsid w:val="179C46D5"/>
    <w:rsid w:val="17C111F2"/>
    <w:rsid w:val="18D77068"/>
    <w:rsid w:val="19DD0836"/>
    <w:rsid w:val="1A542F60"/>
    <w:rsid w:val="1AE64941"/>
    <w:rsid w:val="1B5A44AD"/>
    <w:rsid w:val="1B7E3953"/>
    <w:rsid w:val="1BF7214E"/>
    <w:rsid w:val="1D530C71"/>
    <w:rsid w:val="1D864D41"/>
    <w:rsid w:val="1DB21A2A"/>
    <w:rsid w:val="1E1821D3"/>
    <w:rsid w:val="1E544E3F"/>
    <w:rsid w:val="20B824C9"/>
    <w:rsid w:val="20DB35F6"/>
    <w:rsid w:val="21D1177A"/>
    <w:rsid w:val="22FE3737"/>
    <w:rsid w:val="23746F37"/>
    <w:rsid w:val="238A4CB3"/>
    <w:rsid w:val="246F652F"/>
    <w:rsid w:val="24ED1B95"/>
    <w:rsid w:val="25DD396C"/>
    <w:rsid w:val="25F90EE2"/>
    <w:rsid w:val="271433BD"/>
    <w:rsid w:val="275A3D53"/>
    <w:rsid w:val="27D3746B"/>
    <w:rsid w:val="2ABE5B1A"/>
    <w:rsid w:val="2B7E2CFC"/>
    <w:rsid w:val="2B816191"/>
    <w:rsid w:val="2C9A7327"/>
    <w:rsid w:val="2DAD3F12"/>
    <w:rsid w:val="2DD96D15"/>
    <w:rsid w:val="344965DF"/>
    <w:rsid w:val="350A7ACE"/>
    <w:rsid w:val="36A0011D"/>
    <w:rsid w:val="36A71131"/>
    <w:rsid w:val="36B35051"/>
    <w:rsid w:val="38255CF5"/>
    <w:rsid w:val="38B6348E"/>
    <w:rsid w:val="3A5018B8"/>
    <w:rsid w:val="3AE55345"/>
    <w:rsid w:val="3B601BF5"/>
    <w:rsid w:val="3BCA4BE1"/>
    <w:rsid w:val="3D2F45B7"/>
    <w:rsid w:val="3DAE7C70"/>
    <w:rsid w:val="3DE0031C"/>
    <w:rsid w:val="3E111C04"/>
    <w:rsid w:val="3E725142"/>
    <w:rsid w:val="40D40650"/>
    <w:rsid w:val="419B74A2"/>
    <w:rsid w:val="41CE3850"/>
    <w:rsid w:val="41D95BDB"/>
    <w:rsid w:val="443C5437"/>
    <w:rsid w:val="45B44292"/>
    <w:rsid w:val="47911C13"/>
    <w:rsid w:val="490C4E2C"/>
    <w:rsid w:val="499F734D"/>
    <w:rsid w:val="4C3C04F2"/>
    <w:rsid w:val="4DA60964"/>
    <w:rsid w:val="4E113D5D"/>
    <w:rsid w:val="4FC275AB"/>
    <w:rsid w:val="50AD060A"/>
    <w:rsid w:val="50CD089E"/>
    <w:rsid w:val="51121805"/>
    <w:rsid w:val="54B43966"/>
    <w:rsid w:val="54C14855"/>
    <w:rsid w:val="564F7A67"/>
    <w:rsid w:val="57256CBC"/>
    <w:rsid w:val="57624854"/>
    <w:rsid w:val="57A4382C"/>
    <w:rsid w:val="5B082B83"/>
    <w:rsid w:val="5B4E1CD3"/>
    <w:rsid w:val="5B841F11"/>
    <w:rsid w:val="5BBB115B"/>
    <w:rsid w:val="5BDF7159"/>
    <w:rsid w:val="5C2B284A"/>
    <w:rsid w:val="5E0F1C0D"/>
    <w:rsid w:val="5E9511C8"/>
    <w:rsid w:val="5E980F64"/>
    <w:rsid w:val="5F505CFC"/>
    <w:rsid w:val="600C0AFA"/>
    <w:rsid w:val="60793322"/>
    <w:rsid w:val="6100537D"/>
    <w:rsid w:val="61952A3A"/>
    <w:rsid w:val="61FD45DB"/>
    <w:rsid w:val="6204122F"/>
    <w:rsid w:val="62EA0C0E"/>
    <w:rsid w:val="645A3A43"/>
    <w:rsid w:val="64614A8D"/>
    <w:rsid w:val="650D3679"/>
    <w:rsid w:val="67F01C8B"/>
    <w:rsid w:val="6965711A"/>
    <w:rsid w:val="69866811"/>
    <w:rsid w:val="6AD56F3C"/>
    <w:rsid w:val="6AFB32FF"/>
    <w:rsid w:val="6DB9147C"/>
    <w:rsid w:val="6E5A7566"/>
    <w:rsid w:val="6FAC7C04"/>
    <w:rsid w:val="6FF030E8"/>
    <w:rsid w:val="705522B9"/>
    <w:rsid w:val="725A3947"/>
    <w:rsid w:val="72690DEA"/>
    <w:rsid w:val="7319059A"/>
    <w:rsid w:val="736D3206"/>
    <w:rsid w:val="73916786"/>
    <w:rsid w:val="74B50C95"/>
    <w:rsid w:val="754C2C03"/>
    <w:rsid w:val="760F2C9B"/>
    <w:rsid w:val="76703A87"/>
    <w:rsid w:val="777C4360"/>
    <w:rsid w:val="77A5353A"/>
    <w:rsid w:val="791C370D"/>
    <w:rsid w:val="7B5B274E"/>
    <w:rsid w:val="7B6E5D6D"/>
    <w:rsid w:val="7E543940"/>
    <w:rsid w:val="7EE43E86"/>
    <w:rsid w:val="7FEC1E5E"/>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9"/>
    <w:autoRedefine/>
    <w:qFormat/>
    <w:uiPriority w:val="0"/>
    <w:pPr>
      <w:spacing w:before="100" w:beforeLines="100" w:after="100" w:afterLines="100" w:line="300" w:lineRule="auto"/>
      <w:ind w:firstLine="0" w:firstLineChars="0"/>
      <w:jc w:val="left"/>
      <w:outlineLvl w:val="0"/>
    </w:pPr>
    <w:rPr>
      <w:rFonts w:ascii="宋体" w:hAnsi="宋体" w:eastAsia="宋体"/>
      <w:b/>
      <w:bCs/>
      <w:kern w:val="44"/>
      <w:sz w:val="32"/>
      <w:szCs w:val="21"/>
    </w:rPr>
  </w:style>
  <w:style w:type="paragraph" w:styleId="3">
    <w:name w:val="heading 2"/>
    <w:basedOn w:val="1"/>
    <w:next w:val="1"/>
    <w:link w:val="10"/>
    <w:unhideWhenUsed/>
    <w:qFormat/>
    <w:uiPriority w:val="0"/>
    <w:pPr>
      <w:keepNext/>
      <w:keepLines/>
      <w:snapToGrid w:val="0"/>
      <w:spacing w:before="100" w:beforeLines="100" w:after="100" w:afterLines="100" w:line="300" w:lineRule="auto"/>
      <w:ind w:firstLine="0" w:firstLineChars="0"/>
      <w:jc w:val="left"/>
      <w:outlineLvl w:val="1"/>
    </w:pPr>
    <w:rPr>
      <w:rFonts w:ascii="宋体" w:hAnsi="宋体" w:eastAsia="宋体"/>
      <w:b/>
      <w:bCs/>
      <w:kern w:val="44"/>
      <w:sz w:val="30"/>
      <w:szCs w:val="28"/>
    </w:rPr>
  </w:style>
  <w:style w:type="paragraph" w:styleId="4">
    <w:name w:val="heading 3"/>
    <w:basedOn w:val="1"/>
    <w:next w:val="1"/>
    <w:semiHidden/>
    <w:unhideWhenUsed/>
    <w:qFormat/>
    <w:uiPriority w:val="0"/>
    <w:pPr>
      <w:keepNext/>
      <w:keepLines/>
      <w:spacing w:line="360" w:lineRule="auto"/>
      <w:jc w:val="left"/>
      <w:outlineLvl w:val="2"/>
    </w:pPr>
    <w:rPr>
      <w:rFonts w:ascii="黑体" w:hAnsi="黑体" w:eastAsia="黑体"/>
      <w:sz w:val="2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字符"/>
    <w:link w:val="2"/>
    <w:qFormat/>
    <w:uiPriority w:val="0"/>
    <w:rPr>
      <w:rFonts w:ascii="宋体" w:hAnsi="宋体" w:eastAsia="宋体"/>
      <w:b/>
      <w:bCs/>
      <w:kern w:val="44"/>
      <w:sz w:val="32"/>
      <w:szCs w:val="21"/>
    </w:rPr>
  </w:style>
  <w:style w:type="character" w:customStyle="1" w:styleId="10">
    <w:name w:val="标题 2 字符"/>
    <w:link w:val="3"/>
    <w:autoRedefine/>
    <w:qFormat/>
    <w:uiPriority w:val="0"/>
    <w:rPr>
      <w:rFonts w:ascii="宋体" w:hAnsi="宋体" w:eastAsia="宋体"/>
      <w:b/>
      <w:bCs/>
      <w:kern w:val="44"/>
      <w:sz w:val="30"/>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4414</Words>
  <Characters>6488</Characters>
  <Lines>0</Lines>
  <Paragraphs>0</Paragraphs>
  <TotalTime>32</TotalTime>
  <ScaleCrop>false</ScaleCrop>
  <LinksUpToDate>false</LinksUpToDate>
  <CharactersWithSpaces>6782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2023-03-17T12:09:00Z</dcterms:created>
  <dc:creator>86186</dc:creator>
  <cp:lastModifiedBy>简为.</cp:lastModifiedBy>
  <dcterms:modified xsi:type="dcterms:W3CDTF">2025-12-29T01:52:26Z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4D8569602A48484282F19694C1E28630_13</vt:lpwstr>
  </property>
  <property fmtid="{D5CDD505-2E9C-101B-9397-08002B2CF9AE}" pid="4" name="KSOTemplateDocerSaveRecord">
    <vt:lpwstr>eyJoZGlkIjoiNzNiMjY1YzRjNjU1ZjM2NGFjODcyZjhjMTg5N2JmNGQiLCJ1c2VySWQiOiI4NDc4OTk4ODcifQ==</vt:lpwstr>
  </property>
</Properties>
</file>