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37F50FA">
      <w:pPr>
        <w:ind w:firstLine="5663" w:firstLineChars="1282"/>
        <w:jc w:val="right"/>
        <w:rPr>
          <w:rFonts w:ascii="楷体_GB2312" w:eastAsia="楷体_GB2312"/>
          <w:b/>
          <w:sz w:val="44"/>
          <w:szCs w:val="44"/>
        </w:rPr>
      </w:pPr>
      <w:r>
        <w:rPr>
          <w:rFonts w:ascii="楷体_GB2312" w:eastAsia="楷体_GB2312"/>
          <w:b/>
          <w:sz w:val="44"/>
          <w:szCs w:val="44"/>
        </w:rPr>
        <w:drawing>
          <wp:inline distT="0" distB="0" distL="0" distR="0">
            <wp:extent cx="1658620" cy="503555"/>
            <wp:effectExtent l="19050" t="0" r="0" b="0"/>
            <wp:docPr id="2" name="图片 1" descr="合肥大学常用标志-23.12.16-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合肥大学常用标志-23.12.16-01.jpg"/>
                    <pic:cNvPicPr>
                      <a:picLocks noChangeAspect="1"/>
                    </pic:cNvPicPr>
                  </pic:nvPicPr>
                  <pic:blipFill>
                    <a:blip r:embed="rId4" cstate="print"/>
                    <a:stretch>
                      <a:fillRect/>
                    </a:stretch>
                  </pic:blipFill>
                  <pic:spPr>
                    <a:xfrm>
                      <a:off x="0" y="0"/>
                      <a:ext cx="1658743" cy="504000"/>
                    </a:xfrm>
                    <a:prstGeom prst="rect">
                      <a:avLst/>
                    </a:prstGeom>
                  </pic:spPr>
                </pic:pic>
              </a:graphicData>
            </a:graphic>
          </wp:inline>
        </w:drawing>
      </w:r>
    </w:p>
    <w:p w14:paraId="765278EF">
      <w:pPr>
        <w:jc w:val="center"/>
        <w:rPr>
          <w:rFonts w:ascii="楷体_GB2312" w:eastAsia="楷体_GB2312"/>
          <w:b/>
          <w:sz w:val="44"/>
          <w:szCs w:val="44"/>
        </w:rPr>
      </w:pPr>
    </w:p>
    <w:p w14:paraId="54F65B3D">
      <w:pPr>
        <w:spacing w:before="120" w:beforeLines="50" w:after="120" w:afterLines="50"/>
        <w:jc w:val="center"/>
        <w:rPr>
          <w:rFonts w:ascii="楷体_GB2312" w:eastAsia="楷体_GB2312"/>
          <w:b/>
          <w:sz w:val="72"/>
          <w:szCs w:val="72"/>
        </w:rPr>
      </w:pPr>
      <w:r>
        <w:rPr>
          <w:rFonts w:hint="eastAsia" w:ascii="楷体_GB2312" w:eastAsia="楷体_GB2312"/>
          <w:b/>
          <w:sz w:val="72"/>
          <w:szCs w:val="72"/>
        </w:rPr>
        <w:t>人工智能与大数据学院</w:t>
      </w:r>
    </w:p>
    <w:p w14:paraId="0A171B17">
      <w:pPr>
        <w:spacing w:before="120" w:beforeLines="50" w:after="120" w:afterLines="50"/>
        <w:jc w:val="center"/>
        <w:rPr>
          <w:rFonts w:ascii="楷体_GB2312" w:eastAsia="楷体_GB2312"/>
          <w:b/>
          <w:sz w:val="72"/>
          <w:szCs w:val="72"/>
        </w:rPr>
      </w:pPr>
      <w:r>
        <w:rPr>
          <w:rFonts w:hint="eastAsia" w:ascii="楷体_GB2312" w:eastAsia="楷体_GB2312"/>
          <w:b/>
          <w:sz w:val="72"/>
          <w:szCs w:val="72"/>
        </w:rPr>
        <w:t>课程读书报告</w:t>
      </w:r>
    </w:p>
    <w:p w14:paraId="3376F25C">
      <w:pPr>
        <w:jc w:val="center"/>
        <w:rPr>
          <w:rFonts w:ascii="楷体_GB2312" w:eastAsia="楷体_GB2312"/>
          <w:b/>
          <w:sz w:val="44"/>
          <w:szCs w:val="44"/>
        </w:rPr>
      </w:pPr>
    </w:p>
    <w:p w14:paraId="753C8551">
      <w:pPr>
        <w:spacing w:before="120" w:beforeLines="50" w:after="120" w:afterLines="50"/>
        <w:jc w:val="center"/>
        <w:rPr>
          <w:rFonts w:eastAsia="楷体_GB2312"/>
          <w:b/>
          <w:sz w:val="44"/>
          <w:szCs w:val="44"/>
        </w:rPr>
      </w:pPr>
      <w:r>
        <w:rPr>
          <w:rFonts w:hint="eastAsia" w:eastAsia="楷体_GB2312"/>
          <w:b/>
          <w:sz w:val="44"/>
          <w:szCs w:val="44"/>
        </w:rPr>
        <w:t>20</w:t>
      </w:r>
      <w:r>
        <w:rPr>
          <w:rFonts w:hint="eastAsia" w:eastAsia="楷体_GB2312"/>
          <w:b/>
          <w:sz w:val="44"/>
          <w:szCs w:val="44"/>
          <w:u w:val="single"/>
        </w:rPr>
        <w:t xml:space="preserve"> 24 </w:t>
      </w:r>
      <w:r>
        <w:rPr>
          <w:rFonts w:hint="eastAsia" w:eastAsia="楷体_GB2312"/>
          <w:b/>
          <w:sz w:val="44"/>
          <w:szCs w:val="44"/>
        </w:rPr>
        <w:t>－20</w:t>
      </w:r>
      <w:r>
        <w:rPr>
          <w:rFonts w:hint="eastAsia" w:eastAsia="楷体_GB2312"/>
          <w:b/>
          <w:sz w:val="44"/>
          <w:szCs w:val="44"/>
          <w:u w:val="single"/>
        </w:rPr>
        <w:t xml:space="preserve"> 25</w:t>
      </w:r>
      <w:r>
        <w:rPr>
          <w:rFonts w:hint="eastAsia" w:eastAsia="楷体_GB2312"/>
          <w:b/>
          <w:sz w:val="44"/>
          <w:szCs w:val="44"/>
        </w:rPr>
        <w:t>学年第</w:t>
      </w:r>
      <w:r>
        <w:rPr>
          <w:rFonts w:hint="eastAsia" w:eastAsia="楷体_GB2312"/>
          <w:b/>
          <w:sz w:val="44"/>
          <w:szCs w:val="44"/>
          <w:u w:val="single"/>
        </w:rPr>
        <w:t xml:space="preserve"> 2 </w:t>
      </w:r>
      <w:r>
        <w:rPr>
          <w:rFonts w:hint="eastAsia" w:eastAsia="楷体_GB2312"/>
          <w:b/>
          <w:sz w:val="44"/>
          <w:szCs w:val="44"/>
        </w:rPr>
        <w:t>学期</w:t>
      </w:r>
    </w:p>
    <w:p w14:paraId="2DD362B9">
      <w:pPr>
        <w:spacing w:before="120" w:beforeLines="50" w:after="120" w:afterLines="50"/>
        <w:jc w:val="center"/>
        <w:rPr>
          <w:rFonts w:eastAsia="楷体_GB2312"/>
          <w:b/>
          <w:sz w:val="44"/>
          <w:szCs w:val="44"/>
        </w:rPr>
      </w:pPr>
    </w:p>
    <w:p w14:paraId="217F1512">
      <w:pPr>
        <w:spacing w:before="120" w:beforeLines="50" w:after="120" w:afterLines="50"/>
        <w:jc w:val="center"/>
        <w:rPr>
          <w:rFonts w:eastAsia="楷体_GB2312"/>
          <w:b/>
          <w:sz w:val="44"/>
          <w:szCs w:val="44"/>
        </w:rPr>
      </w:pPr>
    </w:p>
    <w:p w14:paraId="2358206B">
      <w:pPr>
        <w:spacing w:before="120" w:beforeLines="50" w:after="120" w:afterLines="50"/>
        <w:jc w:val="center"/>
        <w:rPr>
          <w:rFonts w:eastAsia="楷体_GB2312"/>
          <w:b/>
          <w:sz w:val="44"/>
          <w:szCs w:val="44"/>
        </w:rPr>
      </w:pPr>
    </w:p>
    <w:p w14:paraId="06E06A4A">
      <w:pPr>
        <w:spacing w:before="120" w:beforeLines="50" w:after="120" w:afterLines="50"/>
        <w:jc w:val="center"/>
        <w:rPr>
          <w:rFonts w:eastAsia="楷体_GB2312"/>
          <w:b/>
          <w:sz w:val="44"/>
          <w:szCs w:val="44"/>
        </w:rPr>
      </w:pPr>
    </w:p>
    <w:p w14:paraId="6A5A3BF2">
      <w:pPr>
        <w:spacing w:before="120" w:beforeLines="50" w:after="120" w:afterLines="50"/>
        <w:jc w:val="center"/>
        <w:rPr>
          <w:rFonts w:eastAsia="楷体_GB2312"/>
          <w:b/>
          <w:sz w:val="44"/>
          <w:szCs w:val="44"/>
        </w:rPr>
      </w:pPr>
    </w:p>
    <w:p w14:paraId="22BAB36B">
      <w:pPr>
        <w:rPr>
          <w:rFonts w:ascii="楷体_GB2312" w:eastAsia="楷体_GB2312"/>
          <w:sz w:val="32"/>
          <w:szCs w:val="32"/>
        </w:rPr>
      </w:pPr>
    </w:p>
    <w:tbl>
      <w:tblPr>
        <w:tblStyle w:val="9"/>
        <w:tblW w:w="0" w:type="auto"/>
        <w:tblInd w:w="138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558"/>
        <w:gridCol w:w="3411"/>
      </w:tblGrid>
      <w:tr w14:paraId="76AD6C1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91" w:hRule="atLeast"/>
        </w:trPr>
        <w:tc>
          <w:tcPr>
            <w:tcW w:w="2558" w:type="dxa"/>
            <w:vAlign w:val="bottom"/>
          </w:tcPr>
          <w:p w14:paraId="6F81D70D">
            <w:pPr>
              <w:jc w:val="right"/>
              <w:rPr>
                <w:rFonts w:ascii="楷体_GB2312" w:eastAsia="楷体_GB2312"/>
                <w:sz w:val="32"/>
                <w:szCs w:val="32"/>
              </w:rPr>
            </w:pPr>
            <w:r>
              <w:rPr>
                <w:rFonts w:hint="eastAsia" w:ascii="楷体_GB2312" w:eastAsia="楷体_GB2312"/>
                <w:sz w:val="32"/>
                <w:szCs w:val="32"/>
              </w:rPr>
              <w:t>课程（模块）</w:t>
            </w:r>
          </w:p>
        </w:tc>
        <w:tc>
          <w:tcPr>
            <w:tcW w:w="3411" w:type="dxa"/>
            <w:tcBorders>
              <w:bottom w:val="single" w:color="000000" w:themeColor="text1" w:sz="4" w:space="0"/>
            </w:tcBorders>
            <w:vAlign w:val="bottom"/>
          </w:tcPr>
          <w:p w14:paraId="6323FCFD">
            <w:pPr>
              <w:jc w:val="center"/>
              <w:rPr>
                <w:rFonts w:eastAsia="仿宋_GB2312"/>
                <w:sz w:val="30"/>
                <w:szCs w:val="30"/>
              </w:rPr>
            </w:pPr>
            <w:r>
              <w:rPr>
                <w:rFonts w:hint="eastAsia" w:eastAsia="仿宋_GB2312"/>
                <w:sz w:val="30"/>
                <w:szCs w:val="30"/>
              </w:rPr>
              <w:t>工程经济学</w:t>
            </w:r>
          </w:p>
        </w:tc>
      </w:tr>
      <w:tr w14:paraId="27CC371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91" w:hRule="atLeast"/>
        </w:trPr>
        <w:tc>
          <w:tcPr>
            <w:tcW w:w="2558" w:type="dxa"/>
            <w:vAlign w:val="bottom"/>
          </w:tcPr>
          <w:p w14:paraId="7617D989">
            <w:pPr>
              <w:jc w:val="right"/>
              <w:rPr>
                <w:rFonts w:ascii="楷体_GB2312" w:eastAsia="楷体_GB2312"/>
                <w:sz w:val="32"/>
                <w:szCs w:val="32"/>
              </w:rPr>
            </w:pPr>
            <w:r>
              <w:rPr>
                <w:rFonts w:hint="eastAsia" w:ascii="楷体_GB2312" w:eastAsia="楷体_GB2312"/>
                <w:sz w:val="32"/>
                <w:szCs w:val="32"/>
              </w:rPr>
              <w:t>班    级</w:t>
            </w:r>
          </w:p>
        </w:tc>
        <w:tc>
          <w:tcPr>
            <w:tcW w:w="3411" w:type="dxa"/>
            <w:tcBorders>
              <w:top w:val="single" w:color="000000" w:themeColor="text1" w:sz="4" w:space="0"/>
              <w:bottom w:val="single" w:color="000000" w:themeColor="text1" w:sz="4" w:space="0"/>
            </w:tcBorders>
            <w:vAlign w:val="bottom"/>
          </w:tcPr>
          <w:p w14:paraId="0C01454C">
            <w:pPr>
              <w:jc w:val="center"/>
              <w:rPr>
                <w:rFonts w:eastAsia="仿宋_GB2312"/>
                <w:sz w:val="28"/>
                <w:szCs w:val="28"/>
              </w:rPr>
            </w:pPr>
            <w:r>
              <w:rPr>
                <w:rFonts w:hint="eastAsia" w:eastAsia="仿宋_GB2312"/>
                <w:sz w:val="28"/>
                <w:szCs w:val="28"/>
              </w:rPr>
              <w:t>22软件工程（</w:t>
            </w:r>
            <w:r>
              <w:rPr>
                <w:rFonts w:hint="eastAsia" w:eastAsia="仿宋_GB2312"/>
                <w:sz w:val="28"/>
                <w:szCs w:val="28"/>
                <w:lang w:val="en-US" w:eastAsia="zh-CN"/>
              </w:rPr>
              <w:t>2</w:t>
            </w:r>
            <w:r>
              <w:rPr>
                <w:rFonts w:hint="eastAsia" w:eastAsia="仿宋_GB2312"/>
                <w:sz w:val="28"/>
                <w:szCs w:val="28"/>
              </w:rPr>
              <w:t>）</w:t>
            </w:r>
          </w:p>
        </w:tc>
      </w:tr>
      <w:tr w14:paraId="423BDC9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91" w:hRule="atLeast"/>
        </w:trPr>
        <w:tc>
          <w:tcPr>
            <w:tcW w:w="2558" w:type="dxa"/>
            <w:vAlign w:val="bottom"/>
          </w:tcPr>
          <w:p w14:paraId="60698BCC">
            <w:pPr>
              <w:jc w:val="right"/>
              <w:rPr>
                <w:rFonts w:ascii="楷体_GB2312" w:eastAsia="楷体_GB2312"/>
                <w:sz w:val="32"/>
                <w:szCs w:val="32"/>
              </w:rPr>
            </w:pPr>
            <w:r>
              <w:rPr>
                <w:rFonts w:hint="eastAsia" w:ascii="楷体_GB2312" w:eastAsia="楷体_GB2312"/>
                <w:sz w:val="32"/>
                <w:szCs w:val="32"/>
              </w:rPr>
              <w:t>姓名（学号）</w:t>
            </w:r>
          </w:p>
        </w:tc>
        <w:tc>
          <w:tcPr>
            <w:tcW w:w="3411" w:type="dxa"/>
            <w:tcBorders>
              <w:top w:val="single" w:color="000000" w:themeColor="text1" w:sz="4" w:space="0"/>
              <w:bottom w:val="single" w:color="000000" w:themeColor="text1" w:sz="4" w:space="0"/>
            </w:tcBorders>
            <w:vAlign w:val="bottom"/>
          </w:tcPr>
          <w:p w14:paraId="4C24FE48">
            <w:pPr>
              <w:jc w:val="center"/>
              <w:rPr>
                <w:rFonts w:eastAsia="仿宋_GB2312"/>
                <w:sz w:val="30"/>
                <w:szCs w:val="30"/>
              </w:rPr>
            </w:pPr>
            <w:r>
              <w:rPr>
                <w:rFonts w:hint="eastAsia" w:eastAsia="仿宋_GB2312"/>
                <w:sz w:val="30"/>
                <w:szCs w:val="30"/>
                <w:lang w:val="en-US" w:eastAsia="zh-CN"/>
              </w:rPr>
              <w:t>钟健</w:t>
            </w:r>
            <w:r>
              <w:rPr>
                <w:rFonts w:hint="eastAsia" w:eastAsia="仿宋_GB2312"/>
                <w:sz w:val="30"/>
                <w:szCs w:val="30"/>
              </w:rPr>
              <w:t>（</w:t>
            </w:r>
            <w:r>
              <w:rPr>
                <w:rFonts w:hint="eastAsia" w:eastAsia="仿宋_GB2312"/>
                <w:sz w:val="30"/>
                <w:szCs w:val="30"/>
                <w:lang w:val="en-US" w:eastAsia="zh-CN"/>
              </w:rPr>
              <w:t>22302092022</w:t>
            </w:r>
            <w:r>
              <w:rPr>
                <w:rFonts w:hint="eastAsia" w:eastAsia="仿宋_GB2312"/>
                <w:sz w:val="30"/>
                <w:szCs w:val="30"/>
              </w:rPr>
              <w:t>）</w:t>
            </w:r>
          </w:p>
        </w:tc>
      </w:tr>
      <w:tr w14:paraId="72F8F14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91" w:hRule="atLeast"/>
        </w:trPr>
        <w:tc>
          <w:tcPr>
            <w:tcW w:w="2558" w:type="dxa"/>
            <w:vAlign w:val="bottom"/>
          </w:tcPr>
          <w:p w14:paraId="0D8A2476">
            <w:pPr>
              <w:jc w:val="right"/>
              <w:rPr>
                <w:rFonts w:ascii="楷体_GB2312" w:eastAsia="楷体_GB2312"/>
                <w:sz w:val="32"/>
                <w:szCs w:val="32"/>
              </w:rPr>
            </w:pPr>
            <w:r>
              <w:rPr>
                <w:rFonts w:hint="eastAsia" w:ascii="楷体_GB2312" w:eastAsia="楷体_GB2312"/>
                <w:sz w:val="32"/>
                <w:szCs w:val="32"/>
              </w:rPr>
              <w:t>评阅教师</w:t>
            </w:r>
          </w:p>
        </w:tc>
        <w:tc>
          <w:tcPr>
            <w:tcW w:w="3411" w:type="dxa"/>
            <w:tcBorders>
              <w:top w:val="single" w:color="000000" w:themeColor="text1" w:sz="4" w:space="0"/>
              <w:bottom w:val="single" w:color="000000" w:themeColor="text1" w:sz="4" w:space="0"/>
            </w:tcBorders>
            <w:vAlign w:val="bottom"/>
          </w:tcPr>
          <w:p w14:paraId="07A57EAA">
            <w:pPr>
              <w:jc w:val="center"/>
              <w:rPr>
                <w:rFonts w:eastAsia="仿宋_GB2312"/>
                <w:sz w:val="30"/>
                <w:szCs w:val="30"/>
              </w:rPr>
            </w:pPr>
            <w:r>
              <w:rPr>
                <w:rFonts w:hint="eastAsia" w:eastAsia="仿宋_GB2312"/>
                <w:sz w:val="30"/>
                <w:szCs w:val="30"/>
              </w:rPr>
              <w:t>王晨</w:t>
            </w:r>
          </w:p>
        </w:tc>
      </w:tr>
      <w:tr w14:paraId="07C4B68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95" w:hRule="atLeast"/>
        </w:trPr>
        <w:tc>
          <w:tcPr>
            <w:tcW w:w="2558" w:type="dxa"/>
            <w:vAlign w:val="bottom"/>
          </w:tcPr>
          <w:p w14:paraId="534D59D5">
            <w:pPr>
              <w:jc w:val="right"/>
              <w:rPr>
                <w:rFonts w:ascii="楷体_GB2312" w:eastAsia="楷体_GB2312"/>
                <w:sz w:val="32"/>
                <w:szCs w:val="32"/>
              </w:rPr>
            </w:pPr>
            <w:r>
              <w:rPr>
                <w:rFonts w:hint="eastAsia" w:ascii="楷体_GB2312" w:eastAsia="楷体_GB2312"/>
                <w:sz w:val="32"/>
                <w:szCs w:val="32"/>
              </w:rPr>
              <w:t>成    绩</w:t>
            </w:r>
          </w:p>
        </w:tc>
        <w:tc>
          <w:tcPr>
            <w:tcW w:w="3411" w:type="dxa"/>
            <w:tcBorders>
              <w:top w:val="single" w:color="000000" w:themeColor="text1" w:sz="4" w:space="0"/>
              <w:bottom w:val="single" w:color="000000" w:themeColor="text1" w:sz="4" w:space="0"/>
            </w:tcBorders>
            <w:vAlign w:val="bottom"/>
          </w:tcPr>
          <w:p w14:paraId="597C11D3">
            <w:pPr>
              <w:jc w:val="center"/>
              <w:rPr>
                <w:rFonts w:eastAsia="仿宋_GB2312"/>
                <w:sz w:val="32"/>
                <w:szCs w:val="32"/>
              </w:rPr>
            </w:pPr>
          </w:p>
        </w:tc>
      </w:tr>
    </w:tbl>
    <w:p w14:paraId="209A2717">
      <w:pPr>
        <w:spacing w:before="120" w:beforeLines="50" w:after="120" w:afterLines="50"/>
        <w:jc w:val="center"/>
        <w:rPr>
          <w:rFonts w:eastAsia="楷体_GB2312"/>
          <w:b/>
          <w:sz w:val="44"/>
          <w:szCs w:val="44"/>
        </w:rPr>
      </w:pPr>
    </w:p>
    <w:p w14:paraId="54DA67FC">
      <w:pPr>
        <w:jc w:val="center"/>
        <w:rPr>
          <w:rFonts w:eastAsia="楷体_GB2312"/>
          <w:b/>
          <w:sz w:val="32"/>
          <w:szCs w:val="32"/>
        </w:rPr>
      </w:pPr>
      <w:r>
        <w:rPr>
          <w:rFonts w:eastAsia="楷体_GB2312"/>
          <w:b/>
          <w:sz w:val="32"/>
          <w:szCs w:val="32"/>
        </w:rPr>
        <w:t>20</w:t>
      </w:r>
      <w:r>
        <w:rPr>
          <w:rFonts w:hint="eastAsia" w:eastAsia="楷体_GB2312"/>
          <w:b/>
          <w:sz w:val="32"/>
          <w:szCs w:val="32"/>
        </w:rPr>
        <w:t>25</w:t>
      </w:r>
      <w:r>
        <w:rPr>
          <w:rFonts w:eastAsia="楷体_GB2312"/>
          <w:b/>
          <w:sz w:val="32"/>
          <w:szCs w:val="32"/>
        </w:rPr>
        <w:t>年</w:t>
      </w:r>
      <w:r>
        <w:rPr>
          <w:rFonts w:hint="eastAsia" w:eastAsia="楷体_GB2312"/>
          <w:b/>
          <w:sz w:val="32"/>
          <w:szCs w:val="32"/>
        </w:rPr>
        <w:t>3</w:t>
      </w:r>
      <w:r>
        <w:rPr>
          <w:rFonts w:eastAsia="楷体_GB2312"/>
          <w:b/>
          <w:sz w:val="32"/>
          <w:szCs w:val="32"/>
        </w:rPr>
        <w:t>月1</w:t>
      </w:r>
      <w:r>
        <w:rPr>
          <w:rFonts w:hint="eastAsia" w:eastAsia="楷体_GB2312"/>
          <w:b/>
          <w:sz w:val="32"/>
          <w:szCs w:val="32"/>
        </w:rPr>
        <w:t>7</w:t>
      </w:r>
      <w:r>
        <w:rPr>
          <w:rFonts w:eastAsia="楷体_GB2312"/>
          <w:b/>
          <w:sz w:val="32"/>
          <w:szCs w:val="32"/>
        </w:rPr>
        <w:t>日</w:t>
      </w:r>
    </w:p>
    <w:p w14:paraId="775B1018">
      <w:pPr>
        <w:widowControl/>
        <w:jc w:val="center"/>
        <w:rPr>
          <w:rFonts w:hint="eastAsia" w:asciiTheme="majorEastAsia" w:hAnsiTheme="majorEastAsia" w:eastAsiaTheme="majorEastAsia"/>
          <w:b/>
          <w:sz w:val="32"/>
          <w:szCs w:val="32"/>
        </w:rPr>
      </w:pPr>
      <w:r>
        <w:br w:type="page"/>
      </w:r>
      <w:r>
        <w:rPr>
          <w:rFonts w:hint="eastAsia" w:asciiTheme="majorEastAsia" w:hAnsiTheme="majorEastAsia" w:eastAsiaTheme="majorEastAsia"/>
          <w:b/>
          <w:sz w:val="32"/>
          <w:szCs w:val="32"/>
        </w:rPr>
        <w:t>《工程经济学》读书笔记</w:t>
      </w:r>
    </w:p>
    <w:p w14:paraId="5C5B45C2">
      <w:pPr>
        <w:spacing w:before="72" w:beforeLines="30" w:line="288" w:lineRule="auto"/>
        <w:jc w:val="center"/>
        <w:rPr>
          <w:rFonts w:hAnsi="宋体"/>
          <w:sz w:val="24"/>
        </w:rPr>
      </w:pPr>
      <w:r>
        <w:rPr>
          <w:rFonts w:hint="eastAsia" w:eastAsia="仿宋_GB2312"/>
          <w:sz w:val="24"/>
          <w:lang w:val="en-US" w:eastAsia="zh-CN"/>
        </w:rPr>
        <w:t>钟健</w:t>
      </w:r>
      <w:r>
        <w:rPr>
          <w:rFonts w:eastAsia="仿宋_GB2312"/>
          <w:sz w:val="24"/>
        </w:rPr>
        <w:t>（合肥</w:t>
      </w:r>
      <w:r>
        <w:rPr>
          <w:rFonts w:hint="eastAsia" w:eastAsia="仿宋_GB2312"/>
          <w:sz w:val="24"/>
        </w:rPr>
        <w:t>大学人工智能与大数据学院</w:t>
      </w:r>
      <w:r>
        <w:rPr>
          <w:rFonts w:eastAsia="仿宋_GB2312"/>
          <w:sz w:val="24"/>
        </w:rPr>
        <w:t>，合肥：230602）</w:t>
      </w:r>
    </w:p>
    <w:p w14:paraId="384D3EE2">
      <w:pPr>
        <w:spacing w:before="72" w:beforeLines="30" w:line="288" w:lineRule="auto"/>
        <w:ind w:firstLine="482" w:firstLineChars="200"/>
        <w:rPr>
          <w:rFonts w:hint="eastAsia" w:hAnsi="宋体"/>
          <w:sz w:val="24"/>
        </w:rPr>
      </w:pPr>
      <w:r>
        <w:rPr>
          <w:rFonts w:hint="eastAsia" w:hAnsi="宋体"/>
          <w:b/>
          <w:bCs/>
          <w:sz w:val="24"/>
        </w:rPr>
        <w:t>摘要：</w:t>
      </w:r>
    </w:p>
    <w:p w14:paraId="1A54067E">
      <w:pPr>
        <w:spacing w:before="72" w:beforeLines="30" w:line="288" w:lineRule="auto"/>
        <w:ind w:firstLine="480" w:firstLineChars="200"/>
        <w:rPr>
          <w:rFonts w:hint="eastAsia" w:hAnsi="宋体"/>
          <w:sz w:val="24"/>
        </w:rPr>
      </w:pPr>
      <w:r>
        <w:rPr>
          <w:rFonts w:hint="eastAsia" w:hAnsi="宋体"/>
          <w:sz w:val="24"/>
        </w:rPr>
        <w:t>随着信息技术的快速发展，数字经济已成为全球经济发展的新引擎。本文从数字经济的基本内涵出发，探讨其对工程经济分析方法的变革与重塑作用，重点分析数字化技术在投资评估、成本控制、效益预测、风险管理等工程经济核心环节的应用，结合国内外研究成果和典型案例，归纳出数字经济与工程经济融合的路径与策略，并展望未来融合发展的趋势与挑战。研究认为，数字经济不仅提供了更高效的分析工具，还重塑了工程经济的价值体系与决策模式，为实现工程项目的高质量发展提供了新动能。</w:t>
      </w:r>
    </w:p>
    <w:p w14:paraId="53D23F47">
      <w:pPr>
        <w:spacing w:before="72" w:beforeLines="30" w:line="288" w:lineRule="auto"/>
        <w:ind w:firstLine="482" w:firstLineChars="200"/>
        <w:rPr>
          <w:rFonts w:hint="eastAsia" w:hAnsi="宋体"/>
          <w:sz w:val="24"/>
        </w:rPr>
      </w:pPr>
      <w:r>
        <w:rPr>
          <w:rFonts w:hint="eastAsia" w:hAnsi="宋体"/>
          <w:b/>
          <w:bCs/>
          <w:sz w:val="24"/>
        </w:rPr>
        <w:t>关键词：</w:t>
      </w:r>
      <w:r>
        <w:rPr>
          <w:rFonts w:hint="eastAsia" w:hAnsi="宋体"/>
          <w:sz w:val="24"/>
        </w:rPr>
        <w:t>数字经济；工程经济分析；数字化转型；大数据；智能决策；融合路径</w:t>
      </w:r>
    </w:p>
    <w:p w14:paraId="52ABCDD7">
      <w:pPr>
        <w:spacing w:before="72" w:beforeLines="30" w:line="288" w:lineRule="auto"/>
        <w:ind w:firstLine="482" w:firstLineChars="200"/>
        <w:rPr>
          <w:rFonts w:hint="eastAsia" w:hAnsi="宋体"/>
          <w:b/>
          <w:bCs/>
          <w:sz w:val="24"/>
        </w:rPr>
      </w:pPr>
      <w:r>
        <w:rPr>
          <w:rFonts w:hint="eastAsia" w:hAnsi="宋体"/>
          <w:b/>
          <w:bCs/>
          <w:sz w:val="24"/>
        </w:rPr>
        <w:t>一、引言：数字经济背景下的工程经济学再认识</w:t>
      </w:r>
    </w:p>
    <w:p w14:paraId="063D7295">
      <w:pPr>
        <w:spacing w:before="72" w:beforeLines="30" w:line="288" w:lineRule="auto"/>
        <w:ind w:firstLine="420" w:firstLineChars="0"/>
        <w:rPr>
          <w:rFonts w:hint="eastAsia" w:hAnsi="宋体"/>
          <w:sz w:val="24"/>
        </w:rPr>
      </w:pPr>
      <w:r>
        <w:rPr>
          <w:rFonts w:hint="eastAsia" w:hAnsi="宋体"/>
          <w:sz w:val="24"/>
        </w:rPr>
        <w:t>近年来，数字经济的迅猛发展已经成为推动社会变革与产业升级的核心力量。从“东数西算”工程到5G、大数据中心、人工智能与云基础设施的全面铺开，工程项目的建设、评估与管理理念也随之发生了深刻变革。工程经济学作为一门应用型课程，在面对新型工程模式和投资逻辑时，也面临更新与重构。</w:t>
      </w:r>
    </w:p>
    <w:p w14:paraId="0980973E">
      <w:pPr>
        <w:spacing w:before="72" w:beforeLines="30" w:line="288" w:lineRule="auto"/>
        <w:ind w:firstLine="420" w:firstLineChars="0"/>
        <w:rPr>
          <w:rFonts w:hint="eastAsia" w:hAnsi="宋体"/>
          <w:sz w:val="24"/>
        </w:rPr>
      </w:pPr>
      <w:r>
        <w:rPr>
          <w:rFonts w:hint="eastAsia" w:hAnsi="宋体"/>
          <w:sz w:val="24"/>
        </w:rPr>
        <w:t>当前，国内学者对数字经济与工程经济分析的融合展开了广泛探索。例如刘志彪等（2021）提出数字技术是推动中国高质量发展的核心引擎，吴福喜等（2020）在工程经济体系中引入数据驱动理念，初步构建了以信息化为核心的工程管理分析框架，为本研究提供了重要参考。然而，在实际工程管理实践中，信息孤岛、数据标准不统一、技术人才短缺等问题依然广泛存在，这使得传统工程经济分析手段在新形势下难以胜任全面决策支持的需求。</w:t>
      </w:r>
    </w:p>
    <w:p w14:paraId="731A28BF">
      <w:pPr>
        <w:spacing w:before="72" w:beforeLines="30" w:line="288" w:lineRule="auto"/>
        <w:ind w:firstLine="480" w:firstLineChars="200"/>
        <w:rPr>
          <w:rFonts w:hint="eastAsia" w:hAnsi="宋体"/>
          <w:sz w:val="24"/>
        </w:rPr>
      </w:pPr>
      <w:r>
        <w:rPr>
          <w:rFonts w:hint="eastAsia" w:hAnsi="宋体"/>
          <w:sz w:val="24"/>
        </w:rPr>
        <w:t>本文结合对8篇以上数字经济相关中文文献的系统阅读与个人项目实践，围绕“数字基础设施建设”“技术创新与经济分析模型演进”“数字化赋能传统工程”等关键词展开，尝试分析数字技术如何影响工程经济学的基本分析范式，讨论理论与实践在新时代的结合方式，并提出个人的一些思考与问题。</w:t>
      </w:r>
    </w:p>
    <w:p w14:paraId="465FDE0C">
      <w:pPr>
        <w:spacing w:before="72" w:beforeLines="30" w:line="288" w:lineRule="auto"/>
        <w:ind w:firstLine="480" w:firstLineChars="200"/>
        <w:rPr>
          <w:rFonts w:hint="eastAsia" w:hAnsi="宋体"/>
          <w:sz w:val="24"/>
        </w:rPr>
      </w:pPr>
    </w:p>
    <w:p w14:paraId="08710987">
      <w:pPr>
        <w:spacing w:before="72" w:beforeLines="30" w:line="288" w:lineRule="auto"/>
        <w:ind w:firstLine="482" w:firstLineChars="200"/>
        <w:rPr>
          <w:rFonts w:hint="eastAsia" w:hAnsi="宋体"/>
          <w:b/>
          <w:bCs/>
          <w:sz w:val="24"/>
        </w:rPr>
      </w:pPr>
      <w:r>
        <w:rPr>
          <w:rFonts w:hint="eastAsia" w:hAnsi="宋体"/>
          <w:b/>
          <w:bCs/>
          <w:sz w:val="24"/>
        </w:rPr>
        <w:t>二、数字经济的内涵与发展趋势</w:t>
      </w:r>
    </w:p>
    <w:p w14:paraId="06E0FF47">
      <w:pPr>
        <w:spacing w:before="72" w:beforeLines="30" w:line="288" w:lineRule="auto"/>
        <w:ind w:firstLine="480" w:firstLineChars="200"/>
        <w:rPr>
          <w:rFonts w:hint="eastAsia" w:hAnsi="宋体"/>
          <w:sz w:val="24"/>
        </w:rPr>
      </w:pPr>
      <w:r>
        <w:rPr>
          <w:rFonts w:hint="eastAsia" w:hAnsi="宋体"/>
          <w:sz w:val="24"/>
          <w:lang w:val="en-US" w:eastAsia="zh-CN"/>
        </w:rPr>
        <w:t xml:space="preserve">1. </w:t>
      </w:r>
      <w:r>
        <w:rPr>
          <w:rFonts w:hint="eastAsia" w:hAnsi="宋体"/>
          <w:sz w:val="24"/>
        </w:rPr>
        <w:t>数字经济的概念界定</w:t>
      </w:r>
    </w:p>
    <w:p w14:paraId="6783EB2A">
      <w:pPr>
        <w:spacing w:before="72" w:beforeLines="30" w:line="288" w:lineRule="auto"/>
        <w:ind w:firstLine="480" w:firstLineChars="200"/>
        <w:rPr>
          <w:rFonts w:hint="eastAsia" w:hAnsi="宋体"/>
          <w:sz w:val="24"/>
        </w:rPr>
      </w:pPr>
      <w:r>
        <w:rPr>
          <w:rFonts w:hint="eastAsia" w:hAnsi="宋体"/>
          <w:sz w:val="24"/>
        </w:rPr>
        <w:t>数字经济是以数据为关键生产要素、以现代信息网络为主要载体、以数字技术的深度应用为驱动力的一种新型经济形态。联合国《数字经济报告》将其定义为“基于数字化信息与知识的生产、管理与使用的一系列经济活动”。相比传统经济模式，数字经济具有高效率、强连接、低边际成本、快速迭代等显著特征。</w:t>
      </w:r>
    </w:p>
    <w:p w14:paraId="0E14F312">
      <w:pPr>
        <w:numPr>
          <w:ilvl w:val="0"/>
          <w:numId w:val="1"/>
        </w:numPr>
        <w:spacing w:before="72" w:beforeLines="30" w:line="288" w:lineRule="auto"/>
        <w:ind w:firstLine="480" w:firstLineChars="200"/>
        <w:rPr>
          <w:rFonts w:hint="eastAsia" w:hAnsi="宋体"/>
          <w:sz w:val="24"/>
        </w:rPr>
      </w:pPr>
      <w:r>
        <w:rPr>
          <w:rFonts w:hint="eastAsia" w:hAnsi="宋体"/>
          <w:sz w:val="24"/>
        </w:rPr>
        <w:t>数字经济的核心要素</w:t>
      </w:r>
    </w:p>
    <w:p w14:paraId="7305B89C">
      <w:pPr>
        <w:spacing w:before="72" w:beforeLines="30" w:line="288" w:lineRule="auto"/>
        <w:ind w:firstLine="480" w:firstLineChars="200"/>
        <w:rPr>
          <w:rFonts w:hint="eastAsia" w:hAnsi="宋体"/>
          <w:sz w:val="24"/>
        </w:rPr>
      </w:pPr>
      <w:r>
        <w:rPr>
          <w:rFonts w:hint="eastAsia" w:hAnsi="宋体"/>
          <w:sz w:val="24"/>
        </w:rPr>
        <w:t>数字经济的发展主要依赖于五大核心要素：</w:t>
      </w:r>
    </w:p>
    <w:p w14:paraId="47642B57">
      <w:pPr>
        <w:numPr>
          <w:ilvl w:val="0"/>
          <w:numId w:val="2"/>
        </w:numPr>
        <w:spacing w:before="72" w:beforeLines="30" w:line="288" w:lineRule="auto"/>
        <w:ind w:left="840" w:leftChars="0" w:hanging="420" w:firstLineChars="0"/>
        <w:rPr>
          <w:rFonts w:hint="eastAsia" w:hAnsi="宋体"/>
          <w:sz w:val="24"/>
        </w:rPr>
      </w:pPr>
      <w:r>
        <w:rPr>
          <w:rFonts w:hint="eastAsia" w:hAnsi="宋体"/>
          <w:sz w:val="24"/>
        </w:rPr>
        <w:t>数据资源：被视为新的生产要素，对经济活动产生深远影响；</w:t>
      </w:r>
    </w:p>
    <w:p w14:paraId="7A97B921">
      <w:pPr>
        <w:numPr>
          <w:ilvl w:val="0"/>
          <w:numId w:val="2"/>
        </w:numPr>
        <w:spacing w:before="72" w:beforeLines="30" w:line="288" w:lineRule="auto"/>
        <w:ind w:left="840" w:leftChars="0" w:hanging="420" w:firstLineChars="0"/>
        <w:rPr>
          <w:rFonts w:hint="eastAsia" w:hAnsi="宋体"/>
          <w:sz w:val="24"/>
        </w:rPr>
      </w:pPr>
      <w:r>
        <w:rPr>
          <w:rFonts w:hint="eastAsia" w:hAnsi="宋体"/>
          <w:sz w:val="24"/>
        </w:rPr>
        <w:t>算力设施：包括云计算、边缘计算、超级计算中心等，提供强大的支撑能力；</w:t>
      </w:r>
    </w:p>
    <w:p w14:paraId="58439E23">
      <w:pPr>
        <w:numPr>
          <w:ilvl w:val="0"/>
          <w:numId w:val="2"/>
        </w:numPr>
        <w:spacing w:before="72" w:beforeLines="30" w:line="288" w:lineRule="auto"/>
        <w:ind w:left="840" w:leftChars="0" w:hanging="420" w:firstLineChars="0"/>
        <w:rPr>
          <w:rFonts w:hint="eastAsia" w:hAnsi="宋体"/>
          <w:sz w:val="24"/>
        </w:rPr>
      </w:pPr>
      <w:r>
        <w:rPr>
          <w:rFonts w:hint="eastAsia" w:hAnsi="宋体"/>
          <w:sz w:val="24"/>
        </w:rPr>
        <w:t>算法能力：依托人工智能、机器学习等技术，实现对海量数据的智能处理与推理；</w:t>
      </w:r>
    </w:p>
    <w:p w14:paraId="7BEF51CB">
      <w:pPr>
        <w:numPr>
          <w:ilvl w:val="0"/>
          <w:numId w:val="2"/>
        </w:numPr>
        <w:spacing w:before="72" w:beforeLines="30" w:line="288" w:lineRule="auto"/>
        <w:ind w:left="840" w:leftChars="0" w:hanging="420" w:firstLineChars="0"/>
        <w:rPr>
          <w:rFonts w:hint="eastAsia" w:hAnsi="宋体"/>
          <w:sz w:val="24"/>
        </w:rPr>
      </w:pPr>
      <w:r>
        <w:rPr>
          <w:rFonts w:hint="eastAsia" w:hAnsi="宋体"/>
          <w:sz w:val="24"/>
        </w:rPr>
        <w:t>数字基础设施：如5G、物联网、区块链等，构成数据流动与交互的基础；</w:t>
      </w:r>
    </w:p>
    <w:p w14:paraId="2B6B75A8">
      <w:pPr>
        <w:numPr>
          <w:ilvl w:val="0"/>
          <w:numId w:val="2"/>
        </w:numPr>
        <w:spacing w:before="72" w:beforeLines="30" w:line="288" w:lineRule="auto"/>
        <w:ind w:left="840" w:leftChars="0" w:hanging="420" w:firstLineChars="0"/>
        <w:rPr>
          <w:rFonts w:hint="eastAsia" w:hAnsi="宋体"/>
          <w:sz w:val="24"/>
        </w:rPr>
      </w:pPr>
      <w:r>
        <w:rPr>
          <w:rFonts w:hint="eastAsia" w:hAnsi="宋体"/>
          <w:sz w:val="24"/>
        </w:rPr>
        <w:t>数字技能与人才：推动数字化落地的关键。</w:t>
      </w:r>
    </w:p>
    <w:p w14:paraId="002CB42D">
      <w:pPr>
        <w:numPr>
          <w:ilvl w:val="0"/>
          <w:numId w:val="1"/>
        </w:numPr>
        <w:spacing w:before="72" w:beforeLines="30" w:line="288" w:lineRule="auto"/>
        <w:ind w:left="0" w:leftChars="0" w:firstLine="480" w:firstLineChars="200"/>
        <w:rPr>
          <w:rFonts w:hint="eastAsia" w:hAnsi="宋体"/>
          <w:sz w:val="24"/>
        </w:rPr>
      </w:pPr>
      <w:r>
        <w:rPr>
          <w:rFonts w:hint="eastAsia" w:hAnsi="宋体"/>
          <w:sz w:val="24"/>
        </w:rPr>
        <w:t>数字经济的发展趋势</w:t>
      </w:r>
    </w:p>
    <w:p w14:paraId="704CD6B6">
      <w:pPr>
        <w:spacing w:before="72" w:beforeLines="30" w:line="288" w:lineRule="auto"/>
        <w:ind w:firstLine="480" w:firstLineChars="200"/>
        <w:rPr>
          <w:rFonts w:hint="eastAsia" w:hAnsi="宋体"/>
          <w:sz w:val="24"/>
        </w:rPr>
      </w:pPr>
      <w:r>
        <w:rPr>
          <w:rFonts w:hint="eastAsia" w:hAnsi="宋体"/>
          <w:sz w:val="24"/>
        </w:rPr>
        <w:t>当前数字经济呈现以下趋势：</w:t>
      </w:r>
    </w:p>
    <w:p w14:paraId="47DC91FF">
      <w:pPr>
        <w:numPr>
          <w:ilvl w:val="0"/>
          <w:numId w:val="3"/>
        </w:numPr>
        <w:spacing w:before="72" w:beforeLines="30" w:line="288" w:lineRule="auto"/>
        <w:ind w:left="840" w:leftChars="0" w:hanging="420" w:firstLineChars="0"/>
        <w:rPr>
          <w:rFonts w:hint="eastAsia" w:hAnsi="宋体"/>
          <w:sz w:val="24"/>
        </w:rPr>
      </w:pPr>
      <w:r>
        <w:rPr>
          <w:rFonts w:hint="eastAsia" w:hAnsi="宋体"/>
          <w:sz w:val="24"/>
        </w:rPr>
        <w:t>平台化与生态化发展显著；</w:t>
      </w:r>
    </w:p>
    <w:p w14:paraId="2C283750">
      <w:pPr>
        <w:numPr>
          <w:ilvl w:val="0"/>
          <w:numId w:val="3"/>
        </w:numPr>
        <w:spacing w:before="72" w:beforeLines="30" w:line="288" w:lineRule="auto"/>
        <w:ind w:left="840" w:leftChars="0" w:hanging="420" w:firstLineChars="0"/>
        <w:rPr>
          <w:rFonts w:hint="eastAsia" w:hAnsi="宋体"/>
          <w:sz w:val="24"/>
        </w:rPr>
      </w:pPr>
      <w:r>
        <w:rPr>
          <w:rFonts w:hint="eastAsia" w:hAnsi="宋体"/>
          <w:sz w:val="24"/>
        </w:rPr>
        <w:t>跨界融合日益增强，尤其与制造、金融、交通、建筑等传统产业加速融合</w:t>
      </w:r>
    </w:p>
    <w:p w14:paraId="13CBE663">
      <w:pPr>
        <w:numPr>
          <w:ilvl w:val="0"/>
          <w:numId w:val="3"/>
        </w:numPr>
        <w:spacing w:before="72" w:beforeLines="30" w:line="288" w:lineRule="auto"/>
        <w:ind w:left="840" w:leftChars="0" w:hanging="420" w:firstLineChars="0"/>
        <w:rPr>
          <w:rFonts w:hint="eastAsia" w:hAnsi="宋体"/>
          <w:sz w:val="24"/>
        </w:rPr>
      </w:pPr>
      <w:r>
        <w:rPr>
          <w:rFonts w:hint="eastAsia" w:hAnsi="宋体"/>
          <w:sz w:val="24"/>
        </w:rPr>
        <w:t>数字治理与数据安全成为发展重点；</w:t>
      </w:r>
    </w:p>
    <w:p w14:paraId="709092BA">
      <w:pPr>
        <w:numPr>
          <w:ilvl w:val="0"/>
          <w:numId w:val="3"/>
        </w:numPr>
        <w:spacing w:before="72" w:beforeLines="30" w:line="288" w:lineRule="auto"/>
        <w:ind w:left="840" w:leftChars="0" w:hanging="420" w:firstLineChars="0"/>
        <w:rPr>
          <w:rFonts w:hint="eastAsia" w:hAnsi="宋体"/>
          <w:sz w:val="24"/>
        </w:rPr>
      </w:pPr>
      <w:r>
        <w:rPr>
          <w:rFonts w:hint="eastAsia" w:hAnsi="宋体"/>
          <w:sz w:val="24"/>
        </w:rPr>
        <w:t>向绿色、可持续方向演进。</w:t>
      </w:r>
    </w:p>
    <w:p w14:paraId="24104F16">
      <w:pPr>
        <w:spacing w:before="72" w:beforeLines="30" w:line="288" w:lineRule="auto"/>
        <w:ind w:firstLine="480" w:firstLineChars="200"/>
        <w:rPr>
          <w:rFonts w:hint="eastAsia" w:hAnsi="宋体"/>
          <w:sz w:val="24"/>
        </w:rPr>
      </w:pPr>
    </w:p>
    <w:p w14:paraId="17BC8642">
      <w:pPr>
        <w:spacing w:before="72" w:beforeLines="30" w:line="288" w:lineRule="auto"/>
        <w:ind w:firstLine="482" w:firstLineChars="200"/>
        <w:rPr>
          <w:rFonts w:hint="eastAsia" w:hAnsi="宋体"/>
          <w:b/>
          <w:bCs/>
          <w:sz w:val="24"/>
        </w:rPr>
      </w:pPr>
      <w:r>
        <w:rPr>
          <w:rFonts w:hint="eastAsia" w:hAnsi="宋体"/>
          <w:b/>
          <w:bCs/>
          <w:sz w:val="24"/>
        </w:rPr>
        <w:t>三、数字经济对工程经济分析的具体影响</w:t>
      </w:r>
    </w:p>
    <w:p w14:paraId="13AE7CF8">
      <w:pPr>
        <w:spacing w:before="72" w:beforeLines="30" w:line="288" w:lineRule="auto"/>
        <w:ind w:firstLine="420" w:firstLineChars="0"/>
        <w:rPr>
          <w:rFonts w:hint="eastAsia" w:hAnsi="宋体"/>
          <w:sz w:val="24"/>
        </w:rPr>
      </w:pPr>
      <w:r>
        <w:rPr>
          <w:rFonts w:hint="eastAsia" w:hAnsi="宋体"/>
          <w:sz w:val="24"/>
        </w:rPr>
        <w:t>（一）工程项目投资逻辑的演变</w:t>
      </w:r>
    </w:p>
    <w:p w14:paraId="711F0A4B">
      <w:pPr>
        <w:spacing w:before="72" w:beforeLines="30" w:line="288" w:lineRule="auto"/>
        <w:ind w:firstLine="480" w:firstLineChars="200"/>
        <w:rPr>
          <w:rFonts w:hint="eastAsia" w:hAnsi="宋体"/>
          <w:sz w:val="24"/>
        </w:rPr>
      </w:pPr>
      <w:r>
        <w:rPr>
          <w:rFonts w:hint="eastAsia" w:hAnsi="宋体"/>
          <w:sz w:val="24"/>
        </w:rPr>
        <w:t>在传统工程经济学中，投资回收期、净现值、内部收益率等是核心评价指标。但在数字经济语境中，这些指标面临局限。以大数据中心项目为例，其早期投资高昂、回报周期长，但数据资产会随着时间叠加产生“乘数效应”，使长期收益难以用静态指标衡量。因此，工程分析需引入“数据溢出价值”“平台效应”等新变量。这些变量不仅改变了工程的边界，也扩展了经济效益的计算范围。例如，通过数据驱动的商业智能分析，平台可以对用户行为进行深度挖掘，形成精准营销、定制化服务，进而衍生出新的收入模式。</w:t>
      </w:r>
    </w:p>
    <w:p w14:paraId="1538EE01">
      <w:pPr>
        <w:spacing w:before="72" w:beforeLines="30" w:line="288" w:lineRule="auto"/>
        <w:ind w:firstLine="480" w:firstLineChars="200"/>
        <w:rPr>
          <w:rFonts w:hint="eastAsia" w:hAnsi="宋体"/>
          <w:sz w:val="24"/>
        </w:rPr>
      </w:pPr>
    </w:p>
    <w:p w14:paraId="25269734">
      <w:pPr>
        <w:spacing w:before="72" w:beforeLines="30" w:line="288" w:lineRule="auto"/>
        <w:ind w:firstLine="480" w:firstLineChars="200"/>
        <w:rPr>
          <w:rFonts w:hint="eastAsia" w:hAnsi="宋体"/>
          <w:sz w:val="24"/>
        </w:rPr>
      </w:pPr>
      <w:r>
        <w:rPr>
          <w:rFonts w:hint="eastAsia" w:hAnsi="宋体"/>
          <w:sz w:val="24"/>
        </w:rPr>
        <w:t>（二）工程风险评估方法的升级</w:t>
      </w:r>
    </w:p>
    <w:p w14:paraId="494F085B">
      <w:pPr>
        <w:spacing w:before="72" w:beforeLines="30" w:line="288" w:lineRule="auto"/>
        <w:ind w:firstLine="480" w:firstLineChars="200"/>
        <w:rPr>
          <w:rFonts w:hint="eastAsia" w:hAnsi="宋体"/>
          <w:sz w:val="24"/>
        </w:rPr>
      </w:pPr>
      <w:r>
        <w:rPr>
          <w:rFonts w:hint="eastAsia" w:hAnsi="宋体"/>
          <w:sz w:val="24"/>
        </w:rPr>
        <w:t>数字化工程项目普遍具有技术更新快、市场变化敏感、数据合规性强等特征，传统风险评估体系难以全面覆盖。现在，工程经济学逐渐采用AI预测模型、蒙特卡洛模拟等技术进行不确定性分析。例如，在“智慧工地”建设中，通过IoT实时数据判断施工延误概率，进而评估经济影响。与此同时，区块链等新兴技术也在保障数据可追溯性与透明度方面发挥作用，使工程风险管理更加精细化、实时化。此外，敏捷开发与持续集成等数字项目管理方法也正在改变工程执行的节奏与反馈机制，从而在经济评估中引入更动态的调整维度。</w:t>
      </w:r>
    </w:p>
    <w:p w14:paraId="02BCEFED">
      <w:pPr>
        <w:spacing w:before="72" w:beforeLines="30" w:line="288" w:lineRule="auto"/>
        <w:ind w:firstLine="480" w:firstLineChars="200"/>
        <w:rPr>
          <w:rFonts w:hint="eastAsia" w:hAnsi="宋体"/>
          <w:sz w:val="24"/>
        </w:rPr>
      </w:pPr>
    </w:p>
    <w:p w14:paraId="610CF712">
      <w:pPr>
        <w:spacing w:before="72" w:beforeLines="30" w:line="288" w:lineRule="auto"/>
        <w:ind w:firstLine="480" w:firstLineChars="200"/>
        <w:rPr>
          <w:rFonts w:hint="eastAsia" w:hAnsi="宋体"/>
          <w:sz w:val="24"/>
        </w:rPr>
      </w:pPr>
      <w:r>
        <w:rPr>
          <w:rFonts w:hint="eastAsia" w:hAnsi="宋体"/>
          <w:sz w:val="24"/>
        </w:rPr>
        <w:t>（三）工程生命周期分析维度拓展</w:t>
      </w:r>
    </w:p>
    <w:p w14:paraId="582BB7A8">
      <w:pPr>
        <w:spacing w:before="72" w:beforeLines="30" w:line="288" w:lineRule="auto"/>
        <w:ind w:firstLine="480" w:firstLineChars="200"/>
        <w:rPr>
          <w:rFonts w:hint="eastAsia" w:hAnsi="宋体"/>
          <w:sz w:val="24"/>
        </w:rPr>
      </w:pPr>
      <w:r>
        <w:rPr>
          <w:rFonts w:hint="eastAsia" w:hAnsi="宋体"/>
          <w:sz w:val="24"/>
        </w:rPr>
        <w:t>数字基础设施类项目的生命周期，不仅包括设计—建设—运行—维护，更强调数据采集—分析—服务—再创新的“数据生命周期”。工程经济学分析需关注数据产生与再利用过程的收益，如在智能交通工程中，道路运行数据可服务于城市治理与商业广告，形成多重收益通道。进一步地，数据生命周期所创造的价值具有高度可扩展性和延展性。例如，一座智能建筑在其运行过程中不断积累的数据，不仅能够优化建筑自身的能源消耗与安全管理，还可以为城市规划、应急响应等提供数据支撑，间接带来更广泛的社会与经济效益。</w:t>
      </w:r>
    </w:p>
    <w:p w14:paraId="6B2970A9">
      <w:pPr>
        <w:spacing w:before="72" w:beforeLines="30" w:line="288" w:lineRule="auto"/>
        <w:ind w:firstLine="480" w:firstLineChars="200"/>
        <w:rPr>
          <w:rFonts w:hint="eastAsia" w:hAnsi="宋体"/>
          <w:sz w:val="24"/>
        </w:rPr>
      </w:pPr>
    </w:p>
    <w:p w14:paraId="6B610635">
      <w:pPr>
        <w:spacing w:before="72" w:beforeLines="30" w:line="288" w:lineRule="auto"/>
        <w:ind w:firstLine="482" w:firstLineChars="200"/>
        <w:rPr>
          <w:rFonts w:hint="eastAsia" w:hAnsi="宋体"/>
          <w:sz w:val="24"/>
        </w:rPr>
      </w:pPr>
      <w:r>
        <w:rPr>
          <w:rFonts w:hint="eastAsia" w:hAnsi="宋体"/>
          <w:b/>
          <w:bCs/>
          <w:sz w:val="24"/>
        </w:rPr>
        <w:t>四、数字经济赋能工程经济分析的路径</w:t>
      </w:r>
    </w:p>
    <w:p w14:paraId="5B48BDDC">
      <w:pPr>
        <w:spacing w:before="72" w:beforeLines="30" w:line="288" w:lineRule="auto"/>
        <w:ind w:firstLine="480" w:firstLineChars="200"/>
        <w:rPr>
          <w:rFonts w:hint="eastAsia" w:hAnsi="宋体"/>
          <w:sz w:val="24"/>
        </w:rPr>
      </w:pPr>
      <w:r>
        <w:rPr>
          <w:rFonts w:hint="eastAsia" w:hAnsi="宋体"/>
          <w:sz w:val="24"/>
          <w:lang w:val="en-US" w:eastAsia="zh-CN"/>
        </w:rPr>
        <w:t xml:space="preserve">1. </w:t>
      </w:r>
      <w:r>
        <w:rPr>
          <w:rFonts w:hint="eastAsia" w:hAnsi="宋体"/>
          <w:sz w:val="24"/>
        </w:rPr>
        <w:t>大数据提升数据处理能力</w:t>
      </w:r>
    </w:p>
    <w:p w14:paraId="744C537A">
      <w:pPr>
        <w:spacing w:before="72" w:beforeLines="30" w:line="288" w:lineRule="auto"/>
        <w:ind w:firstLine="480" w:firstLineChars="200"/>
        <w:rPr>
          <w:rFonts w:hint="eastAsia" w:hAnsi="宋体"/>
          <w:sz w:val="24"/>
        </w:rPr>
      </w:pPr>
      <w:r>
        <w:rPr>
          <w:rFonts w:hint="eastAsia" w:hAnsi="宋体"/>
          <w:sz w:val="24"/>
        </w:rPr>
        <w:t>数字经济为工程经济分析提供了海量、实时、多维的数据来源。通过大数据平台，可实现对工程项目全过程的数据采集、清洗、分析与可视化，显著提升分析的全面性与实时性。例如，建筑工程中通过BIM（建筑信息模型）结合IoT传感器收集施工现场数据，使得进度、成本、质量等数据实时可控。</w:t>
      </w:r>
    </w:p>
    <w:p w14:paraId="1417B42E">
      <w:pPr>
        <w:numPr>
          <w:ilvl w:val="0"/>
          <w:numId w:val="4"/>
        </w:numPr>
        <w:spacing w:before="72" w:beforeLines="30" w:line="288" w:lineRule="auto"/>
        <w:ind w:firstLine="480" w:firstLineChars="200"/>
        <w:rPr>
          <w:rFonts w:hint="eastAsia" w:hAnsi="宋体"/>
          <w:sz w:val="24"/>
        </w:rPr>
      </w:pPr>
      <w:r>
        <w:rPr>
          <w:rFonts w:hint="eastAsia" w:hAnsi="宋体"/>
          <w:sz w:val="24"/>
        </w:rPr>
        <w:t>人工智能辅助决策优化</w:t>
      </w:r>
    </w:p>
    <w:p w14:paraId="52743EC5">
      <w:pPr>
        <w:spacing w:before="72" w:beforeLines="30" w:line="288" w:lineRule="auto"/>
        <w:ind w:firstLine="480" w:firstLineChars="200"/>
        <w:rPr>
          <w:rFonts w:hint="eastAsia" w:hAnsi="宋体"/>
          <w:sz w:val="24"/>
        </w:rPr>
      </w:pPr>
      <w:r>
        <w:rPr>
          <w:rFonts w:hint="eastAsia" w:hAnsi="宋体"/>
          <w:sz w:val="24"/>
        </w:rPr>
        <w:t>人工智能技术，如神经网络、决策树、深度学习等，可广泛应用于工程经济分析中的预测建模与决策优化。例如，利用机器学习模型预测材料价格走势、劳动力成本波动，辅助项目预算编制与动态调整。</w:t>
      </w:r>
    </w:p>
    <w:p w14:paraId="7418F4C7">
      <w:pPr>
        <w:numPr>
          <w:ilvl w:val="0"/>
          <w:numId w:val="4"/>
        </w:numPr>
        <w:spacing w:before="72" w:beforeLines="30" w:line="288" w:lineRule="auto"/>
        <w:ind w:left="0" w:leftChars="0" w:firstLine="480" w:firstLineChars="200"/>
        <w:rPr>
          <w:rFonts w:hint="eastAsia" w:hAnsi="宋体"/>
          <w:sz w:val="24"/>
        </w:rPr>
      </w:pPr>
      <w:r>
        <w:rPr>
          <w:rFonts w:hint="eastAsia" w:hAnsi="宋体"/>
          <w:sz w:val="24"/>
        </w:rPr>
        <w:t>云计算与数字孪生推动动态建模</w:t>
      </w:r>
    </w:p>
    <w:p w14:paraId="7A9329CA">
      <w:pPr>
        <w:spacing w:before="72" w:beforeLines="30" w:line="288" w:lineRule="auto"/>
        <w:ind w:firstLine="480" w:firstLineChars="200"/>
        <w:rPr>
          <w:rFonts w:hint="eastAsia" w:hAnsi="宋体"/>
          <w:sz w:val="24"/>
        </w:rPr>
      </w:pPr>
      <w:r>
        <w:rPr>
          <w:rFonts w:hint="eastAsia" w:hAnsi="宋体"/>
          <w:sz w:val="24"/>
        </w:rPr>
        <w:t>借助云计算平台，可以实现复杂经济模型的快速迭代与计算；数字孪生技术则通过构建工程项目的虚拟映射，实现虚实结合的动态仿真分析，有效提高风险预警与方案评估的精度。</w:t>
      </w:r>
    </w:p>
    <w:p w14:paraId="170044A3">
      <w:pPr>
        <w:numPr>
          <w:ilvl w:val="0"/>
          <w:numId w:val="4"/>
        </w:numPr>
        <w:spacing w:before="72" w:beforeLines="30" w:line="288" w:lineRule="auto"/>
        <w:ind w:left="0" w:leftChars="0" w:firstLine="480" w:firstLineChars="200"/>
        <w:rPr>
          <w:rFonts w:hint="eastAsia" w:hAnsi="宋体"/>
          <w:sz w:val="24"/>
        </w:rPr>
      </w:pPr>
      <w:r>
        <w:rPr>
          <w:rFonts w:hint="eastAsia" w:hAnsi="宋体"/>
          <w:sz w:val="24"/>
        </w:rPr>
        <w:t>区块链促进数据透明与信任机制建设</w:t>
      </w:r>
    </w:p>
    <w:p w14:paraId="5D866547">
      <w:pPr>
        <w:spacing w:before="72" w:beforeLines="30" w:line="288" w:lineRule="auto"/>
        <w:ind w:firstLine="480" w:firstLineChars="200"/>
        <w:rPr>
          <w:rFonts w:hint="eastAsia" w:hAnsi="宋体"/>
          <w:sz w:val="24"/>
        </w:rPr>
      </w:pPr>
      <w:r>
        <w:rPr>
          <w:rFonts w:hint="eastAsia" w:hAnsi="宋体"/>
          <w:sz w:val="24"/>
        </w:rPr>
        <w:t>区块链技术的不可篡改性与可追溯性，可提升工程经济活动中的数据可信度，尤其适用于资金流转、合同履约、供应链管理等领域，有助于建设透明、可审计的经济分析体系。</w:t>
      </w:r>
    </w:p>
    <w:p w14:paraId="64CA7666">
      <w:pPr>
        <w:numPr>
          <w:ilvl w:val="0"/>
          <w:numId w:val="4"/>
        </w:numPr>
        <w:spacing w:before="72" w:beforeLines="30" w:line="288" w:lineRule="auto"/>
        <w:ind w:left="0" w:leftChars="0" w:firstLine="480" w:firstLineChars="200"/>
        <w:rPr>
          <w:rFonts w:hint="default" w:hAnsi="宋体" w:eastAsia="宋体"/>
          <w:sz w:val="24"/>
          <w:lang w:val="en-US" w:eastAsia="zh-CN"/>
        </w:rPr>
      </w:pPr>
      <w:r>
        <w:rPr>
          <w:rFonts w:hint="default" w:hAnsi="宋体" w:eastAsia="宋体"/>
          <w:sz w:val="24"/>
          <w:lang w:val="en-US" w:eastAsia="zh-CN"/>
        </w:rPr>
        <w:t>智能感知技术推动现场管理精准化</w:t>
      </w:r>
    </w:p>
    <w:p w14:paraId="06C26E78">
      <w:pPr>
        <w:numPr>
          <w:numId w:val="0"/>
        </w:numPr>
        <w:spacing w:before="72" w:beforeLines="30" w:line="288" w:lineRule="auto"/>
        <w:ind w:firstLine="420" w:firstLineChars="0"/>
        <w:rPr>
          <w:rFonts w:hint="default" w:hAnsi="宋体" w:eastAsia="宋体"/>
          <w:sz w:val="24"/>
          <w:lang w:val="en-US" w:eastAsia="zh-CN"/>
        </w:rPr>
      </w:pPr>
      <w:r>
        <w:rPr>
          <w:rFonts w:hint="default" w:hAnsi="宋体" w:eastAsia="宋体"/>
          <w:sz w:val="24"/>
          <w:lang w:val="en-US" w:eastAsia="zh-CN"/>
        </w:rPr>
        <w:t>随着物联网与传感器技术的成熟，智能感知设备已广泛部署于工程现场，如施工机械的状态监测、材料进出场追踪、环境参数（温湿度、扬尘浓度）感知等。这些感知数据实时上传至工程经济分析平台，构建“物-人-机”一体化的动态经济分析模型。例如在高架桥建设项目中，通过应力传感器实时监测梁体变形数据，结合历史模型可预判维护时间，提前安排资金计划与施工组织，有效减少突发成本和停工损失。</w:t>
      </w:r>
    </w:p>
    <w:p w14:paraId="76D11A9E">
      <w:pPr>
        <w:spacing w:before="72" w:beforeLines="30" w:line="288" w:lineRule="auto"/>
        <w:ind w:firstLine="480" w:firstLineChars="200"/>
        <w:rPr>
          <w:rFonts w:hint="eastAsia" w:hAnsi="宋体"/>
          <w:sz w:val="24"/>
        </w:rPr>
      </w:pPr>
    </w:p>
    <w:p w14:paraId="26360591">
      <w:pPr>
        <w:spacing w:before="72" w:beforeLines="30" w:line="288" w:lineRule="auto"/>
        <w:ind w:firstLine="482" w:firstLineChars="200"/>
        <w:rPr>
          <w:rFonts w:hint="eastAsia" w:hAnsi="宋体"/>
          <w:sz w:val="24"/>
        </w:rPr>
      </w:pPr>
      <w:r>
        <w:rPr>
          <w:rFonts w:hint="eastAsia" w:hAnsi="宋体"/>
          <w:b/>
          <w:bCs/>
          <w:sz w:val="24"/>
        </w:rPr>
        <w:t>五、理论融合与应用反思：传统工程经济学在新时代的挑战与重构</w:t>
      </w:r>
    </w:p>
    <w:p w14:paraId="2C08F052">
      <w:pPr>
        <w:numPr>
          <w:numId w:val="0"/>
        </w:numPr>
        <w:spacing w:before="72" w:beforeLines="30" w:line="288" w:lineRule="auto"/>
        <w:ind w:leftChars="200"/>
        <w:rPr>
          <w:rFonts w:hint="eastAsia" w:hAnsi="宋体"/>
          <w:sz w:val="24"/>
        </w:rPr>
      </w:pPr>
      <w:r>
        <w:rPr>
          <w:rFonts w:hint="eastAsia" w:hAnsi="宋体"/>
          <w:sz w:val="24"/>
          <w:lang w:val="en-US" w:eastAsia="zh-CN"/>
        </w:rPr>
        <w:t xml:space="preserve">1. </w:t>
      </w:r>
      <w:r>
        <w:rPr>
          <w:rFonts w:hint="eastAsia" w:hAnsi="宋体"/>
          <w:sz w:val="24"/>
        </w:rPr>
        <w:t>数据安全与隐私保护</w:t>
      </w:r>
    </w:p>
    <w:p w14:paraId="217F09AD">
      <w:pPr>
        <w:numPr>
          <w:numId w:val="0"/>
        </w:numPr>
        <w:spacing w:before="72" w:beforeLines="30" w:line="288" w:lineRule="auto"/>
        <w:ind w:firstLine="420" w:firstLineChars="0"/>
        <w:rPr>
          <w:rFonts w:hint="eastAsia" w:hAnsi="宋体"/>
          <w:sz w:val="24"/>
        </w:rPr>
      </w:pPr>
      <w:r>
        <w:rPr>
          <w:rFonts w:hint="eastAsia" w:hAnsi="宋体"/>
          <w:sz w:val="24"/>
        </w:rPr>
        <w:t>工程经济分析中涉及大量敏感数据，如何在保证数据共享效率的同时保护隐私，是亟需解决的问题。应加强数据加密、访问权限控制、脱敏处理等技术手段，同时构建行业级数据治理机制。</w:t>
      </w:r>
    </w:p>
    <w:p w14:paraId="432125E7">
      <w:pPr>
        <w:numPr>
          <w:ilvl w:val="0"/>
          <w:numId w:val="5"/>
        </w:numPr>
        <w:spacing w:before="72" w:beforeLines="30" w:line="288" w:lineRule="auto"/>
        <w:ind w:leftChars="200"/>
        <w:rPr>
          <w:rFonts w:hint="eastAsia" w:hAnsi="宋体"/>
          <w:sz w:val="24"/>
        </w:rPr>
      </w:pPr>
      <w:r>
        <w:rPr>
          <w:rFonts w:hint="eastAsia" w:hAnsi="宋体"/>
          <w:sz w:val="24"/>
        </w:rPr>
        <w:t>技术门槛与人才短缺</w:t>
      </w:r>
    </w:p>
    <w:p w14:paraId="5EDEAC2C">
      <w:pPr>
        <w:numPr>
          <w:numId w:val="0"/>
        </w:numPr>
        <w:spacing w:before="72" w:beforeLines="30" w:line="288" w:lineRule="auto"/>
        <w:ind w:firstLine="420" w:firstLineChars="0"/>
        <w:rPr>
          <w:rFonts w:hint="eastAsia" w:hAnsi="宋体"/>
          <w:sz w:val="24"/>
        </w:rPr>
      </w:pPr>
      <w:r>
        <w:rPr>
          <w:rFonts w:hint="eastAsia" w:hAnsi="宋体"/>
          <w:sz w:val="24"/>
        </w:rPr>
        <w:t>当前工程管理人员普遍缺乏大数据、AI等数字技能，限制了融合效率。建议高校加强复合型人才培养，企业推动数字素养培训与岗位适配。</w:t>
      </w:r>
    </w:p>
    <w:p w14:paraId="0118B2F8">
      <w:pPr>
        <w:numPr>
          <w:ilvl w:val="0"/>
          <w:numId w:val="5"/>
        </w:numPr>
        <w:spacing w:before="72" w:beforeLines="30" w:line="288" w:lineRule="auto"/>
        <w:ind w:left="420" w:leftChars="200" w:firstLine="0" w:firstLineChars="0"/>
        <w:rPr>
          <w:rFonts w:hint="eastAsia" w:hAnsi="宋体"/>
          <w:sz w:val="24"/>
        </w:rPr>
      </w:pPr>
      <w:r>
        <w:rPr>
          <w:rFonts w:hint="eastAsia" w:hAnsi="宋体"/>
          <w:sz w:val="24"/>
        </w:rPr>
        <w:t>标准缺失与系统整合难度大</w:t>
      </w:r>
    </w:p>
    <w:p w14:paraId="684AAED2">
      <w:pPr>
        <w:numPr>
          <w:numId w:val="0"/>
        </w:numPr>
        <w:spacing w:before="72" w:beforeLines="30" w:line="288" w:lineRule="auto"/>
        <w:ind w:firstLine="420" w:firstLineChars="0"/>
        <w:rPr>
          <w:rFonts w:hint="eastAsia" w:hAnsi="宋体"/>
          <w:sz w:val="24"/>
        </w:rPr>
      </w:pPr>
      <w:r>
        <w:rPr>
          <w:rFonts w:hint="eastAsia" w:hAnsi="宋体"/>
          <w:sz w:val="24"/>
        </w:rPr>
        <w:t>目前缺乏统一的工程经济数字化分析标准，导致各平台间数据接口不一致、集成困难。应加快推动行业标准化建设，鼓励开源生态与平台互联互通。</w:t>
      </w:r>
    </w:p>
    <w:p w14:paraId="7A9E32B7">
      <w:pPr>
        <w:numPr>
          <w:ilvl w:val="0"/>
          <w:numId w:val="5"/>
        </w:numPr>
        <w:spacing w:before="72" w:beforeLines="30" w:line="288" w:lineRule="auto"/>
        <w:ind w:left="420" w:leftChars="200" w:firstLine="0" w:firstLineChars="0"/>
        <w:rPr>
          <w:rFonts w:hint="eastAsia" w:hAnsi="宋体"/>
          <w:sz w:val="24"/>
        </w:rPr>
      </w:pPr>
      <w:r>
        <w:rPr>
          <w:rFonts w:hint="eastAsia" w:hAnsi="宋体"/>
          <w:sz w:val="24"/>
        </w:rPr>
        <w:t>决策机制与组织变革滞后</w:t>
      </w:r>
    </w:p>
    <w:p w14:paraId="5B088B09">
      <w:pPr>
        <w:numPr>
          <w:numId w:val="0"/>
        </w:numPr>
        <w:spacing w:before="72" w:beforeLines="30" w:line="288" w:lineRule="auto"/>
        <w:ind w:firstLine="420" w:firstLineChars="0"/>
        <w:rPr>
          <w:rFonts w:hint="eastAsia" w:hAnsi="宋体"/>
          <w:sz w:val="24"/>
        </w:rPr>
      </w:pPr>
      <w:r>
        <w:rPr>
          <w:rFonts w:hint="eastAsia" w:hAnsi="宋体"/>
          <w:sz w:val="24"/>
        </w:rPr>
        <w:t>数字工具的引入不仅是技术升级，更是管理理念与组织流程的重构。应推动以数据为中心的决策机制改革，建立跨部门协作与数据驱动的组织文化。</w:t>
      </w:r>
    </w:p>
    <w:p w14:paraId="6ECD3A57">
      <w:pPr>
        <w:numPr>
          <w:ilvl w:val="0"/>
          <w:numId w:val="5"/>
        </w:numPr>
        <w:spacing w:before="72" w:beforeLines="30" w:line="288" w:lineRule="auto"/>
        <w:ind w:left="420" w:leftChars="200" w:firstLine="0" w:firstLineChars="0"/>
        <w:rPr>
          <w:rFonts w:hint="default" w:hAnsi="宋体" w:eastAsia="宋体"/>
          <w:sz w:val="24"/>
          <w:lang w:val="en-US" w:eastAsia="zh-CN"/>
        </w:rPr>
      </w:pPr>
      <w:r>
        <w:rPr>
          <w:rFonts w:hint="default" w:hAnsi="宋体" w:eastAsia="宋体"/>
          <w:sz w:val="24"/>
          <w:lang w:val="en-US" w:eastAsia="zh-CN"/>
        </w:rPr>
        <w:t>行业实践经验不足制约推广落地</w:t>
      </w:r>
    </w:p>
    <w:p w14:paraId="0E38B5BB">
      <w:pPr>
        <w:spacing w:before="72" w:beforeLines="30" w:line="288" w:lineRule="auto"/>
        <w:ind w:firstLine="420" w:firstLineChars="0"/>
        <w:rPr>
          <w:rFonts w:hint="default" w:hAnsi="宋体" w:eastAsia="宋体"/>
          <w:sz w:val="24"/>
          <w:lang w:val="en-US" w:eastAsia="zh-CN"/>
        </w:rPr>
      </w:pPr>
      <w:r>
        <w:rPr>
          <w:rFonts w:hint="default" w:hAnsi="宋体" w:eastAsia="宋体"/>
          <w:sz w:val="24"/>
          <w:lang w:val="en-US" w:eastAsia="zh-CN"/>
        </w:rPr>
        <w:t>当前工程项目数字化程度差异较大，一些中小企业尚未形成系统的数字转型战略，工程经济分析仍停留在Excel表格与人工评估阶段。即便引入数字技术，因缺乏成熟案例与经验支撑，也容易出现“重工具、轻管理”的形式化倾向。因此，需要加快建立示范性项目工程，汇集实际数据与决策流程，形成可复制推广的数字化工程经济分析标准模型。</w:t>
      </w:r>
    </w:p>
    <w:p w14:paraId="4BBC6BBB">
      <w:pPr>
        <w:spacing w:before="72" w:beforeLines="30" w:line="288" w:lineRule="auto"/>
        <w:ind w:firstLine="480" w:firstLineChars="200"/>
        <w:rPr>
          <w:rFonts w:hint="eastAsia" w:hAnsi="宋体"/>
          <w:sz w:val="24"/>
        </w:rPr>
      </w:pPr>
    </w:p>
    <w:p w14:paraId="11518483">
      <w:pPr>
        <w:numPr>
          <w:ilvl w:val="0"/>
          <w:numId w:val="6"/>
        </w:numPr>
        <w:spacing w:before="72" w:beforeLines="30" w:line="288" w:lineRule="auto"/>
        <w:ind w:firstLine="482" w:firstLineChars="200"/>
        <w:rPr>
          <w:rFonts w:hint="eastAsia" w:hAnsi="宋体"/>
          <w:b/>
          <w:bCs/>
          <w:sz w:val="24"/>
        </w:rPr>
      </w:pPr>
      <w:r>
        <w:rPr>
          <w:rFonts w:hint="eastAsia" w:hAnsi="宋体"/>
          <w:b/>
          <w:bCs/>
          <w:sz w:val="24"/>
          <w:lang w:val="en-US" w:eastAsia="zh-CN"/>
        </w:rPr>
        <w:t>未来展望</w:t>
      </w:r>
    </w:p>
    <w:p w14:paraId="0C7E0CD7">
      <w:pPr>
        <w:numPr>
          <w:numId w:val="0"/>
        </w:numPr>
        <w:spacing w:before="72" w:beforeLines="30" w:line="288" w:lineRule="auto"/>
        <w:ind w:firstLine="420" w:firstLineChars="0"/>
        <w:rPr>
          <w:rFonts w:hint="eastAsia" w:hAnsi="宋体"/>
          <w:b w:val="0"/>
          <w:bCs w:val="0"/>
          <w:sz w:val="24"/>
          <w:lang w:val="en-US" w:eastAsia="zh-CN"/>
        </w:rPr>
      </w:pPr>
      <w:r>
        <w:rPr>
          <w:rFonts w:hint="eastAsia" w:hAnsi="宋体"/>
          <w:b w:val="0"/>
          <w:bCs w:val="0"/>
          <w:sz w:val="24"/>
          <w:lang w:val="en-US" w:eastAsia="zh-CN"/>
        </w:rPr>
        <w:t>随着数字经济的深入发展，工程经济分析将加速走向智能化、平台化与协同化，未来趋势包括：</w:t>
      </w:r>
    </w:p>
    <w:p w14:paraId="7484F08D">
      <w:pPr>
        <w:numPr>
          <w:ilvl w:val="0"/>
          <w:numId w:val="7"/>
        </w:numPr>
        <w:spacing w:before="72" w:beforeLines="30" w:line="288" w:lineRule="auto"/>
        <w:ind w:firstLine="420" w:firstLineChars="0"/>
        <w:rPr>
          <w:rFonts w:hint="eastAsia" w:hAnsi="宋体"/>
          <w:b w:val="0"/>
          <w:bCs w:val="0"/>
          <w:sz w:val="24"/>
          <w:lang w:val="en-US" w:eastAsia="zh-CN"/>
        </w:rPr>
      </w:pPr>
      <w:r>
        <w:rPr>
          <w:rFonts w:hint="eastAsia" w:hAnsi="宋体"/>
          <w:b w:val="0"/>
          <w:bCs w:val="0"/>
          <w:sz w:val="24"/>
          <w:lang w:val="en-US" w:eastAsia="zh-CN"/>
        </w:rPr>
        <w:t>构建基于数据驱动的实时工程经济分析平台，实现全过程、全要素经济分析；</w:t>
      </w:r>
    </w:p>
    <w:p w14:paraId="1C1DC857">
      <w:pPr>
        <w:numPr>
          <w:ilvl w:val="0"/>
          <w:numId w:val="7"/>
        </w:numPr>
        <w:spacing w:before="72" w:beforeLines="30" w:line="288" w:lineRule="auto"/>
        <w:ind w:left="0" w:leftChars="0" w:firstLine="420" w:firstLineChars="0"/>
        <w:rPr>
          <w:rFonts w:hint="eastAsia" w:hAnsi="宋体"/>
          <w:b w:val="0"/>
          <w:bCs w:val="0"/>
          <w:sz w:val="24"/>
          <w:lang w:val="en-US" w:eastAsia="zh-CN"/>
        </w:rPr>
      </w:pPr>
      <w:r>
        <w:rPr>
          <w:rFonts w:hint="eastAsia" w:hAnsi="宋体"/>
          <w:b w:val="0"/>
          <w:bCs w:val="0"/>
          <w:sz w:val="24"/>
          <w:lang w:val="en-US" w:eastAsia="zh-CN"/>
        </w:rPr>
        <w:t>推动人工智能与工程经济模型的深度融合，实现从分析走向智能决策；</w:t>
      </w:r>
    </w:p>
    <w:p w14:paraId="48DFF942">
      <w:pPr>
        <w:numPr>
          <w:ilvl w:val="0"/>
          <w:numId w:val="7"/>
        </w:numPr>
        <w:spacing w:before="72" w:beforeLines="30" w:line="288" w:lineRule="auto"/>
        <w:ind w:left="0" w:leftChars="0" w:firstLine="420" w:firstLineChars="0"/>
        <w:rPr>
          <w:rFonts w:hint="eastAsia" w:hAnsi="宋体"/>
          <w:b w:val="0"/>
          <w:bCs w:val="0"/>
          <w:sz w:val="24"/>
          <w:lang w:val="en-US" w:eastAsia="zh-CN"/>
        </w:rPr>
      </w:pPr>
      <w:r>
        <w:rPr>
          <w:rFonts w:hint="eastAsia" w:hAnsi="宋体"/>
          <w:b w:val="0"/>
          <w:bCs w:val="0"/>
          <w:sz w:val="24"/>
          <w:lang w:val="en-US" w:eastAsia="zh-CN"/>
        </w:rPr>
        <w:t>探索数字货币、碳排放权等新型经济变量在工程经济分析中的作用；</w:t>
      </w:r>
    </w:p>
    <w:p w14:paraId="2CED5089">
      <w:pPr>
        <w:numPr>
          <w:ilvl w:val="0"/>
          <w:numId w:val="7"/>
        </w:numPr>
        <w:spacing w:before="72" w:beforeLines="30" w:line="288" w:lineRule="auto"/>
        <w:ind w:left="0" w:leftChars="0" w:firstLine="420" w:firstLineChars="0"/>
        <w:rPr>
          <w:rFonts w:hint="eastAsia" w:hAnsi="宋体"/>
          <w:b w:val="0"/>
          <w:bCs w:val="0"/>
          <w:sz w:val="24"/>
          <w:lang w:val="en-US" w:eastAsia="zh-CN"/>
        </w:rPr>
      </w:pPr>
      <w:r>
        <w:rPr>
          <w:rFonts w:hint="eastAsia" w:hAnsi="宋体"/>
          <w:b w:val="0"/>
          <w:bCs w:val="0"/>
          <w:sz w:val="24"/>
          <w:lang w:val="en-US" w:eastAsia="zh-CN"/>
        </w:rPr>
        <w:t>建立工程经济领域的数据资产评估与交易机制，释放数据价值潜能。</w:t>
      </w:r>
    </w:p>
    <w:p w14:paraId="28927953">
      <w:pPr>
        <w:numPr>
          <w:numId w:val="0"/>
        </w:numPr>
        <w:spacing w:before="72" w:beforeLines="30" w:line="288" w:lineRule="auto"/>
        <w:ind w:firstLine="420" w:firstLineChars="0"/>
        <w:rPr>
          <w:rFonts w:hint="eastAsia" w:hAnsi="宋体"/>
          <w:b w:val="0"/>
          <w:bCs w:val="0"/>
          <w:sz w:val="24"/>
          <w:lang w:val="en-US" w:eastAsia="zh-CN"/>
        </w:rPr>
      </w:pPr>
      <w:r>
        <w:rPr>
          <w:rFonts w:hint="eastAsia" w:hAnsi="宋体"/>
          <w:b w:val="0"/>
          <w:bCs w:val="0"/>
          <w:sz w:val="24"/>
          <w:lang w:val="en-US" w:eastAsia="zh-CN"/>
        </w:rPr>
        <w:t>此外，跨学科融合将成为工程经济分析发展的关键方向。经济学、管理学、人工智能、数据科学、工程学等多学科的知识体系将深度交汇，推动“智慧工程经济”理念落地。未来高校与科研机构应加强相关交叉课程建设，企业也需鼓励工程、财务、信息等部门协同创新，打破“孤岛式”技术应用壁垒。</w:t>
      </w:r>
    </w:p>
    <w:p w14:paraId="66551C4B">
      <w:pPr>
        <w:numPr>
          <w:numId w:val="0"/>
        </w:numPr>
        <w:spacing w:before="72" w:beforeLines="30" w:line="288" w:lineRule="auto"/>
        <w:ind w:firstLine="420" w:firstLineChars="0"/>
        <w:rPr>
          <w:rFonts w:hint="eastAsia" w:hAnsi="宋体"/>
          <w:b w:val="0"/>
          <w:bCs w:val="0"/>
          <w:sz w:val="24"/>
          <w:lang w:val="en-US" w:eastAsia="zh-CN"/>
        </w:rPr>
      </w:pPr>
      <w:r>
        <w:rPr>
          <w:rFonts w:ascii="宋体" w:hAnsi="宋体" w:eastAsia="宋体" w:cs="宋体"/>
          <w:sz w:val="24"/>
          <w:szCs w:val="24"/>
        </w:rPr>
        <w:t>例如，基于元宇宙技术的三维虚拟场景可用于工程经济方案的沉浸式展示和多角色互动评估，项目方、投资人及政府监管机构可通过AR/VR技术共同进入虚拟工程现场，对预算、进度、风险进行协同决策，有效提升方案沟通效率与透明度。</w:t>
      </w:r>
    </w:p>
    <w:p w14:paraId="7A774C50">
      <w:pPr>
        <w:numPr>
          <w:numId w:val="0"/>
        </w:numPr>
        <w:spacing w:before="72" w:beforeLines="30" w:line="288" w:lineRule="auto"/>
        <w:ind w:firstLine="420" w:firstLineChars="0"/>
        <w:rPr>
          <w:rFonts w:hint="eastAsia" w:hAnsi="宋体"/>
          <w:b/>
          <w:bCs/>
          <w:sz w:val="24"/>
          <w:lang w:val="en-US" w:eastAsia="zh-CN"/>
        </w:rPr>
      </w:pPr>
    </w:p>
    <w:p w14:paraId="0CDC37BD">
      <w:pPr>
        <w:numPr>
          <w:ilvl w:val="0"/>
          <w:numId w:val="6"/>
        </w:numPr>
        <w:spacing w:before="72" w:beforeLines="30" w:line="288" w:lineRule="auto"/>
        <w:ind w:firstLine="482" w:firstLineChars="200"/>
        <w:rPr>
          <w:rFonts w:hint="eastAsia" w:hAnsi="宋体"/>
          <w:b/>
          <w:bCs/>
          <w:sz w:val="24"/>
        </w:rPr>
      </w:pPr>
      <w:r>
        <w:rPr>
          <w:rFonts w:hint="eastAsia" w:hAnsi="宋体"/>
          <w:b/>
          <w:bCs/>
          <w:sz w:val="24"/>
        </w:rPr>
        <w:t>总结与提问</w:t>
      </w:r>
    </w:p>
    <w:p w14:paraId="3C92E217">
      <w:pPr>
        <w:spacing w:before="72" w:beforeLines="30" w:line="288" w:lineRule="auto"/>
        <w:ind w:firstLine="480" w:firstLineChars="200"/>
        <w:rPr>
          <w:rFonts w:hint="eastAsia" w:hAnsi="宋体"/>
          <w:sz w:val="24"/>
        </w:rPr>
      </w:pPr>
      <w:r>
        <w:rPr>
          <w:rFonts w:hint="eastAsia" w:hAnsi="宋体"/>
          <w:sz w:val="24"/>
        </w:rPr>
        <w:t>通过本次文献阅读与项目实践结合的学习，我对数字经济与工程经济分析的融合有了更深刻的理解。在未来的工程项目中，面对数据主导的新环境，我们需要工程经济学不断进化，适应更高维度、更长周期、更复杂变量的分析需求。传统工程经济分析更多侧重于成本、效益与时间的平衡，而在数字经济时代，大数据、人工智能、云计算等技术的广泛应用，为工程决策提供了更丰富的数据支撑，也提出了更高的分析要求。工程经济分析不仅要在项目初期提供投资决策支持，更需要在项目全生命周期内进行动态跟踪和优化调整。</w:t>
      </w:r>
      <w:bookmarkStart w:id="0" w:name="_GoBack"/>
      <w:bookmarkEnd w:id="0"/>
    </w:p>
    <w:p w14:paraId="1594DF36">
      <w:pPr>
        <w:spacing w:before="72" w:beforeLines="30" w:line="288" w:lineRule="auto"/>
        <w:ind w:firstLine="480" w:firstLineChars="200"/>
        <w:rPr>
          <w:rFonts w:hint="eastAsia" w:hAnsi="宋体"/>
          <w:sz w:val="24"/>
        </w:rPr>
      </w:pPr>
      <w:r>
        <w:rPr>
          <w:rFonts w:hint="eastAsia" w:hAnsi="宋体"/>
          <w:sz w:val="24"/>
        </w:rPr>
        <w:t>随着国家对新型基础设施、数字中国等战略的持续推进，数字经济与工程经济分析的深度融合将成为推动产业转型升级的重要抓手。未来，这种融合将进一步体现在政策支持的引导作用、技术创新的驱动能力以及高素质人才体系的支撑基础上。工程管理者需要具备跨学科的思维能力，不仅理解经济规律，也熟悉数字技术的应用场景与分析方法，才能在新形势下做出更加科学、精准的经济决策。这种融合趋势将不断深化，并在各类工程项目中发挥越来越重要的作用。我也提出以下几个问题，作为未来研究方向：</w:t>
      </w:r>
    </w:p>
    <w:p w14:paraId="6BB43D61">
      <w:pPr>
        <w:numPr>
          <w:ilvl w:val="0"/>
          <w:numId w:val="8"/>
        </w:numPr>
        <w:spacing w:before="72" w:beforeLines="30" w:line="288" w:lineRule="auto"/>
        <w:ind w:firstLine="480" w:firstLineChars="200"/>
        <w:rPr>
          <w:rFonts w:hint="eastAsia" w:hAnsi="宋体"/>
          <w:sz w:val="24"/>
        </w:rPr>
      </w:pPr>
      <w:r>
        <w:rPr>
          <w:rFonts w:hint="eastAsia" w:hAnsi="宋体"/>
          <w:sz w:val="24"/>
        </w:rPr>
        <w:t>如何量化数据资产的长期经济效益？</w:t>
      </w:r>
    </w:p>
    <w:p w14:paraId="0D0261C9">
      <w:pPr>
        <w:numPr>
          <w:ilvl w:val="0"/>
          <w:numId w:val="8"/>
        </w:numPr>
        <w:spacing w:before="72" w:beforeLines="30" w:line="288" w:lineRule="auto"/>
        <w:ind w:left="0" w:leftChars="0" w:firstLine="480" w:firstLineChars="200"/>
        <w:rPr>
          <w:rFonts w:hint="eastAsia" w:hAnsi="宋体"/>
          <w:sz w:val="24"/>
        </w:rPr>
      </w:pPr>
      <w:r>
        <w:rPr>
          <w:rFonts w:hint="eastAsia" w:hAnsi="宋体"/>
          <w:sz w:val="24"/>
        </w:rPr>
        <w:t>数字项目的外部性收益如何纳入项目可行性研究？</w:t>
      </w:r>
    </w:p>
    <w:p w14:paraId="5EEF806A">
      <w:pPr>
        <w:numPr>
          <w:ilvl w:val="0"/>
          <w:numId w:val="8"/>
        </w:numPr>
        <w:spacing w:before="72" w:beforeLines="30" w:line="288" w:lineRule="auto"/>
        <w:ind w:left="0" w:leftChars="0" w:firstLine="480" w:firstLineChars="200"/>
        <w:rPr>
          <w:rFonts w:hint="eastAsia" w:hAnsi="宋体"/>
          <w:sz w:val="24"/>
        </w:rPr>
      </w:pPr>
      <w:r>
        <w:rPr>
          <w:rFonts w:hint="eastAsia" w:hAnsi="宋体"/>
          <w:sz w:val="24"/>
        </w:rPr>
        <w:t>AI参与决策会否造成经济评估的“黑箱化”？</w:t>
      </w:r>
    </w:p>
    <w:p w14:paraId="53408614">
      <w:pPr>
        <w:numPr>
          <w:ilvl w:val="0"/>
          <w:numId w:val="8"/>
        </w:numPr>
        <w:spacing w:before="72" w:beforeLines="30" w:line="288" w:lineRule="auto"/>
        <w:ind w:left="0" w:leftChars="0" w:firstLine="480" w:firstLineChars="200"/>
        <w:rPr>
          <w:rFonts w:hint="eastAsia" w:hAnsi="宋体"/>
          <w:sz w:val="24"/>
        </w:rPr>
      </w:pPr>
      <w:r>
        <w:rPr>
          <w:rFonts w:hint="eastAsia" w:hAnsi="宋体"/>
          <w:sz w:val="24"/>
        </w:rPr>
        <w:t>工程经济学能否在未来真正成为“智能辅助决策”的理论基础？</w:t>
      </w:r>
    </w:p>
    <w:p w14:paraId="060F88A5">
      <w:pPr>
        <w:numPr>
          <w:ilvl w:val="0"/>
          <w:numId w:val="8"/>
        </w:numPr>
        <w:spacing w:before="72" w:beforeLines="30" w:line="288" w:lineRule="auto"/>
        <w:ind w:left="0" w:leftChars="0" w:firstLine="480" w:firstLineChars="200"/>
        <w:rPr>
          <w:rFonts w:hint="eastAsia" w:hAnsi="宋体"/>
          <w:sz w:val="24"/>
        </w:rPr>
      </w:pPr>
      <w:r>
        <w:rPr>
          <w:rFonts w:hint="eastAsia" w:hAnsi="宋体"/>
          <w:sz w:val="24"/>
        </w:rPr>
        <w:t>面对区域数字鸿沟，数字项目的收益模型如何兼顾公平与效率？</w:t>
      </w:r>
    </w:p>
    <w:p w14:paraId="7848CDB9">
      <w:pPr>
        <w:spacing w:before="72" w:beforeLines="30" w:line="288" w:lineRule="auto"/>
        <w:ind w:firstLine="480" w:firstLineChars="200"/>
        <w:rPr>
          <w:rFonts w:hint="eastAsia" w:hAnsi="宋体"/>
          <w:sz w:val="24"/>
        </w:rPr>
      </w:pPr>
      <w:r>
        <w:rPr>
          <w:rFonts w:hint="eastAsia" w:hAnsi="宋体"/>
          <w:sz w:val="24"/>
        </w:rPr>
        <w:t>这些问题的探索不仅对工程经济学本身的理论发展具有推动意义，也能为数字中国建设提供更科学的工程决策支持。</w:t>
      </w:r>
    </w:p>
    <w:p w14:paraId="4EA24DD6">
      <w:pPr>
        <w:spacing w:before="72" w:beforeLines="30" w:line="288" w:lineRule="auto"/>
        <w:ind w:firstLine="480" w:firstLineChars="200"/>
        <w:rPr>
          <w:rFonts w:hint="eastAsia" w:hAnsi="宋体"/>
          <w:sz w:val="24"/>
        </w:rPr>
      </w:pPr>
    </w:p>
    <w:p w14:paraId="05FF9CF7">
      <w:pPr>
        <w:spacing w:before="72" w:beforeLines="30" w:line="288" w:lineRule="auto"/>
        <w:ind w:firstLine="420" w:firstLineChars="200"/>
        <w:rPr>
          <w:rFonts w:hint="eastAsia" w:ascii="Times New Roman" w:hAnsi="宋体" w:eastAsia="宋体" w:cs="Times New Roman"/>
          <w:kern w:val="2"/>
          <w:sz w:val="21"/>
          <w:szCs w:val="21"/>
          <w:lang w:val="en-US" w:eastAsia="zh-CN" w:bidi="ar-SA"/>
        </w:rPr>
      </w:pPr>
      <w:r>
        <w:rPr>
          <w:rFonts w:hint="eastAsia" w:ascii="Times New Roman" w:hAnsi="宋体" w:eastAsia="宋体" w:cs="Times New Roman"/>
          <w:kern w:val="2"/>
          <w:sz w:val="21"/>
          <w:szCs w:val="21"/>
          <w:lang w:val="en-US" w:eastAsia="zh-CN" w:bidi="ar-SA"/>
        </w:rPr>
        <w:t>参考文献</w:t>
      </w:r>
    </w:p>
    <w:p w14:paraId="0AFD615F">
      <w:pPr>
        <w:numPr>
          <w:ilvl w:val="0"/>
          <w:numId w:val="9"/>
        </w:numPr>
        <w:spacing w:before="72" w:beforeLines="30" w:line="288" w:lineRule="auto"/>
        <w:ind w:firstLine="420" w:firstLineChars="200"/>
        <w:rPr>
          <w:rFonts w:hint="eastAsia" w:ascii="Times New Roman" w:hAnsi="宋体" w:eastAsia="宋体" w:cs="Times New Roman"/>
          <w:kern w:val="2"/>
          <w:sz w:val="21"/>
          <w:szCs w:val="21"/>
          <w:lang w:val="en-US" w:eastAsia="zh-CN" w:bidi="ar-SA"/>
        </w:rPr>
      </w:pPr>
      <w:r>
        <w:rPr>
          <w:rFonts w:hint="eastAsia" w:ascii="Times New Roman" w:hAnsi="宋体" w:eastAsia="宋体" w:cs="Times New Roman"/>
          <w:kern w:val="2"/>
          <w:sz w:val="21"/>
          <w:szCs w:val="21"/>
          <w:lang w:val="en-US" w:eastAsia="zh-CN" w:bidi="ar-SA"/>
        </w:rPr>
        <w:t>刘海峰，陈锐锋. 数字经济时代工程经济学课程教学改革研究[J]. 教育现代化, 2022, 9(5): 45-47.</w:t>
      </w:r>
    </w:p>
    <w:p w14:paraId="187AECB1">
      <w:pPr>
        <w:numPr>
          <w:ilvl w:val="0"/>
          <w:numId w:val="9"/>
        </w:numPr>
        <w:spacing w:before="72" w:beforeLines="30" w:line="288" w:lineRule="auto"/>
        <w:ind w:left="0" w:leftChars="0" w:firstLine="420" w:firstLineChars="200"/>
        <w:rPr>
          <w:rFonts w:hint="eastAsia" w:ascii="Times New Roman" w:hAnsi="宋体" w:eastAsia="宋体" w:cs="Times New Roman"/>
          <w:kern w:val="2"/>
          <w:sz w:val="21"/>
          <w:szCs w:val="21"/>
          <w:lang w:val="en-US" w:eastAsia="zh-CN" w:bidi="ar-SA"/>
        </w:rPr>
      </w:pPr>
      <w:r>
        <w:rPr>
          <w:rFonts w:hint="eastAsia" w:ascii="Times New Roman" w:hAnsi="宋体" w:eastAsia="宋体" w:cs="Times New Roman"/>
          <w:kern w:val="2"/>
          <w:sz w:val="21"/>
          <w:szCs w:val="21"/>
          <w:lang w:val="en-US" w:eastAsia="zh-CN" w:bidi="ar-SA"/>
        </w:rPr>
        <w:t>王琪. 数字化背景下的工程项目投资决策研究[J]. 科技经济导刊, 2021(36): 128-130.</w:t>
      </w:r>
    </w:p>
    <w:p w14:paraId="2EB3D190">
      <w:pPr>
        <w:numPr>
          <w:ilvl w:val="0"/>
          <w:numId w:val="9"/>
        </w:numPr>
        <w:spacing w:before="72" w:beforeLines="30" w:line="288" w:lineRule="auto"/>
        <w:ind w:left="0" w:leftChars="0" w:firstLine="420" w:firstLineChars="200"/>
        <w:rPr>
          <w:rFonts w:hint="eastAsia" w:ascii="Times New Roman" w:hAnsi="宋体" w:eastAsia="宋体" w:cs="Times New Roman"/>
          <w:kern w:val="2"/>
          <w:sz w:val="21"/>
          <w:szCs w:val="21"/>
          <w:lang w:val="en-US" w:eastAsia="zh-CN" w:bidi="ar-SA"/>
        </w:rPr>
      </w:pPr>
      <w:r>
        <w:rPr>
          <w:rFonts w:hint="eastAsia" w:ascii="Times New Roman" w:hAnsi="宋体" w:eastAsia="宋体" w:cs="Times New Roman"/>
          <w:kern w:val="2"/>
          <w:sz w:val="21"/>
          <w:szCs w:val="21"/>
          <w:lang w:val="en-US" w:eastAsia="zh-CN" w:bidi="ar-SA"/>
        </w:rPr>
        <w:t>魏丽. 数字基础设施投资效益分析——以“东数西算”为例[J]. 现代经济信息, 2022(4): 74-75.</w:t>
      </w:r>
    </w:p>
    <w:p w14:paraId="5B5F1C32">
      <w:pPr>
        <w:numPr>
          <w:ilvl w:val="0"/>
          <w:numId w:val="9"/>
        </w:numPr>
        <w:spacing w:before="72" w:beforeLines="30" w:line="288" w:lineRule="auto"/>
        <w:ind w:left="0" w:leftChars="0" w:firstLine="420" w:firstLineChars="200"/>
        <w:rPr>
          <w:rFonts w:hint="eastAsia" w:ascii="Times New Roman" w:hAnsi="宋体" w:eastAsia="宋体" w:cs="Times New Roman"/>
          <w:kern w:val="2"/>
          <w:sz w:val="21"/>
          <w:szCs w:val="21"/>
          <w:lang w:val="en-US" w:eastAsia="zh-CN" w:bidi="ar-SA"/>
        </w:rPr>
      </w:pPr>
      <w:r>
        <w:rPr>
          <w:rFonts w:hint="eastAsia" w:ascii="Times New Roman" w:hAnsi="宋体" w:eastAsia="宋体" w:cs="Times New Roman"/>
          <w:kern w:val="2"/>
          <w:sz w:val="21"/>
          <w:szCs w:val="21"/>
          <w:lang w:val="en-US" w:eastAsia="zh-CN" w:bidi="ar-SA"/>
        </w:rPr>
        <w:t>张晓晨. 工程管理中大数据技术的应用探讨[J]. 科技创新与应用, 2020(35): 152-153.</w:t>
      </w:r>
    </w:p>
    <w:p w14:paraId="2AF717B6">
      <w:pPr>
        <w:numPr>
          <w:ilvl w:val="0"/>
          <w:numId w:val="9"/>
        </w:numPr>
        <w:spacing w:before="72" w:beforeLines="30" w:line="288" w:lineRule="auto"/>
        <w:ind w:left="0" w:leftChars="0" w:firstLine="420" w:firstLineChars="200"/>
        <w:rPr>
          <w:rFonts w:hint="eastAsia" w:ascii="Times New Roman" w:hAnsi="宋体" w:eastAsia="宋体" w:cs="Times New Roman"/>
          <w:kern w:val="2"/>
          <w:sz w:val="21"/>
          <w:szCs w:val="21"/>
          <w:lang w:val="en-US" w:eastAsia="zh-CN" w:bidi="ar-SA"/>
        </w:rPr>
      </w:pPr>
      <w:r>
        <w:rPr>
          <w:rFonts w:hint="eastAsia" w:ascii="Times New Roman" w:hAnsi="宋体" w:eastAsia="宋体" w:cs="Times New Roman"/>
          <w:kern w:val="2"/>
          <w:sz w:val="21"/>
          <w:szCs w:val="21"/>
          <w:lang w:val="en-US" w:eastAsia="zh-CN" w:bidi="ar-SA"/>
        </w:rPr>
        <w:t>胡颖. 面向数字经济的工程经济分析模型构建[J]. 财经界, 2023(10): 122-123.</w:t>
      </w:r>
    </w:p>
    <w:p w14:paraId="0903BA53">
      <w:pPr>
        <w:numPr>
          <w:ilvl w:val="0"/>
          <w:numId w:val="9"/>
        </w:numPr>
        <w:spacing w:before="72" w:beforeLines="30" w:line="288" w:lineRule="auto"/>
        <w:ind w:left="0" w:leftChars="0" w:firstLine="420" w:firstLineChars="200"/>
        <w:rPr>
          <w:rFonts w:hint="eastAsia" w:ascii="Times New Roman" w:hAnsi="宋体" w:eastAsia="宋体" w:cs="Times New Roman"/>
          <w:kern w:val="2"/>
          <w:sz w:val="21"/>
          <w:szCs w:val="21"/>
          <w:lang w:val="en-US" w:eastAsia="zh-CN" w:bidi="ar-SA"/>
        </w:rPr>
      </w:pPr>
      <w:r>
        <w:rPr>
          <w:rFonts w:hint="eastAsia" w:ascii="Times New Roman" w:hAnsi="宋体" w:eastAsia="宋体" w:cs="Times New Roman"/>
          <w:kern w:val="2"/>
          <w:sz w:val="21"/>
          <w:szCs w:val="21"/>
          <w:lang w:val="en-US" w:eastAsia="zh-CN" w:bidi="ar-SA"/>
        </w:rPr>
        <w:t>龚海燕. 数字经济下工程项目风险管理优化路径研究[J]. 中国管理信息化, 2022, 25(12): 131-134.</w:t>
      </w:r>
    </w:p>
    <w:p w14:paraId="035E0537">
      <w:pPr>
        <w:numPr>
          <w:ilvl w:val="0"/>
          <w:numId w:val="9"/>
        </w:numPr>
        <w:spacing w:before="72" w:beforeLines="30" w:line="288" w:lineRule="auto"/>
        <w:ind w:left="0" w:leftChars="0" w:firstLine="420" w:firstLineChars="200"/>
        <w:rPr>
          <w:rFonts w:hint="eastAsia" w:ascii="Times New Roman" w:hAnsi="宋体" w:eastAsia="宋体" w:cs="Times New Roman"/>
          <w:kern w:val="2"/>
          <w:sz w:val="21"/>
          <w:szCs w:val="21"/>
          <w:lang w:val="en-US" w:eastAsia="zh-CN" w:bidi="ar-SA"/>
        </w:rPr>
      </w:pPr>
      <w:r>
        <w:rPr>
          <w:rFonts w:hint="eastAsia" w:ascii="Times New Roman" w:hAnsi="宋体" w:eastAsia="宋体" w:cs="Times New Roman"/>
          <w:kern w:val="2"/>
          <w:sz w:val="21"/>
          <w:szCs w:val="21"/>
          <w:lang w:val="en-US" w:eastAsia="zh-CN" w:bidi="ar-SA"/>
        </w:rPr>
        <w:t>徐明. 数字化转型对工程经济学教学的启示[J]. 继续教育研究, 2021(9): 89-90.</w:t>
      </w:r>
    </w:p>
    <w:p w14:paraId="5866937B">
      <w:pPr>
        <w:numPr>
          <w:ilvl w:val="0"/>
          <w:numId w:val="9"/>
        </w:numPr>
        <w:spacing w:before="72" w:beforeLines="30" w:line="288" w:lineRule="auto"/>
        <w:ind w:left="0" w:leftChars="0" w:firstLine="420" w:firstLineChars="200"/>
        <w:rPr>
          <w:rFonts w:eastAsiaTheme="minorEastAsia"/>
          <w:szCs w:val="21"/>
        </w:rPr>
      </w:pPr>
      <w:r>
        <w:rPr>
          <w:rFonts w:hint="eastAsia" w:ascii="Times New Roman" w:hAnsi="宋体" w:eastAsia="宋体" w:cs="Times New Roman"/>
          <w:kern w:val="2"/>
          <w:sz w:val="21"/>
          <w:szCs w:val="21"/>
          <w:lang w:val="en-US" w:eastAsia="zh-CN" w:bidi="ar-SA"/>
        </w:rPr>
        <w:t>宋文博. 以智能交通为例探讨数字经济工程效益[J]. 城市交通, 2022, 20(2): 91-94.</w:t>
      </w:r>
    </w:p>
    <w:p w14:paraId="60D9945A">
      <w:pPr>
        <w:numPr>
          <w:ilvl w:val="0"/>
          <w:numId w:val="9"/>
        </w:numPr>
        <w:spacing w:before="72" w:beforeLines="30" w:line="288" w:lineRule="auto"/>
        <w:ind w:left="0" w:leftChars="0" w:firstLine="420" w:firstLineChars="200"/>
        <w:rPr>
          <w:rFonts w:eastAsiaTheme="minorEastAsia"/>
          <w:szCs w:val="21"/>
        </w:rPr>
      </w:pPr>
      <w:r>
        <w:rPr>
          <w:rFonts w:hint="eastAsia" w:eastAsiaTheme="minorEastAsia"/>
          <w:szCs w:val="21"/>
        </w:rPr>
        <w:t>李俊峰, 张凯. 面向数字化转型的工程经济分析方法研究[J]. 中国软科学, 2023(8): 101-108.</w:t>
      </w:r>
    </w:p>
    <w:sectPr>
      <w:type w:val="continuous"/>
      <w:pgSz w:w="11906" w:h="16838"/>
      <w:pgMar w:top="1440" w:right="1701" w:bottom="1474" w:left="1701" w:header="851" w:footer="992" w:gutter="0"/>
      <w:pgNumType w:start="0"/>
      <w:cols w:space="425" w:num="1"/>
      <w:titlePg/>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楷体_GB2312">
    <w:altName w:val="楷体"/>
    <w:panose1 w:val="02010609030101010101"/>
    <w:charset w:val="86"/>
    <w:family w:val="modern"/>
    <w:pitch w:val="default"/>
    <w:sig w:usb0="00000000" w:usb1="00000000" w:usb2="00000016" w:usb3="00000000" w:csb0="00040001" w:csb1="00000000"/>
  </w:font>
  <w:font w:name="仿宋_GB2312">
    <w:altName w:val="仿宋"/>
    <w:panose1 w:val="02010609030101010101"/>
    <w:charset w:val="86"/>
    <w:family w:val="modern"/>
    <w:pitch w:val="default"/>
    <w:sig w:usb0="00000000" w:usb1="00000000" w:usb2="00000016" w:usb3="00000000" w:csb0="00040001" w:csb1="00000000"/>
  </w:font>
  <w:font w:name="Garamond">
    <w:altName w:val="PMingLiU-ExtB"/>
    <w:panose1 w:val="02020404030301010803"/>
    <w:charset w:val="00"/>
    <w:family w:val="roman"/>
    <w:pitch w:val="default"/>
    <w:sig w:usb0="00000000" w:usb1="00000000" w:usb2="00000000" w:usb3="00000000" w:csb0="0000009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PMingLiU-ExtB">
    <w:panose1 w:val="02020500000000000000"/>
    <w:charset w:val="88"/>
    <w:family w:val="auto"/>
    <w:pitch w:val="default"/>
    <w:sig w:usb0="8000002F" w:usb1="02000008" w:usb2="00000000" w:usb3="00000000" w:csb0="00100001"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3F77993"/>
    <w:multiLevelType w:val="singleLevel"/>
    <w:tmpl w:val="93F77993"/>
    <w:lvl w:ilvl="0" w:tentative="0">
      <w:start w:val="2"/>
      <w:numFmt w:val="decimal"/>
      <w:suff w:val="space"/>
      <w:lvlText w:val="%1."/>
      <w:lvlJc w:val="left"/>
    </w:lvl>
  </w:abstractNum>
  <w:abstractNum w:abstractNumId="1">
    <w:nsid w:val="B4F9E17B"/>
    <w:multiLevelType w:val="singleLevel"/>
    <w:tmpl w:val="B4F9E17B"/>
    <w:lvl w:ilvl="0" w:tentative="0">
      <w:start w:val="1"/>
      <w:numFmt w:val="decimal"/>
      <w:suff w:val="space"/>
      <w:lvlText w:val="%1."/>
      <w:lvlJc w:val="left"/>
    </w:lvl>
  </w:abstractNum>
  <w:abstractNum w:abstractNumId="2">
    <w:nsid w:val="B592B71C"/>
    <w:multiLevelType w:val="singleLevel"/>
    <w:tmpl w:val="B592B71C"/>
    <w:lvl w:ilvl="0" w:tentative="0">
      <w:start w:val="2"/>
      <w:numFmt w:val="decimal"/>
      <w:suff w:val="space"/>
      <w:lvlText w:val="%1."/>
      <w:lvlJc w:val="left"/>
    </w:lvl>
  </w:abstractNum>
  <w:abstractNum w:abstractNumId="3">
    <w:nsid w:val="B799C615"/>
    <w:multiLevelType w:val="singleLevel"/>
    <w:tmpl w:val="B799C615"/>
    <w:lvl w:ilvl="0" w:tentative="0">
      <w:start w:val="1"/>
      <w:numFmt w:val="decimal"/>
      <w:suff w:val="space"/>
      <w:lvlText w:val="%1."/>
      <w:lvlJc w:val="left"/>
    </w:lvl>
  </w:abstractNum>
  <w:abstractNum w:abstractNumId="4">
    <w:nsid w:val="BAA417A4"/>
    <w:multiLevelType w:val="singleLevel"/>
    <w:tmpl w:val="BAA417A4"/>
    <w:lvl w:ilvl="0" w:tentative="0">
      <w:start w:val="6"/>
      <w:numFmt w:val="chineseCounting"/>
      <w:suff w:val="nothing"/>
      <w:lvlText w:val="%1、"/>
      <w:lvlJc w:val="left"/>
      <w:rPr>
        <w:rFonts w:hint="eastAsia"/>
      </w:rPr>
    </w:lvl>
  </w:abstractNum>
  <w:abstractNum w:abstractNumId="5">
    <w:nsid w:val="E88CBD4E"/>
    <w:multiLevelType w:val="singleLevel"/>
    <w:tmpl w:val="E88CBD4E"/>
    <w:lvl w:ilvl="0" w:tentative="0">
      <w:start w:val="1"/>
      <w:numFmt w:val="bullet"/>
      <w:lvlText w:val=""/>
      <w:lvlJc w:val="left"/>
      <w:pPr>
        <w:tabs>
          <w:tab w:val="left" w:pos="420"/>
        </w:tabs>
        <w:ind w:left="840" w:hanging="420"/>
      </w:pPr>
      <w:rPr>
        <w:rFonts w:hint="default" w:ascii="Wingdings" w:hAnsi="Wingdings"/>
      </w:rPr>
    </w:lvl>
  </w:abstractNum>
  <w:abstractNum w:abstractNumId="6">
    <w:nsid w:val="FBF4CFAE"/>
    <w:multiLevelType w:val="singleLevel"/>
    <w:tmpl w:val="FBF4CFAE"/>
    <w:lvl w:ilvl="0" w:tentative="0">
      <w:start w:val="1"/>
      <w:numFmt w:val="bullet"/>
      <w:lvlText w:val=""/>
      <w:lvlJc w:val="left"/>
      <w:pPr>
        <w:tabs>
          <w:tab w:val="left" w:pos="420"/>
        </w:tabs>
        <w:ind w:left="840" w:hanging="420"/>
      </w:pPr>
      <w:rPr>
        <w:rFonts w:hint="default" w:ascii="Wingdings" w:hAnsi="Wingdings"/>
      </w:rPr>
    </w:lvl>
  </w:abstractNum>
  <w:abstractNum w:abstractNumId="7">
    <w:nsid w:val="1AD5510C"/>
    <w:multiLevelType w:val="singleLevel"/>
    <w:tmpl w:val="1AD5510C"/>
    <w:lvl w:ilvl="0" w:tentative="0">
      <w:start w:val="1"/>
      <w:numFmt w:val="decimal"/>
      <w:suff w:val="space"/>
      <w:lvlText w:val="%1."/>
      <w:lvlJc w:val="left"/>
    </w:lvl>
  </w:abstractNum>
  <w:abstractNum w:abstractNumId="8">
    <w:nsid w:val="4AD0A12D"/>
    <w:multiLevelType w:val="singleLevel"/>
    <w:tmpl w:val="4AD0A12D"/>
    <w:lvl w:ilvl="0" w:tentative="0">
      <w:start w:val="2"/>
      <w:numFmt w:val="decimal"/>
      <w:suff w:val="space"/>
      <w:lvlText w:val="%1."/>
      <w:lvlJc w:val="left"/>
    </w:lvl>
  </w:abstractNum>
  <w:num w:numId="1">
    <w:abstractNumId w:val="2"/>
  </w:num>
  <w:num w:numId="2">
    <w:abstractNumId w:val="6"/>
  </w:num>
  <w:num w:numId="3">
    <w:abstractNumId w:val="5"/>
  </w:num>
  <w:num w:numId="4">
    <w:abstractNumId w:val="0"/>
  </w:num>
  <w:num w:numId="5">
    <w:abstractNumId w:val="8"/>
  </w:num>
  <w:num w:numId="6">
    <w:abstractNumId w:val="4"/>
  </w:num>
  <w:num w:numId="7">
    <w:abstractNumId w:val="7"/>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425D"/>
    <w:rsid w:val="00010A0F"/>
    <w:rsid w:val="00011199"/>
    <w:rsid w:val="00015AF7"/>
    <w:rsid w:val="00016303"/>
    <w:rsid w:val="00021761"/>
    <w:rsid w:val="000263ED"/>
    <w:rsid w:val="00031CB3"/>
    <w:rsid w:val="0004582F"/>
    <w:rsid w:val="000909F0"/>
    <w:rsid w:val="000C17EC"/>
    <w:rsid w:val="000D6A50"/>
    <w:rsid w:val="000E4E2B"/>
    <w:rsid w:val="0011627C"/>
    <w:rsid w:val="0012083C"/>
    <w:rsid w:val="00124373"/>
    <w:rsid w:val="00130FB6"/>
    <w:rsid w:val="00134C23"/>
    <w:rsid w:val="001366D1"/>
    <w:rsid w:val="0014149A"/>
    <w:rsid w:val="001551DC"/>
    <w:rsid w:val="00163F5B"/>
    <w:rsid w:val="001641F5"/>
    <w:rsid w:val="00171EB2"/>
    <w:rsid w:val="00176AB5"/>
    <w:rsid w:val="0018404B"/>
    <w:rsid w:val="0019425D"/>
    <w:rsid w:val="00195BCA"/>
    <w:rsid w:val="001B07FC"/>
    <w:rsid w:val="001C13BC"/>
    <w:rsid w:val="001D4193"/>
    <w:rsid w:val="001D7B1F"/>
    <w:rsid w:val="001F2AED"/>
    <w:rsid w:val="00221215"/>
    <w:rsid w:val="002221A3"/>
    <w:rsid w:val="00222622"/>
    <w:rsid w:val="00231E2C"/>
    <w:rsid w:val="00232E20"/>
    <w:rsid w:val="00236D17"/>
    <w:rsid w:val="002373D6"/>
    <w:rsid w:val="00240F71"/>
    <w:rsid w:val="00251227"/>
    <w:rsid w:val="00267025"/>
    <w:rsid w:val="002734A1"/>
    <w:rsid w:val="002741B3"/>
    <w:rsid w:val="00277DAB"/>
    <w:rsid w:val="002D0197"/>
    <w:rsid w:val="002E493B"/>
    <w:rsid w:val="002F2874"/>
    <w:rsid w:val="002F5468"/>
    <w:rsid w:val="00302319"/>
    <w:rsid w:val="00316A56"/>
    <w:rsid w:val="003455CB"/>
    <w:rsid w:val="00355789"/>
    <w:rsid w:val="0036045A"/>
    <w:rsid w:val="00370B7A"/>
    <w:rsid w:val="00374549"/>
    <w:rsid w:val="00387711"/>
    <w:rsid w:val="0039389E"/>
    <w:rsid w:val="00396CC8"/>
    <w:rsid w:val="003A4481"/>
    <w:rsid w:val="003B4C2F"/>
    <w:rsid w:val="00404AA6"/>
    <w:rsid w:val="00410FA7"/>
    <w:rsid w:val="00416CCC"/>
    <w:rsid w:val="00421BE0"/>
    <w:rsid w:val="004553B0"/>
    <w:rsid w:val="00457B86"/>
    <w:rsid w:val="00475523"/>
    <w:rsid w:val="00484644"/>
    <w:rsid w:val="004932A6"/>
    <w:rsid w:val="00494285"/>
    <w:rsid w:val="00496B15"/>
    <w:rsid w:val="004A7606"/>
    <w:rsid w:val="004B2946"/>
    <w:rsid w:val="004B53AB"/>
    <w:rsid w:val="004B71BD"/>
    <w:rsid w:val="004C0FB6"/>
    <w:rsid w:val="004C1FF5"/>
    <w:rsid w:val="004D5853"/>
    <w:rsid w:val="004E3ACF"/>
    <w:rsid w:val="004F4479"/>
    <w:rsid w:val="005409E8"/>
    <w:rsid w:val="00542AB6"/>
    <w:rsid w:val="00567456"/>
    <w:rsid w:val="00572795"/>
    <w:rsid w:val="00577EDE"/>
    <w:rsid w:val="00594054"/>
    <w:rsid w:val="005A61EC"/>
    <w:rsid w:val="005D23EB"/>
    <w:rsid w:val="005D4292"/>
    <w:rsid w:val="005D7B55"/>
    <w:rsid w:val="005E1CA5"/>
    <w:rsid w:val="0061203F"/>
    <w:rsid w:val="00612526"/>
    <w:rsid w:val="0064042F"/>
    <w:rsid w:val="006429FA"/>
    <w:rsid w:val="00644FB0"/>
    <w:rsid w:val="006528BE"/>
    <w:rsid w:val="00693E83"/>
    <w:rsid w:val="006A43F4"/>
    <w:rsid w:val="006B083D"/>
    <w:rsid w:val="00704EB3"/>
    <w:rsid w:val="007079E4"/>
    <w:rsid w:val="007132A9"/>
    <w:rsid w:val="00743023"/>
    <w:rsid w:val="00746968"/>
    <w:rsid w:val="00756F33"/>
    <w:rsid w:val="00761347"/>
    <w:rsid w:val="0077653C"/>
    <w:rsid w:val="007802BD"/>
    <w:rsid w:val="007808B3"/>
    <w:rsid w:val="00783835"/>
    <w:rsid w:val="007A3308"/>
    <w:rsid w:val="007A37C9"/>
    <w:rsid w:val="007B5447"/>
    <w:rsid w:val="007C1E2B"/>
    <w:rsid w:val="007D1157"/>
    <w:rsid w:val="007E36C6"/>
    <w:rsid w:val="007E7F88"/>
    <w:rsid w:val="00814AE2"/>
    <w:rsid w:val="008246F5"/>
    <w:rsid w:val="008339FC"/>
    <w:rsid w:val="00846C36"/>
    <w:rsid w:val="00874AAD"/>
    <w:rsid w:val="0088046A"/>
    <w:rsid w:val="00897E47"/>
    <w:rsid w:val="008A68BB"/>
    <w:rsid w:val="008B10FB"/>
    <w:rsid w:val="008B1879"/>
    <w:rsid w:val="008C1831"/>
    <w:rsid w:val="008C772F"/>
    <w:rsid w:val="008D4271"/>
    <w:rsid w:val="008D43F9"/>
    <w:rsid w:val="008D4B35"/>
    <w:rsid w:val="008E04E3"/>
    <w:rsid w:val="008E1C26"/>
    <w:rsid w:val="00904B14"/>
    <w:rsid w:val="00913B3E"/>
    <w:rsid w:val="00916157"/>
    <w:rsid w:val="00920858"/>
    <w:rsid w:val="00924C58"/>
    <w:rsid w:val="00945C24"/>
    <w:rsid w:val="00960D7B"/>
    <w:rsid w:val="00964C21"/>
    <w:rsid w:val="00970CA0"/>
    <w:rsid w:val="0097298D"/>
    <w:rsid w:val="00981FE5"/>
    <w:rsid w:val="00982334"/>
    <w:rsid w:val="00985A66"/>
    <w:rsid w:val="00994D5F"/>
    <w:rsid w:val="009A20C5"/>
    <w:rsid w:val="009B7713"/>
    <w:rsid w:val="009C189B"/>
    <w:rsid w:val="009F6FAC"/>
    <w:rsid w:val="00A024CD"/>
    <w:rsid w:val="00A02DDF"/>
    <w:rsid w:val="00A17D65"/>
    <w:rsid w:val="00A41988"/>
    <w:rsid w:val="00A62D99"/>
    <w:rsid w:val="00A635FC"/>
    <w:rsid w:val="00AA2879"/>
    <w:rsid w:val="00AA52D9"/>
    <w:rsid w:val="00AB25E4"/>
    <w:rsid w:val="00AD29BC"/>
    <w:rsid w:val="00AD6A2D"/>
    <w:rsid w:val="00AF4212"/>
    <w:rsid w:val="00B02C3E"/>
    <w:rsid w:val="00B12D4D"/>
    <w:rsid w:val="00B21563"/>
    <w:rsid w:val="00B22DAC"/>
    <w:rsid w:val="00B5098D"/>
    <w:rsid w:val="00B54A5E"/>
    <w:rsid w:val="00B61D5D"/>
    <w:rsid w:val="00B64A80"/>
    <w:rsid w:val="00BB68C2"/>
    <w:rsid w:val="00BE0161"/>
    <w:rsid w:val="00BF5E21"/>
    <w:rsid w:val="00C01F57"/>
    <w:rsid w:val="00C10975"/>
    <w:rsid w:val="00C13CA4"/>
    <w:rsid w:val="00C53281"/>
    <w:rsid w:val="00C54313"/>
    <w:rsid w:val="00C6337F"/>
    <w:rsid w:val="00C715CB"/>
    <w:rsid w:val="00CA7A75"/>
    <w:rsid w:val="00CC6B94"/>
    <w:rsid w:val="00CF5A02"/>
    <w:rsid w:val="00D015DD"/>
    <w:rsid w:val="00D201D8"/>
    <w:rsid w:val="00D22158"/>
    <w:rsid w:val="00D24DD4"/>
    <w:rsid w:val="00D37A41"/>
    <w:rsid w:val="00D61265"/>
    <w:rsid w:val="00D87D8A"/>
    <w:rsid w:val="00DA51A7"/>
    <w:rsid w:val="00DA589A"/>
    <w:rsid w:val="00DB0277"/>
    <w:rsid w:val="00DB410F"/>
    <w:rsid w:val="00DC2F21"/>
    <w:rsid w:val="00DD0DE4"/>
    <w:rsid w:val="00DE4983"/>
    <w:rsid w:val="00E004BA"/>
    <w:rsid w:val="00E00E11"/>
    <w:rsid w:val="00E13014"/>
    <w:rsid w:val="00E30430"/>
    <w:rsid w:val="00E53FC4"/>
    <w:rsid w:val="00E543CA"/>
    <w:rsid w:val="00EB4B03"/>
    <w:rsid w:val="00EB4E61"/>
    <w:rsid w:val="00ED57B1"/>
    <w:rsid w:val="00EE0548"/>
    <w:rsid w:val="00EF1F2B"/>
    <w:rsid w:val="00F74686"/>
    <w:rsid w:val="00F74A73"/>
    <w:rsid w:val="00FA3213"/>
    <w:rsid w:val="00FA7077"/>
    <w:rsid w:val="00FB5285"/>
    <w:rsid w:val="00FC25CA"/>
    <w:rsid w:val="00FC6712"/>
    <w:rsid w:val="00FF0930"/>
    <w:rsid w:val="0EF95F04"/>
    <w:rsid w:val="16C24A0C"/>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unhideWhenUsed="0" w:uiPriority="0" w:semiHidden="0" w:name="header"/>
    <w:lsdException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nhideWhenUsed="0" w:uiPriority="0" w:semiHidden="0" w:name="table of authorities"/>
    <w:lsdException w:uiPriority="0" w:name="macro"/>
    <w:lsdException w:uiPriority="0" w:name="toa heading"/>
    <w:lsdException w:unhideWhenUsed="0" w:uiPriority="0" w:semiHidden="0" w:name="List"/>
    <w:lsdException w:unhideWhenUsed="0" w:uiPriority="0" w:semiHidden="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iPriority="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1"/>
    <w:qFormat/>
    <w:uiPriority w:val="0"/>
    <w:pPr>
      <w:keepNext/>
      <w:keepLines/>
      <w:spacing w:before="340" w:after="330" w:line="578" w:lineRule="auto"/>
      <w:outlineLvl w:val="0"/>
    </w:pPr>
    <w:rPr>
      <w:b/>
      <w:bCs/>
      <w:kern w:val="44"/>
      <w:sz w:val="44"/>
      <w:szCs w:val="44"/>
    </w:rPr>
  </w:style>
  <w:style w:type="character" w:default="1" w:styleId="10">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3">
    <w:name w:val="Balloon Text"/>
    <w:basedOn w:val="1"/>
    <w:link w:val="14"/>
    <w:semiHidden/>
    <w:unhideWhenUsed/>
    <w:uiPriority w:val="0"/>
    <w:rPr>
      <w:sz w:val="18"/>
      <w:szCs w:val="18"/>
    </w:rPr>
  </w:style>
  <w:style w:type="paragraph" w:styleId="4">
    <w:name w:val="footer"/>
    <w:basedOn w:val="1"/>
    <w:link w:val="17"/>
    <w:uiPriority w:val="0"/>
    <w:pPr>
      <w:tabs>
        <w:tab w:val="center" w:pos="4153"/>
        <w:tab w:val="right" w:pos="8306"/>
      </w:tabs>
      <w:snapToGrid w:val="0"/>
      <w:jc w:val="left"/>
    </w:pPr>
    <w:rPr>
      <w:sz w:val="18"/>
      <w:szCs w:val="18"/>
    </w:rPr>
  </w:style>
  <w:style w:type="paragraph" w:styleId="5">
    <w:name w:val="header"/>
    <w:basedOn w:val="1"/>
    <w:link w:val="16"/>
    <w:uiPriority w:val="0"/>
    <w:pPr>
      <w:pBdr>
        <w:bottom w:val="single" w:color="auto" w:sz="6" w:space="1"/>
      </w:pBdr>
      <w:tabs>
        <w:tab w:val="center" w:pos="4153"/>
        <w:tab w:val="right" w:pos="8306"/>
      </w:tabs>
      <w:snapToGrid w:val="0"/>
      <w:jc w:val="center"/>
    </w:pPr>
    <w:rPr>
      <w:sz w:val="18"/>
      <w:szCs w:val="18"/>
    </w:rPr>
  </w:style>
  <w:style w:type="paragraph" w:styleId="6">
    <w:name w:val="Subtitle"/>
    <w:basedOn w:val="1"/>
    <w:next w:val="1"/>
    <w:link w:val="12"/>
    <w:qFormat/>
    <w:uiPriority w:val="0"/>
    <w:pPr>
      <w:spacing w:before="240" w:after="60" w:line="312" w:lineRule="auto"/>
      <w:jc w:val="center"/>
      <w:outlineLvl w:val="1"/>
    </w:pPr>
    <w:rPr>
      <w:rFonts w:asciiTheme="majorHAnsi" w:hAnsiTheme="majorHAnsi" w:cstheme="majorBidi"/>
      <w:b/>
      <w:bCs/>
      <w:kern w:val="28"/>
      <w:sz w:val="32"/>
      <w:szCs w:val="32"/>
    </w:rPr>
  </w:style>
  <w:style w:type="paragraph" w:styleId="7">
    <w:name w:val="Title"/>
    <w:basedOn w:val="1"/>
    <w:next w:val="1"/>
    <w:link w:val="15"/>
    <w:qFormat/>
    <w:uiPriority w:val="0"/>
    <w:pPr>
      <w:spacing w:before="240" w:after="60"/>
      <w:jc w:val="center"/>
      <w:outlineLvl w:val="0"/>
    </w:pPr>
    <w:rPr>
      <w:rFonts w:asciiTheme="majorHAnsi" w:hAnsiTheme="majorHAnsi" w:cstheme="majorBidi"/>
      <w:b/>
      <w:bCs/>
      <w:sz w:val="32"/>
      <w:szCs w:val="32"/>
    </w:rPr>
  </w:style>
  <w:style w:type="table" w:styleId="9">
    <w:name w:val="Table Grid"/>
    <w:basedOn w:val="8"/>
    <w:uiPriority w:val="0"/>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customStyle="1" w:styleId="11">
    <w:name w:val="标题 1 字符"/>
    <w:basedOn w:val="10"/>
    <w:link w:val="2"/>
    <w:uiPriority w:val="0"/>
    <w:rPr>
      <w:b/>
      <w:bCs/>
      <w:kern w:val="44"/>
      <w:sz w:val="44"/>
      <w:szCs w:val="44"/>
    </w:rPr>
  </w:style>
  <w:style w:type="character" w:customStyle="1" w:styleId="12">
    <w:name w:val="副标题 字符"/>
    <w:basedOn w:val="10"/>
    <w:link w:val="6"/>
    <w:uiPriority w:val="0"/>
    <w:rPr>
      <w:rFonts w:asciiTheme="majorHAnsi" w:hAnsiTheme="majorHAnsi" w:cstheme="majorBidi"/>
      <w:b/>
      <w:bCs/>
      <w:kern w:val="28"/>
      <w:sz w:val="32"/>
      <w:szCs w:val="32"/>
    </w:rPr>
  </w:style>
  <w:style w:type="paragraph" w:styleId="13">
    <w:name w:val="List Paragraph"/>
    <w:basedOn w:val="1"/>
    <w:qFormat/>
    <w:uiPriority w:val="34"/>
    <w:pPr>
      <w:ind w:firstLine="420" w:firstLineChars="200"/>
    </w:pPr>
  </w:style>
  <w:style w:type="character" w:customStyle="1" w:styleId="14">
    <w:name w:val="批注框文本 字符"/>
    <w:basedOn w:val="10"/>
    <w:link w:val="3"/>
    <w:semiHidden/>
    <w:uiPriority w:val="0"/>
    <w:rPr>
      <w:kern w:val="2"/>
      <w:sz w:val="18"/>
      <w:szCs w:val="18"/>
    </w:rPr>
  </w:style>
  <w:style w:type="character" w:customStyle="1" w:styleId="15">
    <w:name w:val="标题 字符"/>
    <w:basedOn w:val="10"/>
    <w:link w:val="7"/>
    <w:uiPriority w:val="0"/>
    <w:rPr>
      <w:rFonts w:asciiTheme="majorHAnsi" w:hAnsiTheme="majorHAnsi" w:cstheme="majorBidi"/>
      <w:b/>
      <w:bCs/>
      <w:kern w:val="2"/>
      <w:sz w:val="32"/>
      <w:szCs w:val="32"/>
    </w:rPr>
  </w:style>
  <w:style w:type="character" w:customStyle="1" w:styleId="16">
    <w:name w:val="页眉 字符"/>
    <w:basedOn w:val="10"/>
    <w:link w:val="5"/>
    <w:uiPriority w:val="0"/>
    <w:rPr>
      <w:kern w:val="2"/>
      <w:sz w:val="18"/>
      <w:szCs w:val="18"/>
    </w:rPr>
  </w:style>
  <w:style w:type="character" w:customStyle="1" w:styleId="17">
    <w:name w:val="页脚 字符"/>
    <w:basedOn w:val="10"/>
    <w:link w:val="4"/>
    <w:uiPriority w:val="0"/>
    <w:rPr>
      <w:kern w:val="2"/>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7</Pages>
  <Words>1167</Words>
  <Characters>1340</Characters>
  <Lines>1</Lines>
  <Paragraphs>2</Paragraphs>
  <TotalTime>27</TotalTime>
  <ScaleCrop>false</ScaleCrop>
  <LinksUpToDate>false</LinksUpToDate>
  <CharactersWithSpaces>1358</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2025-03-16T20:31:00Z</dcterms:created>
  <dc:creator>Leo</dc:creator>
  <cp:lastModifiedBy>Guard you,to life</cp:lastModifiedBy>
  <dcterms:modified xsi:type="dcterms:W3CDTF">2025-04-20T06:52:40Z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eyJoZGlkIjoiZmY2YmM0Yzk2MWFhYTA0Y2RmYzg3YjJhYzJkYTc0NDIiLCJ1c2VySWQiOiI5MTA3MDA5NTUifQ==</vt:lpwstr>
  </property>
  <property fmtid="{D5CDD505-2E9C-101B-9397-08002B2CF9AE}" pid="3" name="KSOProductBuildVer">
    <vt:lpwstr>2052-12.1.0.20784</vt:lpwstr>
  </property>
  <property fmtid="{D5CDD505-2E9C-101B-9397-08002B2CF9AE}" pid="4" name="ICV">
    <vt:lpwstr>1F6D1E3FB6F94A2DBA10F8B6C53EBA9D_12</vt:lpwstr>
  </property>
</Properties>
</file>