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3A1943">
      <w:pPr>
        <w:ind w:firstLine="5663" w:firstLineChars="1282"/>
        <w:jc w:val="right"/>
        <w:rPr>
          <w:rFonts w:ascii="楷体_GB2312" w:eastAsia="楷体_GB2312"/>
          <w:b/>
          <w:sz w:val="44"/>
          <w:szCs w:val="44"/>
        </w:rPr>
      </w:pPr>
      <w:r>
        <w:rPr>
          <w:rFonts w:ascii="楷体_GB2312" w:eastAsia="楷体_GB2312"/>
          <w:b/>
          <w:sz w:val="44"/>
          <w:szCs w:val="44"/>
        </w:rPr>
        <w:drawing>
          <wp:inline distT="0" distB="0" distL="0" distR="0">
            <wp:extent cx="1658620" cy="503555"/>
            <wp:effectExtent l="19050" t="0" r="0" b="0"/>
            <wp:docPr id="2" name="图片 1" descr="合肥大学常用标志-23.12.1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合肥大学常用标志-23.12.16-01.jpg"/>
                    <pic:cNvPicPr>
                      <a:picLocks noChangeAspect="1"/>
                    </pic:cNvPicPr>
                  </pic:nvPicPr>
                  <pic:blipFill>
                    <a:blip r:embed="rId4" cstate="print"/>
                    <a:stretch>
                      <a:fillRect/>
                    </a:stretch>
                  </pic:blipFill>
                  <pic:spPr>
                    <a:xfrm>
                      <a:off x="0" y="0"/>
                      <a:ext cx="1658743" cy="504000"/>
                    </a:xfrm>
                    <a:prstGeom prst="rect">
                      <a:avLst/>
                    </a:prstGeom>
                  </pic:spPr>
                </pic:pic>
              </a:graphicData>
            </a:graphic>
          </wp:inline>
        </w:drawing>
      </w:r>
    </w:p>
    <w:p w14:paraId="53E7F030">
      <w:pPr>
        <w:jc w:val="center"/>
        <w:rPr>
          <w:rFonts w:ascii="楷体_GB2312" w:eastAsia="楷体_GB2312"/>
          <w:b/>
          <w:sz w:val="44"/>
          <w:szCs w:val="44"/>
        </w:rPr>
      </w:pPr>
    </w:p>
    <w:p w14:paraId="03F63AE8">
      <w:pPr>
        <w:spacing w:before="120" w:beforeLines="50" w:after="120" w:afterLines="50"/>
        <w:jc w:val="center"/>
        <w:rPr>
          <w:rFonts w:ascii="楷体_GB2312" w:eastAsia="楷体_GB2312"/>
          <w:b/>
          <w:sz w:val="72"/>
          <w:szCs w:val="72"/>
        </w:rPr>
      </w:pPr>
      <w:r>
        <w:rPr>
          <w:rFonts w:hint="eastAsia" w:ascii="楷体_GB2312" w:eastAsia="楷体_GB2312"/>
          <w:b/>
          <w:sz w:val="72"/>
          <w:szCs w:val="72"/>
        </w:rPr>
        <w:t>人工智能与大数据学院</w:t>
      </w:r>
    </w:p>
    <w:p w14:paraId="183E851D">
      <w:pPr>
        <w:spacing w:before="120" w:beforeLines="50" w:after="120" w:afterLines="50"/>
        <w:jc w:val="center"/>
        <w:rPr>
          <w:rFonts w:ascii="楷体_GB2312" w:eastAsia="楷体_GB2312"/>
          <w:b/>
          <w:sz w:val="72"/>
          <w:szCs w:val="72"/>
        </w:rPr>
      </w:pPr>
      <w:r>
        <w:rPr>
          <w:rFonts w:hint="eastAsia" w:ascii="楷体_GB2312" w:eastAsia="楷体_GB2312"/>
          <w:b/>
          <w:sz w:val="72"/>
          <w:szCs w:val="72"/>
        </w:rPr>
        <w:t>课程论文</w:t>
      </w:r>
    </w:p>
    <w:p w14:paraId="3185712B">
      <w:pPr>
        <w:jc w:val="center"/>
        <w:rPr>
          <w:rFonts w:ascii="楷体_GB2312" w:eastAsia="楷体_GB2312"/>
          <w:b/>
          <w:sz w:val="44"/>
          <w:szCs w:val="44"/>
        </w:rPr>
      </w:pPr>
    </w:p>
    <w:p w14:paraId="67534AF9">
      <w:pPr>
        <w:spacing w:before="120" w:beforeLines="50" w:after="120" w:afterLines="50"/>
        <w:jc w:val="center"/>
        <w:rPr>
          <w:rFonts w:eastAsia="楷体_GB2312"/>
          <w:b/>
          <w:sz w:val="44"/>
          <w:szCs w:val="44"/>
        </w:rPr>
      </w:pPr>
      <w:r>
        <w:rPr>
          <w:rFonts w:hint="eastAsia" w:eastAsia="楷体_GB2312"/>
          <w:b/>
          <w:sz w:val="44"/>
          <w:szCs w:val="44"/>
        </w:rPr>
        <w:t>20</w:t>
      </w:r>
      <w:r>
        <w:rPr>
          <w:rFonts w:hint="eastAsia" w:eastAsia="楷体_GB2312"/>
          <w:b/>
          <w:sz w:val="44"/>
          <w:szCs w:val="44"/>
          <w:u w:val="single"/>
        </w:rPr>
        <w:t xml:space="preserve"> 24 </w:t>
      </w:r>
      <w:r>
        <w:rPr>
          <w:rFonts w:hint="eastAsia" w:eastAsia="楷体_GB2312"/>
          <w:b/>
          <w:sz w:val="44"/>
          <w:szCs w:val="44"/>
        </w:rPr>
        <w:t>－20</w:t>
      </w:r>
      <w:r>
        <w:rPr>
          <w:rFonts w:hint="eastAsia" w:eastAsia="楷体_GB2312"/>
          <w:b/>
          <w:sz w:val="44"/>
          <w:szCs w:val="44"/>
          <w:u w:val="single"/>
        </w:rPr>
        <w:t xml:space="preserve"> 25</w:t>
      </w:r>
      <w:r>
        <w:rPr>
          <w:rFonts w:eastAsia="楷体_GB2312"/>
          <w:b/>
          <w:sz w:val="44"/>
          <w:szCs w:val="44"/>
          <w:u w:val="single"/>
        </w:rPr>
        <w:t xml:space="preserve"> </w:t>
      </w:r>
      <w:r>
        <w:rPr>
          <w:rFonts w:hint="eastAsia" w:eastAsia="楷体_GB2312"/>
          <w:b/>
          <w:sz w:val="44"/>
          <w:szCs w:val="44"/>
        </w:rPr>
        <w:t>学年第</w:t>
      </w:r>
      <w:r>
        <w:rPr>
          <w:rFonts w:hint="eastAsia" w:eastAsia="楷体_GB2312"/>
          <w:b/>
          <w:sz w:val="44"/>
          <w:szCs w:val="44"/>
          <w:u w:val="single"/>
        </w:rPr>
        <w:t xml:space="preserve"> 2 </w:t>
      </w:r>
      <w:r>
        <w:rPr>
          <w:rFonts w:hint="eastAsia" w:eastAsia="楷体_GB2312"/>
          <w:b/>
          <w:sz w:val="44"/>
          <w:szCs w:val="44"/>
        </w:rPr>
        <w:t>学期</w:t>
      </w:r>
    </w:p>
    <w:p w14:paraId="01700FD2">
      <w:pPr>
        <w:spacing w:before="120" w:beforeLines="50" w:after="120" w:afterLines="50"/>
        <w:jc w:val="center"/>
        <w:rPr>
          <w:rFonts w:eastAsia="楷体_GB2312"/>
          <w:b/>
          <w:sz w:val="44"/>
          <w:szCs w:val="44"/>
        </w:rPr>
      </w:pPr>
    </w:p>
    <w:p w14:paraId="431BAB34">
      <w:pPr>
        <w:spacing w:before="120" w:beforeLines="50" w:after="120" w:afterLines="50"/>
        <w:jc w:val="center"/>
        <w:rPr>
          <w:rFonts w:eastAsia="楷体_GB2312"/>
          <w:b/>
          <w:sz w:val="44"/>
          <w:szCs w:val="44"/>
        </w:rPr>
      </w:pPr>
    </w:p>
    <w:p w14:paraId="1783C169">
      <w:pPr>
        <w:spacing w:before="120" w:beforeLines="50" w:after="120" w:afterLines="50"/>
        <w:jc w:val="center"/>
        <w:rPr>
          <w:rFonts w:eastAsia="楷体_GB2312"/>
          <w:b/>
          <w:sz w:val="44"/>
          <w:szCs w:val="44"/>
        </w:rPr>
      </w:pPr>
    </w:p>
    <w:p w14:paraId="349F9E14">
      <w:pPr>
        <w:spacing w:before="120" w:beforeLines="50" w:after="120" w:afterLines="50"/>
        <w:jc w:val="center"/>
        <w:rPr>
          <w:rFonts w:eastAsia="楷体_GB2312"/>
          <w:b/>
          <w:sz w:val="44"/>
          <w:szCs w:val="44"/>
        </w:rPr>
      </w:pPr>
    </w:p>
    <w:p w14:paraId="6A80434C">
      <w:pPr>
        <w:spacing w:before="120" w:beforeLines="50" w:after="120" w:afterLines="50"/>
        <w:jc w:val="center"/>
        <w:rPr>
          <w:rFonts w:eastAsia="楷体_GB2312"/>
          <w:b/>
          <w:sz w:val="44"/>
          <w:szCs w:val="44"/>
        </w:rPr>
      </w:pPr>
    </w:p>
    <w:p w14:paraId="55A2B93D">
      <w:pPr>
        <w:rPr>
          <w:rFonts w:ascii="楷体_GB2312" w:eastAsia="楷体_GB2312"/>
          <w:sz w:val="32"/>
          <w:szCs w:val="32"/>
        </w:rPr>
      </w:pPr>
    </w:p>
    <w:tbl>
      <w:tblPr>
        <w:tblStyle w:val="9"/>
        <w:tblW w:w="0" w:type="auto"/>
        <w:tblInd w:w="11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1"/>
        <w:gridCol w:w="4111"/>
      </w:tblGrid>
      <w:tr w14:paraId="187ACD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trPr>
        <w:tc>
          <w:tcPr>
            <w:tcW w:w="2551" w:type="dxa"/>
            <w:vAlign w:val="bottom"/>
          </w:tcPr>
          <w:p w14:paraId="5EA931F3">
            <w:pPr>
              <w:jc w:val="right"/>
              <w:rPr>
                <w:rFonts w:ascii="楷体_GB2312" w:eastAsia="楷体_GB2312"/>
                <w:sz w:val="32"/>
                <w:szCs w:val="32"/>
              </w:rPr>
            </w:pPr>
            <w:r>
              <w:rPr>
                <w:rFonts w:hint="eastAsia" w:ascii="楷体_GB2312" w:eastAsia="楷体_GB2312"/>
                <w:sz w:val="32"/>
                <w:szCs w:val="32"/>
              </w:rPr>
              <w:t>课程（模块）</w:t>
            </w:r>
          </w:p>
        </w:tc>
        <w:tc>
          <w:tcPr>
            <w:tcW w:w="4111" w:type="dxa"/>
            <w:tcBorders>
              <w:bottom w:val="single" w:color="000000" w:themeColor="text1" w:sz="4" w:space="0"/>
            </w:tcBorders>
            <w:vAlign w:val="bottom"/>
          </w:tcPr>
          <w:p w14:paraId="1BEE1A7C">
            <w:pPr>
              <w:jc w:val="center"/>
              <w:rPr>
                <w:rFonts w:eastAsia="仿宋_GB2312"/>
                <w:sz w:val="30"/>
                <w:szCs w:val="30"/>
              </w:rPr>
            </w:pPr>
            <w:r>
              <w:rPr>
                <w:rFonts w:hint="eastAsia" w:eastAsia="仿宋_GB2312"/>
                <w:sz w:val="30"/>
                <w:szCs w:val="30"/>
              </w:rPr>
              <w:t>工程经济学</w:t>
            </w:r>
          </w:p>
        </w:tc>
      </w:tr>
      <w:tr w14:paraId="75DC8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trPr>
        <w:tc>
          <w:tcPr>
            <w:tcW w:w="2551" w:type="dxa"/>
            <w:vAlign w:val="bottom"/>
          </w:tcPr>
          <w:p w14:paraId="3A26D7C3">
            <w:pPr>
              <w:jc w:val="right"/>
              <w:rPr>
                <w:rFonts w:ascii="楷体_GB2312" w:eastAsia="楷体_GB2312"/>
                <w:sz w:val="32"/>
                <w:szCs w:val="32"/>
              </w:rPr>
            </w:pPr>
            <w:r>
              <w:rPr>
                <w:rFonts w:hint="eastAsia" w:ascii="楷体_GB2312" w:eastAsia="楷体_GB2312"/>
                <w:sz w:val="32"/>
                <w:szCs w:val="32"/>
              </w:rPr>
              <w:t>班    级</w:t>
            </w:r>
          </w:p>
        </w:tc>
        <w:tc>
          <w:tcPr>
            <w:tcW w:w="4111" w:type="dxa"/>
            <w:tcBorders>
              <w:top w:val="single" w:color="000000" w:themeColor="text1" w:sz="4" w:space="0"/>
              <w:bottom w:val="single" w:color="000000" w:themeColor="text1" w:sz="4" w:space="0"/>
            </w:tcBorders>
            <w:vAlign w:val="bottom"/>
          </w:tcPr>
          <w:p w14:paraId="7F302A87">
            <w:pPr>
              <w:jc w:val="center"/>
              <w:rPr>
                <w:rFonts w:eastAsia="仿宋_GB2312"/>
                <w:sz w:val="28"/>
                <w:szCs w:val="28"/>
              </w:rPr>
            </w:pPr>
            <w:r>
              <w:rPr>
                <w:rFonts w:hint="eastAsia" w:eastAsia="仿宋_GB2312"/>
                <w:sz w:val="28"/>
                <w:szCs w:val="28"/>
              </w:rPr>
              <w:t>22软件工程（</w:t>
            </w:r>
            <w:r>
              <w:rPr>
                <w:rFonts w:hint="eastAsia" w:eastAsia="仿宋_GB2312"/>
                <w:sz w:val="28"/>
                <w:szCs w:val="28"/>
                <w:lang w:val="en-US" w:eastAsia="zh-CN"/>
              </w:rPr>
              <w:t>2</w:t>
            </w:r>
            <w:r>
              <w:rPr>
                <w:rFonts w:hint="eastAsia" w:eastAsia="仿宋_GB2312"/>
                <w:sz w:val="28"/>
                <w:szCs w:val="28"/>
              </w:rPr>
              <w:t>）</w:t>
            </w:r>
          </w:p>
        </w:tc>
      </w:tr>
      <w:tr w14:paraId="1F6A26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trPr>
        <w:tc>
          <w:tcPr>
            <w:tcW w:w="2551" w:type="dxa"/>
            <w:vAlign w:val="bottom"/>
          </w:tcPr>
          <w:p w14:paraId="27A68116">
            <w:pPr>
              <w:jc w:val="right"/>
              <w:rPr>
                <w:rFonts w:ascii="楷体_GB2312" w:eastAsia="楷体_GB2312"/>
                <w:sz w:val="32"/>
                <w:szCs w:val="32"/>
              </w:rPr>
            </w:pPr>
            <w:r>
              <w:rPr>
                <w:rFonts w:hint="eastAsia" w:ascii="楷体_GB2312" w:eastAsia="楷体_GB2312"/>
                <w:sz w:val="32"/>
                <w:szCs w:val="32"/>
              </w:rPr>
              <w:t>姓名（学号）</w:t>
            </w:r>
          </w:p>
        </w:tc>
        <w:tc>
          <w:tcPr>
            <w:tcW w:w="4111" w:type="dxa"/>
            <w:tcBorders>
              <w:top w:val="single" w:color="000000" w:themeColor="text1" w:sz="4" w:space="0"/>
              <w:bottom w:val="single" w:color="000000" w:themeColor="text1" w:sz="4" w:space="0"/>
            </w:tcBorders>
            <w:vAlign w:val="bottom"/>
          </w:tcPr>
          <w:p w14:paraId="39B2E78F">
            <w:pPr>
              <w:jc w:val="center"/>
              <w:rPr>
                <w:rFonts w:hint="default" w:eastAsia="仿宋_GB2312"/>
                <w:sz w:val="30"/>
                <w:szCs w:val="30"/>
                <w:lang w:val="en-US" w:eastAsia="zh-CN"/>
              </w:rPr>
            </w:pPr>
            <w:r>
              <w:rPr>
                <w:rFonts w:hint="eastAsia" w:eastAsia="仿宋_GB2312"/>
                <w:sz w:val="30"/>
                <w:szCs w:val="30"/>
                <w:lang w:val="en-US" w:eastAsia="zh-CN"/>
              </w:rPr>
              <w:t>钟健</w:t>
            </w:r>
            <w:r>
              <w:rPr>
                <w:rFonts w:hint="eastAsia" w:eastAsia="仿宋_GB2312"/>
                <w:sz w:val="30"/>
                <w:szCs w:val="30"/>
              </w:rPr>
              <w:t>22302</w:t>
            </w:r>
            <w:r>
              <w:rPr>
                <w:rFonts w:hint="eastAsia" w:eastAsia="仿宋_GB2312"/>
                <w:sz w:val="30"/>
                <w:szCs w:val="30"/>
                <w:lang w:val="en-US" w:eastAsia="zh-CN"/>
              </w:rPr>
              <w:t>092022</w:t>
            </w:r>
          </w:p>
        </w:tc>
      </w:tr>
      <w:tr w14:paraId="120B17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trPr>
        <w:tc>
          <w:tcPr>
            <w:tcW w:w="2551" w:type="dxa"/>
            <w:vAlign w:val="bottom"/>
          </w:tcPr>
          <w:p w14:paraId="464576E9">
            <w:pPr>
              <w:jc w:val="right"/>
              <w:rPr>
                <w:rFonts w:ascii="楷体_GB2312" w:eastAsia="楷体_GB2312"/>
                <w:sz w:val="32"/>
                <w:szCs w:val="32"/>
              </w:rPr>
            </w:pPr>
            <w:r>
              <w:rPr>
                <w:rFonts w:hint="eastAsia" w:ascii="楷体_GB2312" w:eastAsia="楷体_GB2312"/>
                <w:sz w:val="32"/>
                <w:szCs w:val="32"/>
              </w:rPr>
              <w:t>评阅教师</w:t>
            </w:r>
          </w:p>
        </w:tc>
        <w:tc>
          <w:tcPr>
            <w:tcW w:w="4111" w:type="dxa"/>
            <w:tcBorders>
              <w:top w:val="single" w:color="000000" w:themeColor="text1" w:sz="4" w:space="0"/>
              <w:bottom w:val="single" w:color="000000" w:themeColor="text1" w:sz="4" w:space="0"/>
            </w:tcBorders>
            <w:vAlign w:val="bottom"/>
          </w:tcPr>
          <w:p w14:paraId="71EFA7F3">
            <w:pPr>
              <w:jc w:val="center"/>
              <w:rPr>
                <w:rFonts w:eastAsia="仿宋_GB2312"/>
                <w:sz w:val="30"/>
                <w:szCs w:val="30"/>
              </w:rPr>
            </w:pPr>
            <w:r>
              <w:rPr>
                <w:rFonts w:hint="eastAsia" w:eastAsia="仿宋_GB2312"/>
                <w:sz w:val="30"/>
                <w:szCs w:val="30"/>
              </w:rPr>
              <w:t>王晨</w:t>
            </w:r>
          </w:p>
        </w:tc>
      </w:tr>
      <w:tr w14:paraId="0EFBAD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5" w:hRule="atLeast"/>
        </w:trPr>
        <w:tc>
          <w:tcPr>
            <w:tcW w:w="2551" w:type="dxa"/>
            <w:vAlign w:val="bottom"/>
          </w:tcPr>
          <w:p w14:paraId="4E88DE53">
            <w:pPr>
              <w:jc w:val="right"/>
              <w:rPr>
                <w:rFonts w:ascii="楷体_GB2312" w:eastAsia="楷体_GB2312"/>
                <w:sz w:val="32"/>
                <w:szCs w:val="32"/>
              </w:rPr>
            </w:pPr>
            <w:r>
              <w:rPr>
                <w:rFonts w:hint="eastAsia" w:ascii="楷体_GB2312" w:eastAsia="楷体_GB2312"/>
                <w:sz w:val="32"/>
                <w:szCs w:val="32"/>
              </w:rPr>
              <w:t>成    绩</w:t>
            </w:r>
          </w:p>
        </w:tc>
        <w:tc>
          <w:tcPr>
            <w:tcW w:w="4111" w:type="dxa"/>
            <w:tcBorders>
              <w:top w:val="single" w:color="000000" w:themeColor="text1" w:sz="4" w:space="0"/>
              <w:bottom w:val="single" w:color="000000" w:themeColor="text1" w:sz="4" w:space="0"/>
            </w:tcBorders>
            <w:vAlign w:val="bottom"/>
          </w:tcPr>
          <w:p w14:paraId="73C606B1">
            <w:pPr>
              <w:jc w:val="center"/>
              <w:rPr>
                <w:rFonts w:eastAsia="仿宋_GB2312"/>
                <w:sz w:val="32"/>
                <w:szCs w:val="32"/>
              </w:rPr>
            </w:pPr>
          </w:p>
        </w:tc>
      </w:tr>
    </w:tbl>
    <w:p w14:paraId="6845D63F">
      <w:pPr>
        <w:spacing w:before="120" w:beforeLines="50" w:after="120" w:afterLines="50"/>
        <w:jc w:val="center"/>
        <w:rPr>
          <w:rFonts w:eastAsia="楷体_GB2312"/>
          <w:b/>
          <w:sz w:val="44"/>
          <w:szCs w:val="44"/>
        </w:rPr>
      </w:pPr>
    </w:p>
    <w:p w14:paraId="5A3928DE">
      <w:pPr>
        <w:jc w:val="center"/>
        <w:rPr>
          <w:rFonts w:eastAsia="楷体_GB2312"/>
          <w:b/>
          <w:sz w:val="32"/>
          <w:szCs w:val="32"/>
        </w:rPr>
      </w:pPr>
      <w:r>
        <w:rPr>
          <w:rFonts w:eastAsia="楷体_GB2312"/>
          <w:b/>
          <w:sz w:val="32"/>
          <w:szCs w:val="32"/>
        </w:rPr>
        <w:t>20</w:t>
      </w:r>
      <w:r>
        <w:rPr>
          <w:rFonts w:hint="eastAsia" w:eastAsia="楷体_GB2312"/>
          <w:b/>
          <w:sz w:val="32"/>
          <w:szCs w:val="32"/>
        </w:rPr>
        <w:t>25</w:t>
      </w:r>
      <w:r>
        <w:rPr>
          <w:rFonts w:eastAsia="楷体_GB2312"/>
          <w:b/>
          <w:sz w:val="32"/>
          <w:szCs w:val="32"/>
        </w:rPr>
        <w:t>年</w:t>
      </w:r>
      <w:r>
        <w:rPr>
          <w:rFonts w:hint="eastAsia" w:eastAsia="楷体_GB2312"/>
          <w:b/>
          <w:sz w:val="32"/>
          <w:szCs w:val="32"/>
          <w:lang w:val="en-US" w:eastAsia="zh-CN"/>
        </w:rPr>
        <w:t>5</w:t>
      </w:r>
      <w:r>
        <w:rPr>
          <w:rFonts w:eastAsia="楷体_GB2312"/>
          <w:b/>
          <w:sz w:val="32"/>
          <w:szCs w:val="32"/>
        </w:rPr>
        <w:t>月</w:t>
      </w:r>
      <w:r>
        <w:rPr>
          <w:rFonts w:hint="eastAsia" w:eastAsia="楷体_GB2312"/>
          <w:b/>
          <w:sz w:val="32"/>
          <w:szCs w:val="32"/>
          <w:lang w:val="en-US" w:eastAsia="zh-CN"/>
        </w:rPr>
        <w:t>1</w:t>
      </w:r>
      <w:r>
        <w:rPr>
          <w:rFonts w:eastAsia="楷体_GB2312"/>
          <w:b/>
          <w:sz w:val="32"/>
          <w:szCs w:val="32"/>
        </w:rPr>
        <w:t>日</w:t>
      </w:r>
    </w:p>
    <w:p w14:paraId="5DE1C1C3">
      <w:pPr>
        <w:widowControl/>
        <w:jc w:val="left"/>
      </w:pPr>
      <w:r>
        <w:br w:type="page"/>
      </w:r>
    </w:p>
    <w:p w14:paraId="56CC94C2">
      <w:pPr>
        <w:spacing w:before="120" w:beforeLines="50" w:after="120" w:afterLines="50" w:line="360" w:lineRule="auto"/>
        <w:jc w:val="center"/>
        <w:rPr>
          <w:rFonts w:hint="eastAsia" w:asciiTheme="majorEastAsia" w:hAnsiTheme="majorEastAsia" w:eastAsiaTheme="majorEastAsia"/>
          <w:b/>
          <w:sz w:val="32"/>
          <w:szCs w:val="32"/>
        </w:rPr>
      </w:pPr>
      <w:r>
        <w:rPr>
          <w:rFonts w:hint="eastAsia" w:asciiTheme="majorEastAsia" w:hAnsiTheme="majorEastAsia" w:eastAsiaTheme="majorEastAsia"/>
          <w:b/>
          <w:sz w:val="32"/>
          <w:szCs w:val="32"/>
        </w:rPr>
        <w:t>软件的经济效益与社会效益评价</w:t>
      </w:r>
    </w:p>
    <w:p w14:paraId="0173C959">
      <w:pPr>
        <w:spacing w:before="120" w:beforeLines="50" w:after="240" w:afterLines="100" w:line="360" w:lineRule="auto"/>
        <w:jc w:val="center"/>
        <w:rPr>
          <w:rFonts w:hint="eastAsia" w:asciiTheme="majorEastAsia" w:hAnsiTheme="majorEastAsia" w:eastAsiaTheme="majorEastAsia"/>
          <w:b/>
          <w:sz w:val="32"/>
          <w:szCs w:val="32"/>
        </w:rPr>
      </w:pPr>
      <w:r>
        <w:rPr>
          <w:rFonts w:hint="eastAsia" w:asciiTheme="majorEastAsia" w:hAnsiTheme="majorEastAsia" w:eastAsiaTheme="majorEastAsia"/>
          <w:b/>
          <w:sz w:val="32"/>
          <w:szCs w:val="32"/>
        </w:rPr>
        <w:t>——以</w:t>
      </w:r>
      <w:r>
        <w:rPr>
          <w:rFonts w:hint="eastAsia" w:asciiTheme="majorEastAsia" w:hAnsiTheme="majorEastAsia" w:eastAsiaTheme="majorEastAsia"/>
          <w:b/>
          <w:sz w:val="32"/>
          <w:szCs w:val="32"/>
          <w:lang w:val="en-US" w:eastAsia="zh-CN"/>
        </w:rPr>
        <w:t>IntelliJ IDEA</w:t>
      </w:r>
      <w:r>
        <w:rPr>
          <w:rFonts w:hint="eastAsia" w:asciiTheme="majorEastAsia" w:hAnsiTheme="majorEastAsia" w:eastAsiaTheme="majorEastAsia"/>
          <w:b/>
          <w:sz w:val="32"/>
          <w:szCs w:val="32"/>
        </w:rPr>
        <w:t>为例（宋体，三号字）</w:t>
      </w:r>
    </w:p>
    <w:p w14:paraId="51FFF9E7">
      <w:pPr>
        <w:spacing w:before="72" w:beforeLines="30" w:line="288" w:lineRule="auto"/>
        <w:jc w:val="center"/>
        <w:rPr>
          <w:rFonts w:eastAsia="仿宋_GB2312"/>
          <w:sz w:val="24"/>
        </w:rPr>
      </w:pPr>
      <w:r>
        <w:rPr>
          <w:rFonts w:hint="eastAsia" w:eastAsia="仿宋_GB2312"/>
          <w:sz w:val="24"/>
          <w:lang w:val="en-US" w:eastAsia="zh-CN"/>
        </w:rPr>
        <w:t>钟健</w:t>
      </w:r>
      <w:r>
        <w:rPr>
          <w:rFonts w:eastAsia="仿宋_GB2312"/>
          <w:sz w:val="24"/>
        </w:rPr>
        <w:t>（合肥学院</w:t>
      </w:r>
      <w:r>
        <w:rPr>
          <w:rFonts w:hint="eastAsia" w:eastAsia="仿宋_GB2312"/>
          <w:sz w:val="24"/>
          <w:lang w:val="en-US" w:eastAsia="zh-CN"/>
        </w:rPr>
        <w:t>人工智能与大数据学院</w:t>
      </w:r>
      <w:r>
        <w:rPr>
          <w:rFonts w:eastAsia="仿宋_GB2312"/>
          <w:sz w:val="24"/>
        </w:rPr>
        <w:t>，合肥：230602）</w:t>
      </w:r>
    </w:p>
    <w:p w14:paraId="6422F0F4">
      <w:pPr>
        <w:spacing w:before="72" w:beforeLines="30" w:line="288" w:lineRule="auto"/>
        <w:ind w:firstLine="482" w:firstLineChars="200"/>
        <w:rPr>
          <w:rFonts w:hint="eastAsia" w:hAnsi="宋体"/>
          <w:sz w:val="24"/>
        </w:rPr>
      </w:pPr>
      <w:r>
        <w:rPr>
          <w:rFonts w:hint="eastAsia" w:hAnsi="宋体"/>
          <w:b/>
          <w:sz w:val="24"/>
        </w:rPr>
        <w:t>摘要：</w:t>
      </w:r>
      <w:r>
        <w:rPr>
          <w:rFonts w:hint="eastAsia" w:hAnsi="宋体"/>
          <w:sz w:val="24"/>
        </w:rPr>
        <w:t>IntelliJ IDEA作为一款主流集成开发环境，其经济效益与社会效益在软件工程中均具有代表意义。本文从提升开发效率、降低企业成本、推动教育普及等方面出发，系统探讨了IntelliJ IDEA的综合价值。</w:t>
      </w:r>
    </w:p>
    <w:p w14:paraId="2B82A45F">
      <w:pPr>
        <w:spacing w:before="72" w:beforeLines="30" w:line="288" w:lineRule="auto"/>
        <w:ind w:firstLine="482" w:firstLineChars="200"/>
        <w:rPr>
          <w:rFonts w:hint="eastAsia" w:hAnsi="宋体"/>
          <w:sz w:val="24"/>
        </w:rPr>
      </w:pPr>
      <w:r>
        <w:rPr>
          <w:rFonts w:hint="eastAsia" w:hAnsi="宋体"/>
          <w:b/>
          <w:sz w:val="24"/>
        </w:rPr>
        <w:t>关键词：</w:t>
      </w:r>
      <w:r>
        <w:rPr>
          <w:rFonts w:hint="eastAsia" w:hAnsi="宋体"/>
          <w:sz w:val="24"/>
        </w:rPr>
        <w:t>IntelliJ IDEA；集成开发环境；经济效益；社会效益；工程经济学</w:t>
      </w:r>
    </w:p>
    <w:p w14:paraId="4DE8A149">
      <w:pPr>
        <w:spacing w:before="72" w:beforeLines="30" w:line="288" w:lineRule="auto"/>
        <w:ind w:firstLine="480" w:firstLineChars="200"/>
        <w:rPr>
          <w:rFonts w:hint="eastAsia" w:hAnsi="宋体"/>
          <w:sz w:val="24"/>
        </w:rPr>
      </w:pPr>
    </w:p>
    <w:p w14:paraId="292DB324">
      <w:pPr>
        <w:spacing w:before="72" w:beforeLines="30" w:line="288" w:lineRule="auto"/>
        <w:ind w:firstLine="480" w:firstLineChars="200"/>
        <w:rPr>
          <w:rFonts w:hint="eastAsia" w:hAnsi="宋体"/>
          <w:sz w:val="24"/>
        </w:rPr>
      </w:pPr>
      <w:r>
        <w:rPr>
          <w:rFonts w:hint="eastAsia" w:hAnsi="宋体"/>
          <w:sz w:val="24"/>
        </w:rPr>
        <w:t>一、引言</w:t>
      </w:r>
    </w:p>
    <w:p w14:paraId="31521C66">
      <w:pPr>
        <w:spacing w:before="72" w:beforeLines="30" w:line="288" w:lineRule="auto"/>
        <w:ind w:firstLine="480" w:firstLineChars="200"/>
        <w:rPr>
          <w:rFonts w:hint="eastAsia" w:hAnsi="宋体"/>
          <w:sz w:val="24"/>
        </w:rPr>
      </w:pPr>
      <w:r>
        <w:rPr>
          <w:rFonts w:hint="eastAsia" w:hAnsi="宋体"/>
          <w:sz w:val="24"/>
        </w:rPr>
        <w:t>在数字化转型加速推进的时代背景下，软件成为推动技术创新、产业升级和社会变革的重要力量。尤其是在信息技术领域，集成开发环境（IDE）已成为软件开发的核心工具，极大地提高了开发效率与代码质量。IntelliJ IDEA作为当前最受欢迎的Java IDE之一，由JetBrains公司开发，因其智能提示、调试支持、插件生态和跨平台兼容等特性广受开发者欢迎。随着开发者对开发效率、代码质量、协同工具依赖程度的不断加深，IDE在技术体系中的地位愈加凸显。本论文将从工程经济学的视角出发，评估IntelliJ IDEA在软件开发项目中的经济效益和社会效益，并探讨两者之间的动态平衡问题，为软件工具的科学推广和理性使用提供理论依据。</w:t>
      </w:r>
    </w:p>
    <w:p w14:paraId="34CDB907">
      <w:pPr>
        <w:spacing w:before="72" w:beforeLines="30" w:line="288" w:lineRule="auto"/>
        <w:ind w:firstLine="480" w:firstLineChars="200"/>
        <w:rPr>
          <w:rFonts w:hint="eastAsia" w:hAnsi="宋体"/>
          <w:sz w:val="24"/>
        </w:rPr>
      </w:pPr>
      <w:r>
        <w:rPr>
          <w:rFonts w:hint="eastAsia" w:hAnsi="宋体"/>
          <w:sz w:val="24"/>
        </w:rPr>
        <w:t>与此同时，当前人工智能、云计算、移动互联等技术飞速发展，对软件开发工具提出了更高的智能化、可扩展化、协同化要求。IntelliJ IDEA凭借其卓越的功能和不断演进的生态系统，已不仅是一款开发工具，更是软件产业链中的关键技术支撑平台。从推动数字经济高质量发展，到优化高校人才培养机制，再到助力企业降本增效，其作用已超越传统IDE的范畴，成为社会系统中不可忽视的一部分。因此，系统性评估其经济与社会影响，具有重要的理论与现实意义。</w:t>
      </w:r>
    </w:p>
    <w:p w14:paraId="3CB84F5A">
      <w:pPr>
        <w:spacing w:before="72" w:beforeLines="30" w:line="288" w:lineRule="auto"/>
        <w:ind w:firstLine="480" w:firstLineChars="200"/>
        <w:rPr>
          <w:rFonts w:hint="eastAsia" w:hAnsi="宋体"/>
          <w:sz w:val="24"/>
        </w:rPr>
      </w:pPr>
      <w:r>
        <w:rPr>
          <w:rFonts w:hint="eastAsia" w:hAnsi="宋体"/>
          <w:sz w:val="24"/>
        </w:rPr>
        <w:t>二、IntelliJ IDEA简介</w:t>
      </w:r>
    </w:p>
    <w:p w14:paraId="21817119">
      <w:pPr>
        <w:spacing w:before="72" w:beforeLines="30" w:line="288" w:lineRule="auto"/>
        <w:ind w:firstLine="480" w:firstLineChars="200"/>
        <w:rPr>
          <w:rFonts w:hint="eastAsia" w:hAnsi="宋体"/>
          <w:sz w:val="24"/>
        </w:rPr>
      </w:pPr>
      <w:r>
        <w:rPr>
          <w:rFonts w:hint="eastAsia" w:hAnsi="宋体"/>
          <w:sz w:val="24"/>
        </w:rPr>
        <w:t>IntelliJ IDEA是一款集代码编写、测试、调试、部署于一体的集成开发环境，其智能编码辅助功能、丰富的插件支持、强大的重构功能以及与主流版本控制系统的无缝集成，使其成为Java开发者首选工具。JetBrains于2001年发布了第一版IntelliJ IDEA，目前分为社区版（免费）与旗舰版（付费），涵盖功能从基础编辑器到复杂企业服务均有覆盖。</w:t>
      </w:r>
    </w:p>
    <w:p w14:paraId="53D187DB">
      <w:pPr>
        <w:spacing w:before="72" w:beforeLines="30" w:line="288" w:lineRule="auto"/>
        <w:ind w:firstLine="480" w:firstLineChars="200"/>
        <w:rPr>
          <w:rFonts w:hAnsi="宋体"/>
          <w:sz w:val="24"/>
        </w:rPr>
      </w:pPr>
      <w:r>
        <w:rPr>
          <w:rFonts w:hint="eastAsia" w:hAnsi="宋体"/>
          <w:sz w:val="24"/>
        </w:rPr>
        <w:t>IntelliJ IDEA支持多种编程语言，如Java、Kotlin、Scala、Groovy等，广泛应用于Web开发、移动应用开发、企业级应用开发、教学科研及开源项目建设中。其高度集成的工作流设计和个性化插件机制，也使得用户可根据不同开发任务进行环境定制，在提升开发效率的同时也促进了知识传承和团队协作模式的演进。</w:t>
      </w:r>
    </w:p>
    <w:p w14:paraId="598A9DA1">
      <w:pPr>
        <w:spacing w:before="72" w:beforeLines="30" w:line="288" w:lineRule="auto"/>
        <w:ind w:firstLine="480" w:firstLineChars="200"/>
        <w:rPr>
          <w:rFonts w:hint="eastAsia" w:hAnsi="宋体"/>
          <w:sz w:val="24"/>
        </w:rPr>
      </w:pPr>
      <w:r>
        <w:rPr>
          <w:rFonts w:hint="eastAsia" w:hAnsi="宋体"/>
          <w:sz w:val="24"/>
        </w:rPr>
        <w:t>三、IntelliJ IDEA的经济效益分析</w:t>
      </w:r>
    </w:p>
    <w:p w14:paraId="7526F12B">
      <w:pPr>
        <w:spacing w:before="72" w:beforeLines="30" w:line="288" w:lineRule="auto"/>
        <w:ind w:firstLine="420" w:firstLineChars="0"/>
        <w:rPr>
          <w:rFonts w:hint="eastAsia" w:hAnsi="宋体"/>
          <w:sz w:val="24"/>
        </w:rPr>
      </w:pPr>
      <w:r>
        <w:rPr>
          <w:rFonts w:hint="eastAsia" w:hAnsi="宋体"/>
          <w:sz w:val="24"/>
          <w:lang w:val="en-US" w:eastAsia="zh-CN"/>
        </w:rPr>
        <w:t xml:space="preserve">1. </w:t>
      </w:r>
      <w:r>
        <w:rPr>
          <w:rFonts w:hint="eastAsia" w:hAnsi="宋体"/>
          <w:sz w:val="24"/>
        </w:rPr>
        <w:t>提高开发效率，降低人力成本</w:t>
      </w:r>
    </w:p>
    <w:p w14:paraId="4144D548">
      <w:pPr>
        <w:spacing w:before="72" w:beforeLines="30" w:line="288" w:lineRule="auto"/>
        <w:ind w:firstLine="480" w:firstLineChars="200"/>
        <w:rPr>
          <w:rFonts w:hint="eastAsia" w:hAnsi="宋体"/>
          <w:sz w:val="24"/>
        </w:rPr>
      </w:pPr>
      <w:r>
        <w:rPr>
          <w:rFonts w:hint="eastAsia" w:hAnsi="宋体"/>
          <w:sz w:val="24"/>
        </w:rPr>
        <w:t>IntelliJ IDEA通过代码补全、智能提示、错误检测和一键重构等功能，显著减少了开发人员的编码与调试时间。根据JetBrains官方调研数据，使用IntelliJ IDEA的开发者人均效率提升20%~40%。假设一家中型互联网企业有50名Java开发人员，按每人月薪2万元计算，提升30%的效率相当于节省300万元/年的人力成本。这种显著的经济效益不仅能直接反映在企业财报中，还能通过项目周期缩短带来更多市场机会，形成竞争优势。</w:t>
      </w:r>
    </w:p>
    <w:p w14:paraId="663513C6">
      <w:pPr>
        <w:numPr>
          <w:ilvl w:val="0"/>
          <w:numId w:val="1"/>
        </w:numPr>
        <w:spacing w:before="72" w:beforeLines="30" w:line="288" w:lineRule="auto"/>
        <w:ind w:firstLine="480" w:firstLineChars="200"/>
        <w:rPr>
          <w:rFonts w:hint="eastAsia" w:hAnsi="宋体"/>
          <w:sz w:val="24"/>
        </w:rPr>
      </w:pPr>
      <w:r>
        <w:rPr>
          <w:rFonts w:hint="eastAsia" w:hAnsi="宋体"/>
          <w:sz w:val="24"/>
        </w:rPr>
        <w:t>缩短产品开发周期，加快产品上市时间</w:t>
      </w:r>
    </w:p>
    <w:p w14:paraId="0E785104">
      <w:pPr>
        <w:spacing w:before="72" w:beforeLines="30" w:line="288" w:lineRule="auto"/>
        <w:ind w:firstLine="480" w:firstLineChars="200"/>
        <w:rPr>
          <w:rFonts w:hint="eastAsia" w:hAnsi="宋体"/>
          <w:sz w:val="24"/>
        </w:rPr>
      </w:pPr>
      <w:r>
        <w:rPr>
          <w:rFonts w:hint="eastAsia" w:hAnsi="宋体"/>
          <w:sz w:val="24"/>
        </w:rPr>
        <w:t>敏捷开发模式下，开发工具对迭代速度至关重要。IntelliJ IDEA强大的单元测试支持、持续集成兼容性和版本管理整合，助力团队快速构建、测试与部署项目，从而缩短交付周期，提升产品竞争力。更快的发布节奏意味着更高的用户活跃度和反馈频率，帮助产品团队及时调整功能设计，提升用户满意度，增强产品生命力。</w:t>
      </w:r>
    </w:p>
    <w:p w14:paraId="335C5364">
      <w:pPr>
        <w:numPr>
          <w:ilvl w:val="0"/>
          <w:numId w:val="1"/>
        </w:numPr>
        <w:spacing w:before="72" w:beforeLines="30" w:line="288" w:lineRule="auto"/>
        <w:ind w:left="0" w:leftChars="0" w:firstLine="480" w:firstLineChars="200"/>
        <w:rPr>
          <w:rFonts w:hint="eastAsia" w:hAnsi="宋体"/>
          <w:sz w:val="24"/>
        </w:rPr>
      </w:pPr>
      <w:r>
        <w:rPr>
          <w:rFonts w:hint="eastAsia" w:hAnsi="宋体"/>
          <w:sz w:val="24"/>
        </w:rPr>
        <w:t>降低运维与维护成本</w:t>
      </w:r>
    </w:p>
    <w:p w14:paraId="4CA81C89">
      <w:pPr>
        <w:spacing w:before="72" w:beforeLines="30" w:line="288" w:lineRule="auto"/>
        <w:ind w:firstLine="480" w:firstLineChars="200"/>
        <w:rPr>
          <w:rFonts w:hint="eastAsia" w:hAnsi="宋体"/>
          <w:sz w:val="24"/>
        </w:rPr>
      </w:pPr>
      <w:r>
        <w:rPr>
          <w:rFonts w:hint="eastAsia" w:hAnsi="宋体"/>
          <w:sz w:val="24"/>
        </w:rPr>
        <w:t>由于IntelliJ IDEA在代码规范、错误提示、版本控制等方面的辅助作用，能够有效减少Bug数量和系统故障率，从而降低系统运维成本和后期技术债。某金融软件公司数据显示，引入IntelliJ IDEA后，其系统维护成本下降了15%。此外，其对代码质量的持续反馈机制也帮助开发者提前发现潜在风险，提升整个项目生命周期内的稳定性和安全性。</w:t>
      </w:r>
    </w:p>
    <w:p w14:paraId="249D0C4B">
      <w:pPr>
        <w:numPr>
          <w:ilvl w:val="0"/>
          <w:numId w:val="1"/>
        </w:numPr>
        <w:spacing w:before="72" w:beforeLines="30" w:line="288" w:lineRule="auto"/>
        <w:ind w:left="0" w:leftChars="0" w:firstLine="480" w:firstLineChars="200"/>
        <w:rPr>
          <w:rFonts w:hint="eastAsia" w:hAnsi="宋体"/>
          <w:sz w:val="24"/>
        </w:rPr>
      </w:pPr>
      <w:r>
        <w:rPr>
          <w:rFonts w:hint="eastAsia" w:hAnsi="宋体"/>
          <w:sz w:val="24"/>
        </w:rPr>
        <w:t>支持企业技术生态构建与知识积累</w:t>
      </w:r>
    </w:p>
    <w:p w14:paraId="598E4605">
      <w:pPr>
        <w:spacing w:before="72" w:beforeLines="30" w:line="288" w:lineRule="auto"/>
        <w:ind w:firstLine="480" w:firstLineChars="200"/>
        <w:rPr>
          <w:rFonts w:hint="eastAsia" w:hAnsi="宋体"/>
          <w:sz w:val="24"/>
        </w:rPr>
      </w:pPr>
      <w:r>
        <w:rPr>
          <w:rFonts w:hint="eastAsia" w:hAnsi="宋体"/>
          <w:sz w:val="24"/>
        </w:rPr>
        <w:t>IntelliJ IDEA鼓励插件式开发，企业可以在此基础上构建内部工具链，积累标准化的开发经验并提高团队协作效率。大量企业在基于IDEA的基础上二次开发，例如美团、字节跳动等公司，通过结合自身业务场景定制工具实现资源再利用，进而实现效率最大化、知识沉淀和平台能力强化的目标，助力形成内生式技术竞争力。</w:t>
      </w:r>
    </w:p>
    <w:p w14:paraId="11319727">
      <w:pPr>
        <w:numPr>
          <w:ilvl w:val="0"/>
          <w:numId w:val="1"/>
        </w:numPr>
        <w:spacing w:before="72" w:beforeLines="30" w:line="288" w:lineRule="auto"/>
        <w:ind w:left="0" w:leftChars="0" w:firstLine="480" w:firstLineChars="200"/>
        <w:rPr>
          <w:rFonts w:hint="eastAsia" w:hAnsi="宋体"/>
          <w:sz w:val="24"/>
        </w:rPr>
      </w:pPr>
      <w:r>
        <w:rPr>
          <w:rFonts w:hint="eastAsia" w:hAnsi="宋体"/>
          <w:sz w:val="24"/>
        </w:rPr>
        <w:t>降低软件培训与转岗成本</w:t>
      </w:r>
    </w:p>
    <w:p w14:paraId="1203DFC9">
      <w:pPr>
        <w:spacing w:before="72" w:beforeLines="30" w:line="288" w:lineRule="auto"/>
        <w:ind w:firstLine="480" w:firstLineChars="200"/>
        <w:rPr>
          <w:rFonts w:hint="eastAsia" w:hAnsi="宋体"/>
          <w:sz w:val="24"/>
        </w:rPr>
      </w:pPr>
      <w:r>
        <w:rPr>
          <w:rFonts w:hint="eastAsia" w:hAnsi="宋体"/>
          <w:sz w:val="24"/>
        </w:rPr>
        <w:t>由于IntelliJ IDEA在多个平台保持一致的操作体验，其学习曲线较为平缓，企业在员工培训或人员转岗时所需投入相对较少。对于大型企业，统一开发工具还可降低协作成本，提高代码质量一致性与可维护性。同时，一致的开发环境也能降低因开发习惯不同引起的代码分歧，为多项目协同、全球化开发提供良好支持。</w:t>
      </w:r>
    </w:p>
    <w:p w14:paraId="762033A2">
      <w:pPr>
        <w:numPr>
          <w:ilvl w:val="0"/>
          <w:numId w:val="1"/>
        </w:numPr>
        <w:spacing w:before="72" w:beforeLines="30" w:line="288" w:lineRule="auto"/>
        <w:ind w:left="0" w:leftChars="0" w:firstLine="480" w:firstLineChars="200"/>
        <w:rPr>
          <w:rFonts w:hint="eastAsia" w:hAnsi="宋体"/>
          <w:sz w:val="24"/>
        </w:rPr>
      </w:pPr>
      <w:r>
        <w:rPr>
          <w:rFonts w:hint="eastAsia" w:hAnsi="宋体"/>
          <w:sz w:val="24"/>
        </w:rPr>
        <w:t>增强团队协同与敏捷开发能力</w:t>
      </w:r>
    </w:p>
    <w:p w14:paraId="7F3745F6">
      <w:pPr>
        <w:spacing w:before="72" w:beforeLines="30" w:line="288" w:lineRule="auto"/>
        <w:ind w:firstLine="480" w:firstLineChars="200"/>
        <w:rPr>
          <w:rFonts w:hint="eastAsia" w:hAnsi="宋体"/>
          <w:sz w:val="24"/>
        </w:rPr>
      </w:pPr>
      <w:r>
        <w:rPr>
          <w:rFonts w:hint="eastAsia" w:hAnsi="宋体"/>
          <w:sz w:val="24"/>
        </w:rPr>
        <w:t>在当今强调快速交付和敏捷协作的软件开发模式下，IntelliJ IDEA通过其对项目结构的智能识别、多人协作插件支持（如Code With Me）、与各类远程版本控制平台如GitHub、GitLab的无缝集成，为团队开发提供了良好的技术基础。它不仅提高了团队成员之间的代码共享和同步效率，还在分布式开发中大大缓解了沟通成本问题。实践表明，良好的协作环境可将开发冲突率降低20%以上，有助于项目整体稳定推进。</w:t>
      </w:r>
    </w:p>
    <w:p w14:paraId="3BA2FB2F">
      <w:pPr>
        <w:spacing w:before="72" w:beforeLines="30" w:line="288" w:lineRule="auto"/>
        <w:ind w:firstLine="480" w:firstLineChars="200"/>
        <w:rPr>
          <w:rFonts w:hint="eastAsia" w:hAnsi="宋体"/>
          <w:sz w:val="24"/>
        </w:rPr>
      </w:pPr>
      <w:r>
        <w:rPr>
          <w:rFonts w:hint="eastAsia" w:hAnsi="宋体"/>
          <w:sz w:val="24"/>
        </w:rPr>
        <w:t>四、IntelliJ IDEA的社会效益分析</w:t>
      </w:r>
    </w:p>
    <w:p w14:paraId="2F0AB404">
      <w:pPr>
        <w:spacing w:before="72" w:beforeLines="30" w:line="288" w:lineRule="auto"/>
        <w:ind w:firstLine="480" w:firstLineChars="200"/>
        <w:rPr>
          <w:rFonts w:hint="eastAsia" w:hAnsi="宋体"/>
          <w:sz w:val="24"/>
        </w:rPr>
      </w:pPr>
      <w:r>
        <w:rPr>
          <w:rFonts w:hint="eastAsia" w:hAnsi="宋体"/>
          <w:sz w:val="24"/>
          <w:lang w:val="en-US" w:eastAsia="zh-CN"/>
        </w:rPr>
        <w:t xml:space="preserve">1. </w:t>
      </w:r>
      <w:r>
        <w:rPr>
          <w:rFonts w:hint="eastAsia" w:hAnsi="宋体"/>
          <w:sz w:val="24"/>
        </w:rPr>
        <w:t>推动教育信息化与高质量人才培养</w:t>
      </w:r>
    </w:p>
    <w:p w14:paraId="40ECD89E">
      <w:pPr>
        <w:spacing w:before="72" w:beforeLines="30" w:line="288" w:lineRule="auto"/>
        <w:ind w:firstLine="480" w:firstLineChars="200"/>
        <w:rPr>
          <w:rFonts w:hint="eastAsia" w:hAnsi="宋体"/>
          <w:sz w:val="24"/>
        </w:rPr>
      </w:pPr>
      <w:r>
        <w:rPr>
          <w:rFonts w:hint="eastAsia" w:hAnsi="宋体"/>
          <w:sz w:val="24"/>
        </w:rPr>
        <w:t>在高校软件工程、计算机科学等专业的教学实践中，IntelliJ IDEA被广泛采用为Java教学的默认开发环境。它不仅提高了学生的编程体验，也培养了行业标准意识与现代开发理念。教育部2019年启动的“金课计划”中明确提出推动高校课程实践平台建设，其中IDEA等工具被列为推荐软件。此外，配套教学资源（如Java课程插件、在线评测平台）也大幅降低了教学准备难度，提高了课堂教学效率。</w:t>
      </w:r>
    </w:p>
    <w:p w14:paraId="7D4E9402">
      <w:pPr>
        <w:numPr>
          <w:ilvl w:val="0"/>
          <w:numId w:val="2"/>
        </w:numPr>
        <w:spacing w:before="72" w:beforeLines="30" w:line="288" w:lineRule="auto"/>
        <w:ind w:firstLine="480" w:firstLineChars="200"/>
        <w:rPr>
          <w:rFonts w:hint="eastAsia" w:hAnsi="宋体"/>
          <w:sz w:val="24"/>
        </w:rPr>
      </w:pPr>
      <w:r>
        <w:rPr>
          <w:rFonts w:hint="eastAsia" w:hAnsi="宋体"/>
          <w:sz w:val="24"/>
        </w:rPr>
        <w:t>促进开源文化发展与创新生态建设</w:t>
      </w:r>
    </w:p>
    <w:p w14:paraId="1A69F73A">
      <w:pPr>
        <w:spacing w:before="72" w:beforeLines="30" w:line="288" w:lineRule="auto"/>
        <w:ind w:firstLine="480" w:firstLineChars="200"/>
        <w:rPr>
          <w:rFonts w:hint="eastAsia" w:hAnsi="宋体"/>
          <w:sz w:val="24"/>
        </w:rPr>
      </w:pPr>
      <w:r>
        <w:rPr>
          <w:rFonts w:hint="eastAsia" w:hAnsi="宋体"/>
          <w:sz w:val="24"/>
        </w:rPr>
        <w:t>IntelliJ IDEA社区版完全开源，支持广泛的开源项目开发，为GitHub、Gitee上的众多开源项目提供了开发基础工具。作为开源精神的支持者，JetBrains还为学生、教育工作者、非营利组织等提供免费授权，从而降低了技术门槛，激发了社会各界的创造活力。同时，它为新兴开发语言（如Kotlin）的生态搭建提供强大支持，进一步推动了全球技术交流与生态演化。</w:t>
      </w:r>
    </w:p>
    <w:p w14:paraId="05F833EC">
      <w:pPr>
        <w:numPr>
          <w:ilvl w:val="0"/>
          <w:numId w:val="2"/>
        </w:numPr>
        <w:spacing w:before="72" w:beforeLines="30" w:line="288" w:lineRule="auto"/>
        <w:ind w:left="0" w:leftChars="0" w:firstLine="480" w:firstLineChars="200"/>
        <w:rPr>
          <w:rFonts w:hint="eastAsia" w:hAnsi="宋体"/>
          <w:sz w:val="24"/>
        </w:rPr>
      </w:pPr>
      <w:r>
        <w:rPr>
          <w:rFonts w:hint="eastAsia" w:hAnsi="宋体"/>
          <w:sz w:val="24"/>
        </w:rPr>
        <w:t>支持中小企业与个人开发者创业</w:t>
      </w:r>
    </w:p>
    <w:p w14:paraId="4C919982">
      <w:pPr>
        <w:spacing w:before="72" w:beforeLines="30" w:line="288" w:lineRule="auto"/>
        <w:ind w:firstLine="480" w:firstLineChars="200"/>
        <w:rPr>
          <w:rFonts w:hint="eastAsia" w:hAnsi="宋体"/>
          <w:sz w:val="24"/>
        </w:rPr>
      </w:pPr>
      <w:r>
        <w:rPr>
          <w:rFonts w:hint="eastAsia" w:hAnsi="宋体"/>
          <w:sz w:val="24"/>
        </w:rPr>
        <w:t>IntelliJ IDEA的社区版为中小团队与个人开发者提供了几乎完整的开发功能，使其能够低成本构建产品原型、启动项目并进入市场。大量国产软件创业公司如ApiPost、Furion、Lantern均使用IntelliJ IDEA进行原型开发与迭代。借助其高效的调试、测试与重构机制，小团队可在有限资源下完成高质量产品交付，提高市场试错能力与生存率。</w:t>
      </w:r>
    </w:p>
    <w:p w14:paraId="1CE7028F">
      <w:pPr>
        <w:numPr>
          <w:ilvl w:val="0"/>
          <w:numId w:val="2"/>
        </w:numPr>
        <w:spacing w:before="72" w:beforeLines="30" w:line="288" w:lineRule="auto"/>
        <w:ind w:left="0" w:leftChars="0" w:firstLine="480" w:firstLineChars="200"/>
        <w:rPr>
          <w:rFonts w:hint="eastAsia" w:hAnsi="宋体"/>
          <w:sz w:val="24"/>
        </w:rPr>
      </w:pPr>
      <w:r>
        <w:rPr>
          <w:rFonts w:hint="eastAsia" w:hAnsi="宋体"/>
          <w:sz w:val="24"/>
        </w:rPr>
        <w:t>数据安全与隐私问题的引发与治理挑战</w:t>
      </w:r>
    </w:p>
    <w:p w14:paraId="730051FF">
      <w:pPr>
        <w:spacing w:before="72" w:beforeLines="30" w:line="288" w:lineRule="auto"/>
        <w:ind w:firstLine="480" w:firstLineChars="200"/>
        <w:rPr>
          <w:rFonts w:hint="eastAsia" w:hAnsi="宋体"/>
          <w:sz w:val="24"/>
        </w:rPr>
      </w:pPr>
      <w:r>
        <w:rPr>
          <w:rFonts w:hint="eastAsia" w:hAnsi="宋体"/>
          <w:sz w:val="24"/>
        </w:rPr>
        <w:t>虽然IDEA本身并不具备收集用户数据的权限，但其插件系统可能引发安全隐患。部分第三方插件存在信息读取权限过多的问题，曾有用户在论坛中报告敏感数据被插件上传的问题。此外，软件安装包被篡改、破解版本植入木马的风险也给使用者带来了潜在危害。这些问题暴露出软件工具在自由生态下的数据治理与监管难题，要求平台方、企业用户和政策制定者协同应对。</w:t>
      </w:r>
    </w:p>
    <w:p w14:paraId="5CB16267">
      <w:pPr>
        <w:numPr>
          <w:ilvl w:val="0"/>
          <w:numId w:val="2"/>
        </w:numPr>
        <w:spacing w:before="72" w:beforeLines="30" w:line="288" w:lineRule="auto"/>
        <w:ind w:left="0" w:leftChars="0" w:firstLine="480" w:firstLineChars="200"/>
        <w:rPr>
          <w:rFonts w:hint="eastAsia" w:hAnsi="宋体"/>
          <w:sz w:val="24"/>
        </w:rPr>
      </w:pPr>
      <w:r>
        <w:rPr>
          <w:rFonts w:hint="eastAsia" w:hAnsi="宋体"/>
          <w:sz w:val="24"/>
        </w:rPr>
        <w:t>软件工具滥用与“效率至上”导向的问题</w:t>
      </w:r>
    </w:p>
    <w:p w14:paraId="5D8BAA9C">
      <w:pPr>
        <w:spacing w:before="72" w:beforeLines="30" w:line="288" w:lineRule="auto"/>
        <w:ind w:firstLine="480" w:firstLineChars="200"/>
        <w:rPr>
          <w:rFonts w:hint="eastAsia" w:hAnsi="宋体"/>
          <w:sz w:val="24"/>
        </w:rPr>
      </w:pPr>
      <w:r>
        <w:rPr>
          <w:rFonts w:hint="eastAsia" w:hAnsi="宋体"/>
          <w:sz w:val="24"/>
        </w:rPr>
        <w:t>IntelliJ IDEA的高效功能有时也引发过度依赖现象，部分初学者在不了解底层逻辑的情况下过度依赖代码生成、补全与模板工具，削弱了基础编程能力。这对教育者提出了更高的教学责任，即在提高教学效率的同时注重学生编程思维的训练。另一方面，部分企业也可能因效率工具使用不当而弱化系统架构设计，形成长期技术负担，需通过开发规范与流程管理予以约束。</w:t>
      </w:r>
    </w:p>
    <w:p w14:paraId="51E5325C">
      <w:pPr>
        <w:numPr>
          <w:ilvl w:val="0"/>
          <w:numId w:val="2"/>
        </w:numPr>
        <w:spacing w:before="72" w:beforeLines="30" w:line="288" w:lineRule="auto"/>
        <w:ind w:left="0" w:leftChars="0" w:firstLine="480" w:firstLineChars="200"/>
        <w:rPr>
          <w:rFonts w:hint="eastAsia" w:hAnsi="宋体"/>
          <w:sz w:val="24"/>
        </w:rPr>
      </w:pPr>
      <w:r>
        <w:rPr>
          <w:rFonts w:hint="eastAsia" w:hAnsi="宋体"/>
          <w:sz w:val="24"/>
        </w:rPr>
        <w:t>助力国家数字化转型战略实施</w:t>
      </w:r>
    </w:p>
    <w:p w14:paraId="242D32D2">
      <w:pPr>
        <w:spacing w:before="72" w:beforeLines="30" w:line="288" w:lineRule="auto"/>
        <w:ind w:firstLine="480" w:firstLineChars="200"/>
        <w:rPr>
          <w:rFonts w:hint="eastAsia" w:hAnsi="宋体"/>
          <w:sz w:val="24"/>
        </w:rPr>
      </w:pPr>
      <w:r>
        <w:rPr>
          <w:rFonts w:hint="eastAsia" w:hAnsi="宋体"/>
          <w:sz w:val="24"/>
        </w:rPr>
        <w:t>IntelliJ IDEA作为关键技术工具，间接推动了我国数字经济、智慧城市、政务信息化等战略落地。通过提升软件开发质量与效率，它加快了产业数字化与智能化进程，为中国“数字中国”战略目标提供了基础支撑。其支持的多语言、多平台开发能力，也进一步提升了国内软硬件协同生态的自主可控水平，对提升国家科技竞争力具有长远意义。</w:t>
      </w:r>
    </w:p>
    <w:p w14:paraId="03077DD9">
      <w:pPr>
        <w:spacing w:before="72" w:beforeLines="30" w:line="288" w:lineRule="auto"/>
        <w:ind w:firstLine="480" w:firstLineChars="200"/>
        <w:rPr>
          <w:rFonts w:hint="eastAsia" w:hAnsi="宋体"/>
          <w:sz w:val="24"/>
        </w:rPr>
      </w:pPr>
      <w:r>
        <w:rPr>
          <w:rFonts w:hint="eastAsia" w:hAnsi="宋体"/>
          <w:sz w:val="24"/>
        </w:rPr>
        <w:t>五、经济效益与社会效益的动态平衡探讨</w:t>
      </w:r>
    </w:p>
    <w:p w14:paraId="68A51DDA">
      <w:pPr>
        <w:spacing w:before="72" w:beforeLines="30" w:line="288" w:lineRule="auto"/>
        <w:ind w:firstLine="480" w:firstLineChars="200"/>
        <w:rPr>
          <w:rFonts w:hint="eastAsia" w:hAnsi="宋体"/>
          <w:sz w:val="24"/>
        </w:rPr>
      </w:pPr>
      <w:r>
        <w:rPr>
          <w:rFonts w:hint="eastAsia" w:hAnsi="宋体"/>
          <w:sz w:val="24"/>
        </w:rPr>
        <w:t>在现实应用中，软件开发工具的经济效益与社会效益之间存在着多维度的动态博弈。例如，推动企业降本增效是IDEA的主要经济目标，但社会层面仍需思考其技术普及是否伴随着教育公平、隐私保护、开源伦理等价值目标的兼顾。尤其是在教育场景中，高效开发工具的过度依赖可能会导致基础能力训练的缺失；在企业层面，效率优先可能会遮蔽系统设计的完整性与安全性。</w:t>
      </w:r>
    </w:p>
    <w:p w14:paraId="70F0FE17">
      <w:pPr>
        <w:spacing w:before="72" w:beforeLines="30" w:line="288" w:lineRule="auto"/>
        <w:ind w:firstLine="480" w:firstLineChars="200"/>
        <w:rPr>
          <w:rFonts w:hint="eastAsia" w:hAnsi="宋体"/>
          <w:sz w:val="24"/>
        </w:rPr>
      </w:pPr>
      <w:r>
        <w:rPr>
          <w:rFonts w:hint="eastAsia" w:hAnsi="宋体"/>
          <w:sz w:val="24"/>
        </w:rPr>
        <w:t>此外，不同类型组织（如中小企业、大型平台、非营利机构）在使用IDEA时的优先考虑因素也存在差异。对中小企业而言，免费与低门槛更重要；而对大型企业而言，团队协作与安全合规成为关键。这些多样化诉求促使我们必须以更加综合的方法论来思考软件工具的使用平衡。</w:t>
      </w:r>
    </w:p>
    <w:p w14:paraId="0FF7FE28">
      <w:pPr>
        <w:spacing w:before="72" w:beforeLines="30" w:line="288" w:lineRule="auto"/>
        <w:ind w:firstLine="480" w:firstLineChars="200"/>
        <w:rPr>
          <w:rFonts w:hint="eastAsia" w:hAnsi="宋体"/>
          <w:sz w:val="24"/>
        </w:rPr>
      </w:pPr>
      <w:r>
        <w:rPr>
          <w:rFonts w:hint="eastAsia" w:hAnsi="宋体"/>
          <w:sz w:val="24"/>
        </w:rPr>
        <w:t>为实现两者平衡，可从以下角度着手：</w:t>
      </w:r>
    </w:p>
    <w:p w14:paraId="371F8AE5">
      <w:pPr>
        <w:spacing w:before="72" w:beforeLines="30" w:line="288" w:lineRule="auto"/>
        <w:ind w:firstLine="480" w:firstLineChars="200"/>
        <w:rPr>
          <w:rFonts w:hint="eastAsia" w:hAnsi="宋体"/>
          <w:sz w:val="24"/>
        </w:rPr>
      </w:pPr>
      <w:r>
        <w:rPr>
          <w:rFonts w:hint="eastAsia" w:hAnsi="宋体"/>
          <w:sz w:val="24"/>
        </w:rPr>
        <w:t>（1）加强对第三方插件的安全审查机制，防止数据泄露，提升技术监管能力；</w:t>
      </w:r>
    </w:p>
    <w:p w14:paraId="553B6EA0">
      <w:pPr>
        <w:spacing w:before="72" w:beforeLines="30" w:line="288" w:lineRule="auto"/>
        <w:ind w:firstLine="480" w:firstLineChars="200"/>
        <w:rPr>
          <w:rFonts w:hint="eastAsia" w:hAnsi="宋体"/>
          <w:sz w:val="24"/>
        </w:rPr>
      </w:pPr>
      <w:r>
        <w:rPr>
          <w:rFonts w:hint="eastAsia" w:hAnsi="宋体"/>
          <w:sz w:val="24"/>
        </w:rPr>
        <w:t>（2）推动高校教学中适度限制IDE功能，引导学生掌握底层原理，培育工程思维；</w:t>
      </w:r>
    </w:p>
    <w:p w14:paraId="270A3C3D">
      <w:pPr>
        <w:spacing w:before="72" w:beforeLines="30" w:line="288" w:lineRule="auto"/>
        <w:ind w:firstLine="480" w:firstLineChars="200"/>
        <w:rPr>
          <w:rFonts w:hint="eastAsia" w:hAnsi="宋体"/>
          <w:sz w:val="24"/>
        </w:rPr>
      </w:pPr>
      <w:r>
        <w:rPr>
          <w:rFonts w:hint="eastAsia" w:hAnsi="宋体"/>
          <w:sz w:val="24"/>
        </w:rPr>
        <w:t>（3）加强对破解工具的打击力度，保护正版软件生态与研发投入；</w:t>
      </w:r>
    </w:p>
    <w:p w14:paraId="0672CE9C">
      <w:pPr>
        <w:spacing w:before="72" w:beforeLines="30" w:line="288" w:lineRule="auto"/>
        <w:ind w:firstLine="480" w:firstLineChars="200"/>
        <w:rPr>
          <w:rFonts w:hint="eastAsia" w:hAnsi="宋体"/>
          <w:sz w:val="24"/>
        </w:rPr>
      </w:pPr>
      <w:r>
        <w:rPr>
          <w:rFonts w:hint="eastAsia" w:hAnsi="宋体"/>
          <w:sz w:val="24"/>
        </w:rPr>
        <w:t>（4）鼓励企业通过插件开发共享，参与开源回馈与知识共享，构建合作共赢生态；</w:t>
      </w:r>
    </w:p>
    <w:p w14:paraId="670CFAF8">
      <w:pPr>
        <w:spacing w:before="72" w:beforeLines="30" w:line="288" w:lineRule="auto"/>
        <w:ind w:firstLine="480" w:firstLineChars="200"/>
        <w:rPr>
          <w:rFonts w:hint="eastAsia" w:hAnsi="宋体"/>
          <w:sz w:val="24"/>
        </w:rPr>
      </w:pPr>
      <w:r>
        <w:rPr>
          <w:rFonts w:hint="eastAsia" w:hAnsi="宋体"/>
          <w:sz w:val="24"/>
        </w:rPr>
        <w:t>（5）政策层面制定工具监管标准，强化对开发工具的伦理审查与责任监督，推动建立行业规范与制度保障；</w:t>
      </w:r>
    </w:p>
    <w:p w14:paraId="5FC146B2">
      <w:pPr>
        <w:spacing w:before="72" w:beforeLines="30" w:line="288" w:lineRule="auto"/>
        <w:ind w:firstLine="480" w:firstLineChars="200"/>
        <w:rPr>
          <w:rFonts w:hint="eastAsia" w:hAnsi="宋体"/>
          <w:sz w:val="24"/>
        </w:rPr>
      </w:pPr>
      <w:r>
        <w:rPr>
          <w:rFonts w:hint="eastAsia" w:hAnsi="宋体"/>
          <w:sz w:val="24"/>
        </w:rPr>
        <w:t>（6）构建软件工具使用伦理指南，规范高校教学与企业实践行为，避免过度依赖问题蔓延。</w:t>
      </w:r>
    </w:p>
    <w:p w14:paraId="1F47D33D">
      <w:pPr>
        <w:spacing w:before="72" w:beforeLines="30" w:line="288" w:lineRule="auto"/>
        <w:ind w:firstLine="480" w:firstLineChars="200"/>
        <w:rPr>
          <w:rFonts w:hint="eastAsia" w:hAnsi="宋体"/>
          <w:sz w:val="24"/>
        </w:rPr>
      </w:pPr>
      <w:r>
        <w:rPr>
          <w:rFonts w:hint="eastAsia" w:hAnsi="宋体"/>
          <w:sz w:val="24"/>
        </w:rPr>
        <w:t>综合来看，平衡经济效益与社会效益并非对立选择，而是协同发展路径的优化过程。IntelliJ IDEA等开发工具的健康发展，应始终与社会公共利益、技术伦理底线、长远人才培育体系同步考量，构建可持续、负责任的软件工程生态。</w:t>
      </w:r>
    </w:p>
    <w:p w14:paraId="084E76E7">
      <w:pPr>
        <w:spacing w:before="72" w:beforeLines="30" w:line="288" w:lineRule="auto"/>
        <w:ind w:firstLine="480" w:firstLineChars="200"/>
        <w:rPr>
          <w:rFonts w:hint="eastAsia" w:hAnsi="宋体"/>
          <w:sz w:val="24"/>
        </w:rPr>
      </w:pPr>
      <w:r>
        <w:rPr>
          <w:rFonts w:hint="eastAsia" w:hAnsi="宋体"/>
          <w:sz w:val="24"/>
        </w:rPr>
        <w:t>六、结论</w:t>
      </w:r>
    </w:p>
    <w:p w14:paraId="58A85975">
      <w:pPr>
        <w:spacing w:before="72" w:beforeLines="30" w:line="288" w:lineRule="auto"/>
        <w:ind w:firstLine="480" w:firstLineChars="200"/>
        <w:rPr>
          <w:rFonts w:hint="eastAsia" w:hAnsi="宋体"/>
          <w:sz w:val="24"/>
        </w:rPr>
      </w:pPr>
      <w:r>
        <w:rPr>
          <w:rFonts w:hint="eastAsia" w:hAnsi="宋体"/>
          <w:sz w:val="24"/>
        </w:rPr>
        <w:t>IntelliJ IDEA作为软件开发领域的重要工具，展现出强大的经济效益和积极的社会影响。在软件产业成为国家战略性新兴产业的今天，开发工具的评估不应仅止于技术与财务指标，更应上升到社会责任与公共价值层面。通过工程经济学的方法分析，我们可以更科学地理解软件产品在新时代中的综合价值，并为相关政策制定、教育改革与企业决策提供理论支持与实践借鉴。</w:t>
      </w:r>
    </w:p>
    <w:p w14:paraId="5695D35C">
      <w:pPr>
        <w:spacing w:before="72" w:beforeLines="30" w:line="288" w:lineRule="auto"/>
        <w:ind w:firstLine="480" w:firstLineChars="200"/>
        <w:rPr>
          <w:rFonts w:hint="eastAsia" w:hAnsi="宋体"/>
          <w:sz w:val="24"/>
        </w:rPr>
      </w:pPr>
      <w:r>
        <w:rPr>
          <w:rFonts w:hint="eastAsia" w:hAnsi="宋体"/>
          <w:sz w:val="24"/>
        </w:rPr>
        <w:t>通过本文研究可见，IntelliJ IDEA不仅有效助力企业降本增效、推动产品创新与提升技术积累，也在教育现代化、开源生态建设、技术公平与数据治理等方面发挥着积极作用。然而，我们也应正视在其推广应用中所伴随的隐私泄露风险、技能退化问题和工具滥用现象，避免单一经济目标掩盖了社会整体效益。</w:t>
      </w:r>
    </w:p>
    <w:p w14:paraId="615A70A4">
      <w:pPr>
        <w:spacing w:before="72" w:beforeLines="30" w:line="288" w:lineRule="auto"/>
        <w:ind w:firstLine="480" w:firstLineChars="200"/>
        <w:rPr>
          <w:rFonts w:hint="eastAsia" w:hAnsi="宋体"/>
          <w:sz w:val="24"/>
        </w:rPr>
      </w:pPr>
      <w:r>
        <w:rPr>
          <w:rFonts w:hint="eastAsia" w:hAnsi="宋体"/>
          <w:sz w:val="24"/>
        </w:rPr>
        <w:t>未来，随着人工智能、自动化开发等新趋势的发展，IDE工具也将承担更多的智能分析、代码生成与项目协同任务，其经济与社会效益有望进一步扩展与提升。建议后续研究能进一步探索IDE与AIGC（生成式人工智能）、DevOps平台、远程协同开发等趋势的融合路径，为高质量软件工程实践提供更具前瞻性与系统性的理论支撑。</w:t>
      </w:r>
    </w:p>
    <w:p w14:paraId="415A27E4">
      <w:pPr>
        <w:spacing w:before="72" w:beforeLines="30" w:line="288" w:lineRule="auto"/>
        <w:ind w:firstLine="480" w:firstLineChars="200"/>
        <w:rPr>
          <w:rFonts w:hint="eastAsia" w:hAnsi="宋体"/>
          <w:sz w:val="24"/>
        </w:rPr>
      </w:pPr>
      <w:bookmarkStart w:id="0" w:name="_GoBack"/>
      <w:bookmarkEnd w:id="0"/>
    </w:p>
    <w:p w14:paraId="65A02D86">
      <w:pPr>
        <w:spacing w:before="72" w:beforeLines="30" w:line="288" w:lineRule="auto"/>
        <w:ind w:firstLine="422" w:firstLineChars="200"/>
        <w:rPr>
          <w:rFonts w:hint="eastAsia" w:hAnsi="宋体"/>
          <w:b/>
          <w:sz w:val="24"/>
        </w:rPr>
      </w:pPr>
      <w:r>
        <w:rPr>
          <w:rFonts w:hint="eastAsia" w:hAnsi="宋体"/>
          <w:b/>
        </w:rPr>
        <w:t>参考文献</w:t>
      </w:r>
    </w:p>
    <w:p w14:paraId="7D3B9360">
      <w:pPr>
        <w:pStyle w:val="13"/>
        <w:numPr>
          <w:ilvl w:val="0"/>
          <w:numId w:val="3"/>
        </w:numPr>
        <w:spacing w:before="48" w:beforeLines="20" w:after="48" w:afterLines="20" w:line="288" w:lineRule="auto"/>
        <w:ind w:left="797" w:leftChars="204" w:hanging="369" w:hangingChars="176"/>
        <w:rPr>
          <w:rFonts w:ascii="Garamond" w:hAnsi="Garamond" w:eastAsia="仿宋_GB2312"/>
          <w:szCs w:val="21"/>
        </w:rPr>
      </w:pPr>
      <w:r>
        <w:rPr>
          <w:rFonts w:hint="eastAsia" w:hAnsi="宋体"/>
          <w:szCs w:val="21"/>
        </w:rPr>
        <w:t>于亮. 软件工程经济学[M]. 电子工业出版社, 2022.</w:t>
      </w:r>
    </w:p>
    <w:p w14:paraId="64372098">
      <w:pPr>
        <w:pStyle w:val="13"/>
        <w:numPr>
          <w:ilvl w:val="0"/>
          <w:numId w:val="3"/>
        </w:numPr>
        <w:spacing w:before="48" w:beforeLines="20" w:after="48" w:afterLines="20" w:line="288" w:lineRule="auto"/>
        <w:ind w:left="797" w:leftChars="204" w:hanging="369" w:hangingChars="176"/>
        <w:rPr>
          <w:rFonts w:hint="eastAsia" w:hAnsi="宋体"/>
          <w:szCs w:val="21"/>
        </w:rPr>
      </w:pPr>
      <w:r>
        <w:rPr>
          <w:rFonts w:hint="eastAsia" w:hAnsi="宋体"/>
          <w:szCs w:val="21"/>
        </w:rPr>
        <w:t>杨林, 郑晶. 集成开发环境对软件工程教学效果的影响研究[J]. 教育信息化, 2021(06): 77-80.</w:t>
      </w:r>
    </w:p>
    <w:p w14:paraId="03854016">
      <w:pPr>
        <w:pStyle w:val="13"/>
        <w:numPr>
          <w:ilvl w:val="0"/>
          <w:numId w:val="3"/>
        </w:numPr>
        <w:spacing w:before="48" w:beforeLines="20" w:after="48" w:afterLines="20" w:line="288" w:lineRule="auto"/>
        <w:ind w:left="797" w:leftChars="204" w:hanging="369" w:hangingChars="176"/>
        <w:rPr>
          <w:rFonts w:hint="eastAsia" w:hAnsi="宋体"/>
          <w:szCs w:val="21"/>
        </w:rPr>
      </w:pPr>
      <w:r>
        <w:rPr>
          <w:rFonts w:hint="eastAsia" w:hAnsi="宋体"/>
          <w:szCs w:val="21"/>
        </w:rPr>
        <w:t>陈欢, 胡静. 软件工具对高校编程教学的促进与挑战[J]. 现代信息技术, 2020(12): 89-92.</w:t>
      </w:r>
    </w:p>
    <w:p w14:paraId="19A5623B">
      <w:pPr>
        <w:pStyle w:val="13"/>
        <w:numPr>
          <w:ilvl w:val="0"/>
          <w:numId w:val="3"/>
        </w:numPr>
        <w:spacing w:before="48" w:beforeLines="20" w:after="48" w:afterLines="20" w:line="288" w:lineRule="auto"/>
        <w:ind w:left="797" w:leftChars="204" w:hanging="369" w:hangingChars="176"/>
        <w:rPr>
          <w:rFonts w:hint="eastAsia" w:hAnsi="宋体"/>
          <w:szCs w:val="21"/>
        </w:rPr>
      </w:pPr>
      <w:r>
        <w:rPr>
          <w:rFonts w:hint="eastAsia" w:hAnsi="宋体"/>
          <w:szCs w:val="21"/>
        </w:rPr>
        <w:t>王静. 高校信息化系统中的数据隐私保护机制研究[J]. 教育信息安全, 2022(02): 45-49.</w:t>
      </w:r>
    </w:p>
    <w:p w14:paraId="708EA8C0">
      <w:pPr>
        <w:pStyle w:val="13"/>
        <w:numPr>
          <w:ilvl w:val="0"/>
          <w:numId w:val="3"/>
        </w:numPr>
        <w:spacing w:before="48" w:beforeLines="20" w:after="48" w:afterLines="20" w:line="288" w:lineRule="auto"/>
        <w:ind w:left="797" w:leftChars="204" w:hanging="369" w:hangingChars="176"/>
        <w:rPr>
          <w:rFonts w:hint="eastAsia" w:hAnsi="宋体"/>
          <w:szCs w:val="21"/>
        </w:rPr>
      </w:pPr>
      <w:r>
        <w:rPr>
          <w:rFonts w:hint="eastAsia" w:hAnsi="宋体"/>
          <w:szCs w:val="21"/>
        </w:rPr>
        <w:t>郝一丁. IntelliJ IDEA插件安全性分析与治理建议[J]. 软件与信息, 2023(05): 55-58.</w:t>
      </w:r>
    </w:p>
    <w:p w14:paraId="072FCA4B">
      <w:pPr>
        <w:pStyle w:val="13"/>
        <w:numPr>
          <w:ilvl w:val="0"/>
          <w:numId w:val="3"/>
        </w:numPr>
        <w:spacing w:before="48" w:beforeLines="20" w:after="48" w:afterLines="20" w:line="288" w:lineRule="auto"/>
        <w:ind w:left="797" w:leftChars="204" w:hanging="369" w:hangingChars="176"/>
        <w:rPr>
          <w:rFonts w:hint="eastAsia" w:hAnsi="宋体"/>
          <w:szCs w:val="21"/>
        </w:rPr>
      </w:pPr>
      <w:r>
        <w:rPr>
          <w:rFonts w:hint="eastAsia" w:hAnsi="宋体"/>
          <w:szCs w:val="21"/>
        </w:rPr>
        <w:t>韩锐. 数字经济背景下IDE工具的价值延展研究[J]. 计算机与现代化, 2023(10): 123-128.</w:t>
      </w:r>
    </w:p>
    <w:p w14:paraId="4FE02C73">
      <w:pPr>
        <w:pStyle w:val="13"/>
        <w:numPr>
          <w:ilvl w:val="0"/>
          <w:numId w:val="3"/>
        </w:numPr>
        <w:spacing w:before="48" w:beforeLines="20" w:after="48" w:afterLines="20" w:line="288" w:lineRule="auto"/>
        <w:ind w:left="797" w:leftChars="204" w:hanging="369" w:hangingChars="176"/>
        <w:rPr>
          <w:rFonts w:hint="eastAsia" w:hAnsi="宋体"/>
          <w:szCs w:val="21"/>
        </w:rPr>
      </w:pPr>
      <w:r>
        <w:rPr>
          <w:rFonts w:hint="eastAsia" w:hAnsi="宋体"/>
          <w:szCs w:val="21"/>
        </w:rPr>
        <w:t>侯玉珍. 高校软件教学中对开发工具依赖的反思[J]. 信息系统工程, 2022(03): 112-114.</w:t>
      </w:r>
    </w:p>
    <w:sectPr>
      <w:type w:val="continuous"/>
      <w:pgSz w:w="11906" w:h="16838"/>
      <w:pgMar w:top="1440" w:right="1701" w:bottom="1474" w:left="1701"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16" w:usb3="00000000" w:csb0="00040001" w:csb1="00000000"/>
  </w:font>
  <w:font w:name="仿宋_GB2312">
    <w:altName w:val="仿宋"/>
    <w:panose1 w:val="02010609030101010101"/>
    <w:charset w:val="86"/>
    <w:family w:val="modern"/>
    <w:pitch w:val="default"/>
    <w:sig w:usb0="00000000" w:usb1="00000000" w:usb2="00000016" w:usb3="00000000" w:csb0="00040001" w:csb1="00000000"/>
  </w:font>
  <w:font w:name="Garamond">
    <w:altName w:val="PMingLiU-ExtB"/>
    <w:panose1 w:val="02020404030301010803"/>
    <w:charset w:val="00"/>
    <w:family w:val="roman"/>
    <w:pitch w:val="default"/>
    <w:sig w:usb0="00000000"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CCE18"/>
    <w:multiLevelType w:val="singleLevel"/>
    <w:tmpl w:val="967CCE18"/>
    <w:lvl w:ilvl="0" w:tentative="0">
      <w:start w:val="2"/>
      <w:numFmt w:val="decimal"/>
      <w:suff w:val="space"/>
      <w:lvlText w:val="%1."/>
      <w:lvlJc w:val="left"/>
    </w:lvl>
  </w:abstractNum>
  <w:abstractNum w:abstractNumId="1">
    <w:nsid w:val="E756804B"/>
    <w:multiLevelType w:val="singleLevel"/>
    <w:tmpl w:val="E756804B"/>
    <w:lvl w:ilvl="0" w:tentative="0">
      <w:start w:val="2"/>
      <w:numFmt w:val="decimal"/>
      <w:suff w:val="space"/>
      <w:lvlText w:val="%1."/>
      <w:lvlJc w:val="left"/>
    </w:lvl>
  </w:abstractNum>
  <w:abstractNum w:abstractNumId="2">
    <w:nsid w:val="24742802"/>
    <w:multiLevelType w:val="multilevel"/>
    <w:tmpl w:val="24742802"/>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5D"/>
    <w:rsid w:val="00001734"/>
    <w:rsid w:val="00010A0F"/>
    <w:rsid w:val="00021761"/>
    <w:rsid w:val="000263ED"/>
    <w:rsid w:val="0003258E"/>
    <w:rsid w:val="00060FFA"/>
    <w:rsid w:val="00081969"/>
    <w:rsid w:val="000909F0"/>
    <w:rsid w:val="000A2005"/>
    <w:rsid w:val="000A70AE"/>
    <w:rsid w:val="000B13F3"/>
    <w:rsid w:val="000C17EC"/>
    <w:rsid w:val="000C6694"/>
    <w:rsid w:val="000E4E2B"/>
    <w:rsid w:val="0011627C"/>
    <w:rsid w:val="0012083C"/>
    <w:rsid w:val="00124373"/>
    <w:rsid w:val="00130FB6"/>
    <w:rsid w:val="00134C23"/>
    <w:rsid w:val="00134CEC"/>
    <w:rsid w:val="0014149A"/>
    <w:rsid w:val="001551DC"/>
    <w:rsid w:val="00163F5B"/>
    <w:rsid w:val="00171EB2"/>
    <w:rsid w:val="00176AB5"/>
    <w:rsid w:val="0019425D"/>
    <w:rsid w:val="001A1F5A"/>
    <w:rsid w:val="001B1CB9"/>
    <w:rsid w:val="001C28EE"/>
    <w:rsid w:val="001C2A89"/>
    <w:rsid w:val="001D7B1F"/>
    <w:rsid w:val="001F2AED"/>
    <w:rsid w:val="00200853"/>
    <w:rsid w:val="00221215"/>
    <w:rsid w:val="00222622"/>
    <w:rsid w:val="00231E2C"/>
    <w:rsid w:val="002373D6"/>
    <w:rsid w:val="00240F71"/>
    <w:rsid w:val="00270F94"/>
    <w:rsid w:val="002741B3"/>
    <w:rsid w:val="00277DAB"/>
    <w:rsid w:val="002967D0"/>
    <w:rsid w:val="002A4FC0"/>
    <w:rsid w:val="002B5D31"/>
    <w:rsid w:val="002C7BC1"/>
    <w:rsid w:val="002F2874"/>
    <w:rsid w:val="00302319"/>
    <w:rsid w:val="00316A56"/>
    <w:rsid w:val="00325B15"/>
    <w:rsid w:val="00331EAE"/>
    <w:rsid w:val="00332C9B"/>
    <w:rsid w:val="00337894"/>
    <w:rsid w:val="00355789"/>
    <w:rsid w:val="0036045A"/>
    <w:rsid w:val="0036245E"/>
    <w:rsid w:val="00370B7A"/>
    <w:rsid w:val="00373538"/>
    <w:rsid w:val="00374549"/>
    <w:rsid w:val="00382859"/>
    <w:rsid w:val="00387711"/>
    <w:rsid w:val="00391F0A"/>
    <w:rsid w:val="00396CC8"/>
    <w:rsid w:val="003A4481"/>
    <w:rsid w:val="003B4C2F"/>
    <w:rsid w:val="00416CCC"/>
    <w:rsid w:val="00417625"/>
    <w:rsid w:val="0043047B"/>
    <w:rsid w:val="004348FC"/>
    <w:rsid w:val="004553B0"/>
    <w:rsid w:val="00475523"/>
    <w:rsid w:val="00484644"/>
    <w:rsid w:val="004A271C"/>
    <w:rsid w:val="004B2946"/>
    <w:rsid w:val="004B53AB"/>
    <w:rsid w:val="004B71BD"/>
    <w:rsid w:val="004C1FF5"/>
    <w:rsid w:val="004D5853"/>
    <w:rsid w:val="004E3ACF"/>
    <w:rsid w:val="004E5843"/>
    <w:rsid w:val="00503C2A"/>
    <w:rsid w:val="0050619C"/>
    <w:rsid w:val="005079E6"/>
    <w:rsid w:val="00522241"/>
    <w:rsid w:val="005244A6"/>
    <w:rsid w:val="005409E8"/>
    <w:rsid w:val="00567456"/>
    <w:rsid w:val="00572795"/>
    <w:rsid w:val="00577EDE"/>
    <w:rsid w:val="00585971"/>
    <w:rsid w:val="00594054"/>
    <w:rsid w:val="005A61EC"/>
    <w:rsid w:val="005B29CF"/>
    <w:rsid w:val="005C1F0A"/>
    <w:rsid w:val="005C3F4D"/>
    <w:rsid w:val="005C7511"/>
    <w:rsid w:val="005D4292"/>
    <w:rsid w:val="005E0B68"/>
    <w:rsid w:val="005E1CA5"/>
    <w:rsid w:val="00603162"/>
    <w:rsid w:val="0061203F"/>
    <w:rsid w:val="0062171C"/>
    <w:rsid w:val="00651FFF"/>
    <w:rsid w:val="006661E5"/>
    <w:rsid w:val="00685485"/>
    <w:rsid w:val="0069590A"/>
    <w:rsid w:val="006A43F4"/>
    <w:rsid w:val="006C1909"/>
    <w:rsid w:val="006E43AF"/>
    <w:rsid w:val="00704EB3"/>
    <w:rsid w:val="0070731E"/>
    <w:rsid w:val="00754220"/>
    <w:rsid w:val="00756F33"/>
    <w:rsid w:val="00763F6D"/>
    <w:rsid w:val="0077545C"/>
    <w:rsid w:val="00775AD0"/>
    <w:rsid w:val="0077653C"/>
    <w:rsid w:val="007802BD"/>
    <w:rsid w:val="00783835"/>
    <w:rsid w:val="007C51A2"/>
    <w:rsid w:val="007D0F65"/>
    <w:rsid w:val="007D42D5"/>
    <w:rsid w:val="007D52C6"/>
    <w:rsid w:val="007E33A4"/>
    <w:rsid w:val="007E7F88"/>
    <w:rsid w:val="007F6421"/>
    <w:rsid w:val="00814AE2"/>
    <w:rsid w:val="008246F5"/>
    <w:rsid w:val="00846C36"/>
    <w:rsid w:val="00897ABB"/>
    <w:rsid w:val="00897E47"/>
    <w:rsid w:val="008A47FC"/>
    <w:rsid w:val="008B10FB"/>
    <w:rsid w:val="008B1879"/>
    <w:rsid w:val="008B21E0"/>
    <w:rsid w:val="008C1831"/>
    <w:rsid w:val="008C4B1D"/>
    <w:rsid w:val="008C772F"/>
    <w:rsid w:val="008D2B35"/>
    <w:rsid w:val="008D4271"/>
    <w:rsid w:val="008D4B35"/>
    <w:rsid w:val="008E04E3"/>
    <w:rsid w:val="0090319A"/>
    <w:rsid w:val="00913B3E"/>
    <w:rsid w:val="00916157"/>
    <w:rsid w:val="00920858"/>
    <w:rsid w:val="00945C24"/>
    <w:rsid w:val="00970CA0"/>
    <w:rsid w:val="0097298D"/>
    <w:rsid w:val="00981BFC"/>
    <w:rsid w:val="00981FE5"/>
    <w:rsid w:val="00991C7E"/>
    <w:rsid w:val="00993DDD"/>
    <w:rsid w:val="009B1137"/>
    <w:rsid w:val="009B144F"/>
    <w:rsid w:val="009B7713"/>
    <w:rsid w:val="009C1304"/>
    <w:rsid w:val="009C189B"/>
    <w:rsid w:val="009C1A27"/>
    <w:rsid w:val="009C1EAC"/>
    <w:rsid w:val="009C5E70"/>
    <w:rsid w:val="009D1575"/>
    <w:rsid w:val="009D722F"/>
    <w:rsid w:val="009E0E08"/>
    <w:rsid w:val="009E477E"/>
    <w:rsid w:val="009E60AB"/>
    <w:rsid w:val="009F6FAC"/>
    <w:rsid w:val="00A024CD"/>
    <w:rsid w:val="00A17D65"/>
    <w:rsid w:val="00A22D54"/>
    <w:rsid w:val="00A356FA"/>
    <w:rsid w:val="00A40B8F"/>
    <w:rsid w:val="00A51C62"/>
    <w:rsid w:val="00A62D99"/>
    <w:rsid w:val="00AA2879"/>
    <w:rsid w:val="00AB25E4"/>
    <w:rsid w:val="00AC1F9E"/>
    <w:rsid w:val="00AC5EBC"/>
    <w:rsid w:val="00AD29BC"/>
    <w:rsid w:val="00AD6A2D"/>
    <w:rsid w:val="00AD7008"/>
    <w:rsid w:val="00AF4212"/>
    <w:rsid w:val="00B11302"/>
    <w:rsid w:val="00B12D4D"/>
    <w:rsid w:val="00B2055E"/>
    <w:rsid w:val="00B22DAC"/>
    <w:rsid w:val="00B5098D"/>
    <w:rsid w:val="00B61D5D"/>
    <w:rsid w:val="00B77E6D"/>
    <w:rsid w:val="00B84CB3"/>
    <w:rsid w:val="00B9504F"/>
    <w:rsid w:val="00BB68C2"/>
    <w:rsid w:val="00BD3065"/>
    <w:rsid w:val="00BD439C"/>
    <w:rsid w:val="00BD5169"/>
    <w:rsid w:val="00BF5E21"/>
    <w:rsid w:val="00C01F57"/>
    <w:rsid w:val="00C06ADA"/>
    <w:rsid w:val="00C0715C"/>
    <w:rsid w:val="00C11DF9"/>
    <w:rsid w:val="00C256D3"/>
    <w:rsid w:val="00C41C60"/>
    <w:rsid w:val="00C53281"/>
    <w:rsid w:val="00C54313"/>
    <w:rsid w:val="00C63F29"/>
    <w:rsid w:val="00C81599"/>
    <w:rsid w:val="00C82B10"/>
    <w:rsid w:val="00C97909"/>
    <w:rsid w:val="00CA7A75"/>
    <w:rsid w:val="00CC51AE"/>
    <w:rsid w:val="00CC6B94"/>
    <w:rsid w:val="00CF5A02"/>
    <w:rsid w:val="00CF6746"/>
    <w:rsid w:val="00D015DD"/>
    <w:rsid w:val="00D22158"/>
    <w:rsid w:val="00D241E1"/>
    <w:rsid w:val="00D37A41"/>
    <w:rsid w:val="00D44C4E"/>
    <w:rsid w:val="00D52727"/>
    <w:rsid w:val="00D61265"/>
    <w:rsid w:val="00D832E3"/>
    <w:rsid w:val="00DA57D4"/>
    <w:rsid w:val="00DA589A"/>
    <w:rsid w:val="00DB0277"/>
    <w:rsid w:val="00DD7092"/>
    <w:rsid w:val="00DD747A"/>
    <w:rsid w:val="00DE4983"/>
    <w:rsid w:val="00E004BA"/>
    <w:rsid w:val="00E00E11"/>
    <w:rsid w:val="00E13014"/>
    <w:rsid w:val="00E1541B"/>
    <w:rsid w:val="00E40296"/>
    <w:rsid w:val="00E961B4"/>
    <w:rsid w:val="00EA1EC6"/>
    <w:rsid w:val="00ED2945"/>
    <w:rsid w:val="00F22DCB"/>
    <w:rsid w:val="00F41A9D"/>
    <w:rsid w:val="00F45116"/>
    <w:rsid w:val="00F61397"/>
    <w:rsid w:val="00F62FFA"/>
    <w:rsid w:val="00F74686"/>
    <w:rsid w:val="00F74730"/>
    <w:rsid w:val="00FA7077"/>
    <w:rsid w:val="00FB5285"/>
    <w:rsid w:val="00FC25CA"/>
    <w:rsid w:val="00FE49AA"/>
    <w:rsid w:val="00FF0930"/>
    <w:rsid w:val="083D3697"/>
    <w:rsid w:val="224F6049"/>
    <w:rsid w:val="2A7F2F57"/>
    <w:rsid w:val="333F5C66"/>
    <w:rsid w:val="397404C5"/>
    <w:rsid w:val="558A0E8B"/>
    <w:rsid w:val="646A2293"/>
    <w:rsid w:val="7F6F47A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4"/>
    <w:semiHidden/>
    <w:unhideWhenUsed/>
    <w:qFormat/>
    <w:uiPriority w:val="0"/>
    <w:rPr>
      <w:sz w:val="18"/>
      <w:szCs w:val="18"/>
    </w:rPr>
  </w:style>
  <w:style w:type="paragraph" w:styleId="4">
    <w:name w:val="footer"/>
    <w:basedOn w:val="1"/>
    <w:link w:val="17"/>
    <w:uiPriority w:val="0"/>
    <w:pPr>
      <w:tabs>
        <w:tab w:val="center" w:pos="4153"/>
        <w:tab w:val="right" w:pos="8306"/>
      </w:tabs>
      <w:snapToGrid w:val="0"/>
      <w:jc w:val="left"/>
    </w:pPr>
    <w:rPr>
      <w:sz w:val="18"/>
      <w:szCs w:val="18"/>
    </w:rPr>
  </w:style>
  <w:style w:type="paragraph" w:styleId="5">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2"/>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7">
    <w:name w:val="Title"/>
    <w:basedOn w:val="1"/>
    <w:next w:val="1"/>
    <w:link w:val="15"/>
    <w:qFormat/>
    <w:uiPriority w:val="0"/>
    <w:pPr>
      <w:spacing w:before="240" w:after="60"/>
      <w:jc w:val="center"/>
      <w:outlineLvl w:val="0"/>
    </w:pPr>
    <w:rPr>
      <w:rFonts w:asciiTheme="majorHAnsi" w:hAnsiTheme="majorHAnsi" w:cstheme="majorBidi"/>
      <w:b/>
      <w:bCs/>
      <w:sz w:val="32"/>
      <w:szCs w:val="32"/>
    </w:rPr>
  </w:style>
  <w:style w:type="table" w:styleId="9">
    <w:name w:val="Table Grid"/>
    <w:basedOn w:val="8"/>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1">
    <w:name w:val="标题 1 字符"/>
    <w:basedOn w:val="10"/>
    <w:link w:val="2"/>
    <w:uiPriority w:val="0"/>
    <w:rPr>
      <w:b/>
      <w:bCs/>
      <w:kern w:val="44"/>
      <w:sz w:val="44"/>
      <w:szCs w:val="44"/>
    </w:rPr>
  </w:style>
  <w:style w:type="character" w:customStyle="1" w:styleId="12">
    <w:name w:val="副标题 字符"/>
    <w:basedOn w:val="10"/>
    <w:link w:val="6"/>
    <w:uiPriority w:val="0"/>
    <w:rPr>
      <w:rFonts w:asciiTheme="majorHAnsi" w:hAnsiTheme="majorHAnsi" w:cstheme="majorBidi"/>
      <w:b/>
      <w:bCs/>
      <w:kern w:val="28"/>
      <w:sz w:val="32"/>
      <w:szCs w:val="32"/>
    </w:rPr>
  </w:style>
  <w:style w:type="paragraph" w:styleId="13">
    <w:name w:val="List Paragraph"/>
    <w:basedOn w:val="1"/>
    <w:qFormat/>
    <w:uiPriority w:val="34"/>
    <w:pPr>
      <w:ind w:firstLine="420" w:firstLineChars="200"/>
    </w:pPr>
  </w:style>
  <w:style w:type="character" w:customStyle="1" w:styleId="14">
    <w:name w:val="批注框文本 字符"/>
    <w:basedOn w:val="10"/>
    <w:link w:val="3"/>
    <w:semiHidden/>
    <w:qFormat/>
    <w:uiPriority w:val="0"/>
    <w:rPr>
      <w:kern w:val="2"/>
      <w:sz w:val="18"/>
      <w:szCs w:val="18"/>
    </w:rPr>
  </w:style>
  <w:style w:type="character" w:customStyle="1" w:styleId="15">
    <w:name w:val="标题 字符"/>
    <w:basedOn w:val="10"/>
    <w:link w:val="7"/>
    <w:qFormat/>
    <w:uiPriority w:val="0"/>
    <w:rPr>
      <w:rFonts w:asciiTheme="majorHAnsi" w:hAnsiTheme="majorHAnsi" w:cstheme="majorBidi"/>
      <w:b/>
      <w:bCs/>
      <w:kern w:val="2"/>
      <w:sz w:val="32"/>
      <w:szCs w:val="32"/>
    </w:rPr>
  </w:style>
  <w:style w:type="character" w:customStyle="1" w:styleId="16">
    <w:name w:val="页眉 字符"/>
    <w:basedOn w:val="10"/>
    <w:link w:val="5"/>
    <w:uiPriority w:val="0"/>
    <w:rPr>
      <w:kern w:val="2"/>
      <w:sz w:val="18"/>
      <w:szCs w:val="18"/>
    </w:rPr>
  </w:style>
  <w:style w:type="character" w:customStyle="1" w:styleId="17">
    <w:name w:val="页脚 字符"/>
    <w:basedOn w:val="10"/>
    <w:link w:val="4"/>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D7ECF-471F-4803-8754-E1520D5AA8D6}">
  <ds:schemaRefs/>
</ds:datastoreItem>
</file>

<file path=docProps/app.xml><?xml version="1.0" encoding="utf-8"?>
<Properties xmlns="http://schemas.openxmlformats.org/officeDocument/2006/extended-properties" xmlns:vt="http://schemas.openxmlformats.org/officeDocument/2006/docPropsVTypes">
  <Template>Normal</Template>
  <Pages>6</Pages>
  <Words>1779</Words>
  <Characters>1930</Characters>
  <Lines>11</Lines>
  <Paragraphs>35</Paragraphs>
  <TotalTime>799</TotalTime>
  <ScaleCrop>false</ScaleCrop>
  <LinksUpToDate>false</LinksUpToDate>
  <CharactersWithSpaces>1944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2025-04-26T19:19:00Z</dcterms:created>
  <dc:creator>Leo</dc:creator>
  <cp:lastModifiedBy>Guard you,to life</cp:lastModifiedBy>
  <dcterms:modified xsi:type="dcterms:W3CDTF">2025-05-11T02:03:52Z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eyJoZGlkIjoiZmY2YmM0Yzk2MWFhYTA0Y2RmYzg3YjJhYzJkYTc0NDIiLCJ1c2VySWQiOiI5MTA3MDA5NTUifQ==</vt:lpwstr>
  </property>
  <property fmtid="{D5CDD505-2E9C-101B-9397-08002B2CF9AE}" pid="3" name="KSOProductBuildVer">
    <vt:lpwstr>2052-12.1.0.20784</vt:lpwstr>
  </property>
  <property fmtid="{D5CDD505-2E9C-101B-9397-08002B2CF9AE}" pid="4" name="ICV">
    <vt:lpwstr>BD0466FEA24B423FB93ED6C6636768C8_12</vt:lpwstr>
  </property>
</Properties>
</file>