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/>
          <w:b/>
          <w:color w:val="0E2B5C"/>
          <w:sz w:val="40"/>
        </w:rPr>
        <w:t>🦅 索罗斯宏观反身性阿尔法模型 (双轨制雷达看板版)</w:t>
      </w:r>
    </w:p>
    <w:p>
      <w:pPr>
        <w:spacing w:after="320"/>
        <w:jc w:val="center"/>
      </w:pPr>
      <w:r>
        <w:rPr>
          <w:rFonts w:ascii="微软雅黑" w:hAnsi="微软雅黑"/>
          <w:b/>
          <w:color w:val="505F73"/>
          <w:sz w:val="26"/>
        </w:rPr>
        <w:t>数学推导、量化公式与状态机架构官方全白皮书 (Technical Whitepaper)</w:t>
      </w:r>
    </w:p>
    <w:p>
      <w:pPr>
        <w:spacing w:after="360"/>
      </w:pPr>
      <w:r>
        <w:rPr>
          <w:rFonts w:ascii="微软雅黑" w:hAnsi="微软雅黑"/>
          <w:b/>
          <w:color w:val="143C78"/>
          <w:sz w:val="21"/>
        </w:rPr>
        <w:t>【当前模型正式采用方案】：方案 B_Plus（索罗斯宏观反身性阿尔法模型 · 双轨制雷达看板版 / 模型 A_Plus）</w:t>
        <w:br/>
        <w:t>【核心定位】：纯现货 (1.0x) 大类资产配置 · 0~100 分宏观过热雷达 · 动态扩展分位数自适应 · 真实券商记账</w:t>
      </w:r>
    </w:p>
    <w:p>
      <w:pPr>
        <w:spacing w:before="280" w:after="120"/>
      </w:pPr>
      <w:r>
        <w:rPr>
          <w:rFonts w:ascii="微软雅黑" w:hAnsi="微软雅黑"/>
          <w:b/>
          <w:color w:val="184C78"/>
          <w:sz w:val="26"/>
        </w:rPr>
        <w:t>一、 方案渊源与架构演变 (Why Scheme B_Plus)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本系统最终选定采用 方案 B_Plus (双轨制雷达看板版)，是基于对 17.6 年全历史实盘回测与 2022 年大熊市磨损反思后的最优化结果：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1. 基准方案痛点：写死固定阈值，在牛熊切换时迟钝，2022 年由于频繁假突破产生多次追涨杀跌磨损；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2. 方案 A 演进：引入信贷先导熊市出清机制，实现了一熊到底避险，但属于单一右侧破位执行系统，无法解决顶部回撤已大才给出卖点的滞后性；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3. 方案 B_Plus 终极落地：建立攻守兼备的『双轨制』：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• 轨道一（左侧预警雷达）：0~100 分综合能量评分，狂欢极值（Score &gt;= 70）提前发出黄色预警，提示收紧止损、停止单笔追高，激进者可主动左侧止盈；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• 轨道二（右侧执行状态机）：反身性自适应右侧破位清仓与极值黄金坑抄底，完全消除了人为情绪干扰与固定天数死板规则。</w:t>
      </w:r>
    </w:p>
    <w:p>
      <w:pPr>
        <w:spacing w:before="280" w:after="120"/>
      </w:pPr>
      <w:r>
        <w:rPr>
          <w:rFonts w:ascii="微软雅黑" w:hAnsi="微软雅黑"/>
          <w:b/>
          <w:color w:val="184C78"/>
          <w:sz w:val="26"/>
        </w:rPr>
        <w:t>二、 核心标的与宏观数据字典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设交易日序列为 t = 1, 2, ..., T，系统每日接入 6 项主数据：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• P(t)：标的资产官方收盘价 (SPY 标普500 / QQQ 纳斯达克100)；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• HYG(t)：高收益企业债 ETF 收盘价 (反身性宏观信贷之锚)；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• NFCI(t)：芝加哥联储全美金融条件指数 (全美流动性与信用风险)；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• BAA10Y(t)：穆迪 Baa 级企业债与 10 年期美债信用利差；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• DFII10(t)：美国 10 年期通胀保值国债 TIPS 实际利率 (Real Yield)。</w:t>
      </w:r>
    </w:p>
    <w:p>
      <w:pPr>
        <w:spacing w:before="280" w:after="120"/>
      </w:pPr>
      <w:r>
        <w:rPr>
          <w:rFonts w:ascii="微软雅黑" w:hAnsi="微软雅黑"/>
          <w:b/>
          <w:color w:val="184C78"/>
          <w:sz w:val="26"/>
        </w:rPr>
        <w:t>三、 核心量化数学公式推导全景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【1. 技术均线体系与年线乖离度】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MA_k(t) = (1/k) * Σ P(t-i),  k ∈ {10, 20, 50, 200}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Dist_200MA(t) = [ (P(t) - MA_200(t)) / MA_200(t) ] * 100%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【2. 芝加哥联储金融条件滚动自适应 Z-Score】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NFCI_Z(t) = [ NFCI(t) - Mean_252(NFCI) ] / [ Std_252(NFCI) + 1e-8 ]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BAA_Stress(t) = 1 (若 BAA10Y(t) &gt; MA_60(BAA10Y)), 否则为 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RY_Surge(t) = 1 (若 DFII10(t) - Min_60(DFII10) &gt; 0.40%), 否则为 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【3. 索罗斯宏观反身性与动态 Beta 定价模型】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Z_Price(t) = [ P(t) - MA_200(P) ] / Std_200(P)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Z_Macro(t) = [ HYG(t) - MA_200(HYG) ] / Std_200(HYG)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Dynamic_Beta(t) = clip( Cov_252(Z_Price, Z_Macro) / Var_252(Z_Macro), -2.0, 2.0 )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Expected_Z_Price(t) = Z_Macro(t) * Dynamic_Beta(t)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Gap(t) = Z_Price(t) - Expected_Z_Price(t)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Gap_Max45(t) = Max_{0&lt;=i&lt;=44} Gap(t-i)   (45天黄昏期记忆窗口)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Gap_Upper(t) = Quantile_85%( { Gap(τ) }_{τ=0}^t )  (自适应无参数历史扩展分位数)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【4. 轨道一：0~100分 宏观过热雷达评分引擎】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S_Momentum(t) = clip( (Z_Price(t) - 0.5)/1.5 * 40.0, 0, 40 )   (短期动能冲刺分)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S_Dist(t)     = clip( (Dist_200MA(t) - 5.0)/15.0 * 30.0, 0, 30 ) (中期年线乖离分)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S_Gap(t)      = clip( (Gap(t) / Gap_Upper(t)) * 15.0, 0, 30 )   (反身性估值透支分)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Overheat_Score(t) = S_Momentum(t) + S_Dist(t) + S_Gap(t) ∈ [0, 100]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黄色过热预警条件：Overheat_Score(t) &gt;= 70.0 (全历史仅前 5% 狂欢顶点触发)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【5. 轨道二：纯现货自适应右侧交易状态机】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卖出信号 Trigger_Sell(t) = Cond_Bubble(t) ∨ Cond_Bear(t)：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Cond_Bubble(t) = [Gap_Max45 &gt; Gap_Upper] ∧ [PriceZ_Max45 &gt; 1.5] ∧ [Dist_200MA &gt; 5%] ∧ [NFCI &gt; -0.50] ∧ BAA_Stress ∧ [P &lt; MA_20]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Cond_Bear(t)   = [HYG &lt; MA_200(HYG)] ∧ RY_Surge ∧ [NFCI_Z &gt; 1.2] ∧ [NFCI &gt; -0.50] ∧ [P &lt; MA_50] ∧ [P &lt; MA_200]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买入信号 Trigger_Buy(t) (根据前序退出原因自适应解禁，零固定天数)：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泡沫急跌黄金坑抄底 (极值增殖通道)：[Min_10(Dist_200MA) &lt; -10%] ∧ [P &gt; MA_10]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估值自然出清主升重构：[Gap &lt; Gap_Median] ∧ [3日稳站 MA_20] ∧ [3日稳站 MA_50]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右侧防踏空强力接回：[P &gt; P_Sell * 1.02] ∧ [3日稳站 MA_20] ∧ [3日稳站 MA_50]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 • 宏观信用先导修复接回：[HYG &gt; MA_200(HYG)] ∧ [3日稳站 MA_50]</w:t>
      </w:r>
    </w:p>
    <w:p>
      <w:pPr>
        <w:spacing w:before="280" w:after="120"/>
      </w:pPr>
      <w:r>
        <w:rPr>
          <w:rFonts w:ascii="微软雅黑" w:hAnsi="微软雅黑"/>
          <w:b/>
          <w:color w:val="184C78"/>
          <w:sz w:val="26"/>
        </w:rPr>
        <w:t>四、 真实券商记账体系标准 (True Brokerage Ledger)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本模型严格杜绝使用任何每日收益率假复利连乘，追踪真实股数与闲置现金：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1. 每月首日定投注入：TotalInvested += $1,000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• 若持仓中 (Pos=1.0)：Strat_Shares += $1,000 / P(t)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 xml:space="preserve">   • 若空仓中 (Pos=0.0)：Strat_Cash += $1,000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2. 卖出状态转移：Strat_Cash += Strat_Shares * P(t); Strat_Shares = 0.0; Pos = 0.0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3. 买入状态转移：Strat_Shares += Strat_Cash / P(t); Strat_Cash = 0.0; Pos = 1.0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0"/>
        </w:rPr>
        <w:t>4. 真实账户总净值：V_Strat(t) = Strat_Shares * P(t) + Strat_Cash</w:t>
      </w:r>
    </w:p>
    <w:p>
      <w:pPr>
        <w:spacing w:before="280" w:after="120"/>
      </w:pPr>
      <w:r>
        <w:rPr>
          <w:rFonts w:ascii="微软雅黑" w:hAnsi="微软雅黑"/>
          <w:b/>
          <w:color w:val="184C78"/>
          <w:sz w:val="26"/>
        </w:rPr>
        <w:t>五、 17.6 年全周期实证绩效对账总表 (纯现货 1.0x 真实记账)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标的资产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定投总本金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买入持有基准终值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策略实际终值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超额 Alpha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多赚现金财富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最大回撤改善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交易轮次</w:t>
            </w:r>
          </w:p>
        </w:tc>
        <w:tc>
          <w:tcPr>
            <w:tcW w:type="dxa" w:w="1088"/>
            <w:vAlign w:val="center"/>
            <w:shd w:fill="1F3A60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波段胜率</w:t>
            </w:r>
          </w:p>
        </w:tc>
      </w:tr>
      <w:tr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QQQ (方案 B_Plus)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$213,000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$1,535,733 (+621%)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$2,253,622 (+958%)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+337.04%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+$717,889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-22.41% (+11.6%)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10 轮 (年均 1.14)</w:t>
            </w:r>
          </w:p>
        </w:tc>
        <w:tc>
          <w:tcPr>
            <w:tcW w:type="dxa" w:w="1088"/>
            <w:vAlign w:val="center"/>
            <w:shd w:fill="F2F6FA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60.0%</w:t>
            </w:r>
          </w:p>
        </w:tc>
      </w:tr>
      <w:tr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SPY (方案 B_Plus)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$213,000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$912,082 (+328%)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$1,237,236 (+480%)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+152.65%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+$325,153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-18.49% (+15.0%)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8 轮 (年均 0.91)</w:t>
            </w:r>
          </w:p>
        </w:tc>
        <w:tc>
          <w:tcPr>
            <w:tcW w:type="dxa" w:w="1088"/>
            <w:vAlign w:val="center"/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color w:val="1E1E1E"/>
                <w:sz w:val="17"/>
              </w:rPr>
              <w:t>50.0%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