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AC6F2">
      <w:pPr>
        <w:wordWrap w:val="0"/>
        <w:jc w:val="right"/>
        <w:rPr>
          <w:rFonts w:hint="default"/>
          <w:b w:val="0"/>
          <w:bCs w:val="0"/>
          <w:sz w:val="60"/>
          <w:szCs w:val="96"/>
          <w:lang w:val="en-US" w:eastAsia="zh-CN"/>
        </w:rPr>
      </w:pPr>
      <w:r>
        <w:rPr>
          <w:sz w:val="52"/>
        </w:rPr>
        <mc:AlternateContent>
          <mc:Choice Requires="wps">
            <w:drawing>
              <wp:anchor distT="0" distB="0" distL="114300" distR="114300" simplePos="0" relativeHeight="251659264" behindDoc="0" locked="0" layoutInCell="1" allowOverlap="1">
                <wp:simplePos x="0" y="0"/>
                <wp:positionH relativeFrom="column">
                  <wp:posOffset>4399280</wp:posOffset>
                </wp:positionH>
                <wp:positionV relativeFrom="paragraph">
                  <wp:posOffset>6350</wp:posOffset>
                </wp:positionV>
                <wp:extent cx="911860" cy="519430"/>
                <wp:effectExtent l="6350" t="6350" r="21590" b="7620"/>
                <wp:wrapNone/>
                <wp:docPr id="1" name="矩形 1"/>
                <wp:cNvGraphicFramePr/>
                <a:graphic xmlns:a="http://schemas.openxmlformats.org/drawingml/2006/main">
                  <a:graphicData uri="http://schemas.microsoft.com/office/word/2010/wordprocessingShape">
                    <wps:wsp>
                      <wps:cNvSpPr/>
                      <wps:spPr>
                        <a:xfrm>
                          <a:off x="6240780" y="973455"/>
                          <a:ext cx="911860" cy="519430"/>
                        </a:xfrm>
                        <a:prstGeom prst="rect">
                          <a:avLst/>
                        </a:prstGeom>
                        <a:noFill/>
                        <a:ln w="1270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6.4pt;margin-top:0.5pt;height:40.9pt;width:71.8pt;z-index:251659264;v-text-anchor:middle;mso-width-relative:page;mso-height-relative:page;" filled="f" stroked="t" coordsize="21600,21600" o:gfxdata="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zkB9NYAAAAIAQAADwAAAAAAAAABACAAAAAiAAAAZHJzL2Rvd25y&#10;ZXYueG1sUEsBAhQAFAAAAAgAh07iQLqXAkByAgAA1QQAAA4AAAAAAAAAAQAgAAAAJQEAAGRycy9l&#10;Mm9Eb2MueG1sUEsFBgAAAAAGAAYAWQEAAAkGAAAAAA==&#10;">
                <v:fill on="f" focussize="0,0"/>
                <v:stroke weight="1pt" color="#000000 [3213]" miterlimit="8" joinstyle="miter"/>
                <v:imagedata o:title=""/>
                <o:lock v:ext="edit" aspectratio="f"/>
              </v:rect>
            </w:pict>
          </mc:Fallback>
        </mc:AlternateContent>
      </w:r>
      <w:r>
        <w:rPr>
          <w:rFonts w:hint="eastAsia"/>
          <w:b w:val="0"/>
          <w:bCs w:val="0"/>
          <w:sz w:val="52"/>
          <w:szCs w:val="60"/>
          <w:lang w:val="en-US" w:eastAsia="zh-CN"/>
        </w:rPr>
        <w:t xml:space="preserve">得分：     </w:t>
      </w:r>
    </w:p>
    <w:p w14:paraId="6DC2E461">
      <w:pPr>
        <w:jc w:val="center"/>
        <w:rPr>
          <w:rFonts w:hint="eastAsia"/>
          <w:b/>
          <w:bCs/>
          <w:sz w:val="96"/>
          <w:szCs w:val="144"/>
          <w:lang w:val="en-US" w:eastAsia="zh-CN"/>
        </w:rPr>
      </w:pPr>
      <w:r>
        <w:rPr>
          <w:rFonts w:hint="eastAsia"/>
          <w:b/>
          <w:bCs/>
          <w:sz w:val="96"/>
          <w:szCs w:val="144"/>
          <w:lang w:val="en-US" w:eastAsia="zh-CN"/>
        </w:rPr>
        <w:t>中南财经政法大学</w:t>
      </w:r>
    </w:p>
    <w:p w14:paraId="4D30BA01">
      <w:pPr>
        <w:jc w:val="center"/>
        <w:rPr>
          <w:rFonts w:hint="eastAsia"/>
          <w:b/>
          <w:bCs/>
          <w:sz w:val="96"/>
          <w:szCs w:val="144"/>
          <w:lang w:val="en-US" w:eastAsia="zh-CN"/>
        </w:rPr>
      </w:pPr>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503555</wp:posOffset>
            </wp:positionH>
            <wp:positionV relativeFrom="paragraph">
              <wp:posOffset>1236980</wp:posOffset>
            </wp:positionV>
            <wp:extent cx="4074795" cy="2857500"/>
            <wp:effectExtent l="0" t="0" r="14605" b="12700"/>
            <wp:wrapTopAndBottom/>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rcRect t="11236" b="18638"/>
                    <a:stretch>
                      <a:fillRect/>
                    </a:stretch>
                  </pic:blipFill>
                  <pic:spPr>
                    <a:xfrm>
                      <a:off x="0" y="0"/>
                      <a:ext cx="4074795" cy="2857500"/>
                    </a:xfrm>
                    <a:prstGeom prst="rect">
                      <a:avLst/>
                    </a:prstGeom>
                    <a:noFill/>
                    <a:ln w="9525">
                      <a:noFill/>
                    </a:ln>
                  </pic:spPr>
                </pic:pic>
              </a:graphicData>
            </a:graphic>
          </wp:anchor>
        </w:drawing>
      </w:r>
      <w:r>
        <w:rPr>
          <w:rFonts w:hint="eastAsia"/>
          <w:b/>
          <w:bCs/>
          <w:sz w:val="96"/>
          <w:szCs w:val="144"/>
          <w:lang w:val="en-US" w:eastAsia="zh-CN"/>
        </w:rPr>
        <w:t>本科生结课报告</w:t>
      </w:r>
    </w:p>
    <w:p w14:paraId="6E4D0C1C">
      <w:pPr>
        <w:jc w:val="left"/>
        <w:rPr>
          <w:rFonts w:hint="eastAsia"/>
          <w:b/>
          <w:bCs/>
          <w:sz w:val="96"/>
          <w:szCs w:val="144"/>
          <w:lang w:val="en-US" w:eastAsia="zh-CN"/>
        </w:rPr>
      </w:pPr>
    </w:p>
    <w:p w14:paraId="064F4395">
      <w:pPr>
        <w:ind w:firstLine="1600" w:firstLineChars="400"/>
        <w:jc w:val="left"/>
        <w:rPr>
          <w:rFonts w:hint="default"/>
          <w:b w:val="0"/>
          <w:bCs w:val="0"/>
          <w:sz w:val="40"/>
          <w:szCs w:val="48"/>
          <w:u w:val="single"/>
          <w:lang w:val="en-US" w:eastAsia="zh-CN"/>
        </w:rPr>
      </w:pPr>
      <w:r>
        <w:rPr>
          <w:rFonts w:hint="eastAsia"/>
          <w:b w:val="0"/>
          <w:bCs w:val="0"/>
          <w:sz w:val="40"/>
          <w:szCs w:val="48"/>
          <w:lang w:val="en-US" w:eastAsia="zh-CN"/>
        </w:rPr>
        <w:t>课程编号：</w:t>
      </w:r>
      <w:r>
        <w:rPr>
          <w:rFonts w:hint="eastAsia"/>
          <w:b w:val="0"/>
          <w:bCs w:val="0"/>
          <w:sz w:val="40"/>
          <w:szCs w:val="48"/>
          <w:u w:val="single"/>
          <w:lang w:val="en-US" w:eastAsia="zh-CN"/>
        </w:rPr>
        <w:t xml:space="preserve">      B1302760     </w:t>
      </w:r>
    </w:p>
    <w:p w14:paraId="74A0768D">
      <w:pPr>
        <w:ind w:firstLine="1600" w:firstLineChars="400"/>
        <w:jc w:val="left"/>
        <w:rPr>
          <w:rFonts w:hint="eastAsia"/>
          <w:b w:val="0"/>
          <w:bCs w:val="0"/>
          <w:sz w:val="40"/>
          <w:szCs w:val="48"/>
          <w:u w:val="single"/>
          <w:lang w:val="en-US" w:eastAsia="zh-CN"/>
        </w:rPr>
      </w:pPr>
      <w:r>
        <w:rPr>
          <w:rFonts w:hint="eastAsia"/>
          <w:b w:val="0"/>
          <w:bCs w:val="0"/>
          <w:sz w:val="40"/>
          <w:szCs w:val="48"/>
          <w:lang w:val="en-US" w:eastAsia="zh-CN"/>
        </w:rPr>
        <w:t>课程名称：</w:t>
      </w:r>
      <w:r>
        <w:rPr>
          <w:rFonts w:hint="eastAsia"/>
          <w:b w:val="0"/>
          <w:bCs w:val="0"/>
          <w:sz w:val="40"/>
          <w:szCs w:val="48"/>
          <w:u w:val="single"/>
          <w:lang w:val="en-US" w:eastAsia="zh-CN"/>
        </w:rPr>
        <w:t xml:space="preserve">     大数据系统  </w:t>
      </w:r>
      <w:bookmarkStart w:id="0" w:name="_GoBack"/>
      <w:bookmarkEnd w:id="0"/>
      <w:r>
        <w:rPr>
          <w:rFonts w:hint="eastAsia"/>
          <w:b w:val="0"/>
          <w:bCs w:val="0"/>
          <w:sz w:val="40"/>
          <w:szCs w:val="48"/>
          <w:u w:val="single"/>
          <w:lang w:val="en-US" w:eastAsia="zh-CN"/>
        </w:rPr>
        <w:t xml:space="preserve">  </w:t>
      </w:r>
    </w:p>
    <w:p w14:paraId="51FB2220">
      <w:pPr>
        <w:ind w:firstLine="1600" w:firstLineChars="400"/>
        <w:jc w:val="left"/>
        <w:rPr>
          <w:rFonts w:hint="default"/>
          <w:b w:val="0"/>
          <w:bCs w:val="0"/>
          <w:sz w:val="40"/>
          <w:szCs w:val="48"/>
          <w:u w:val="single"/>
          <w:lang w:val="en-US" w:eastAsia="zh-CN"/>
        </w:rPr>
      </w:pPr>
      <w:r>
        <w:rPr>
          <w:rFonts w:hint="eastAsia"/>
          <w:b w:val="0"/>
          <w:bCs w:val="0"/>
          <w:sz w:val="40"/>
          <w:szCs w:val="48"/>
          <w:u w:val="none"/>
          <w:lang w:val="en-US" w:eastAsia="zh-CN"/>
        </w:rPr>
        <w:t>授课教师：</w:t>
      </w:r>
      <w:r>
        <w:rPr>
          <w:rFonts w:hint="eastAsia"/>
          <w:b w:val="0"/>
          <w:bCs w:val="0"/>
          <w:sz w:val="40"/>
          <w:szCs w:val="48"/>
          <w:u w:val="single"/>
          <w:lang w:val="en-US" w:eastAsia="zh-CN"/>
        </w:rPr>
        <w:t xml:space="preserve">     王会举        </w:t>
      </w:r>
    </w:p>
    <w:p w14:paraId="2CE62C30">
      <w:pPr>
        <w:ind w:firstLine="1600" w:firstLineChars="400"/>
        <w:jc w:val="left"/>
        <w:rPr>
          <w:rFonts w:hint="default"/>
          <w:b w:val="0"/>
          <w:bCs w:val="0"/>
          <w:sz w:val="40"/>
          <w:szCs w:val="48"/>
          <w:u w:val="single"/>
          <w:lang w:val="en-US" w:eastAsia="zh-CN"/>
        </w:rPr>
      </w:pPr>
      <w:r>
        <w:rPr>
          <w:rFonts w:hint="eastAsia"/>
          <w:b w:val="0"/>
          <w:bCs w:val="0"/>
          <w:sz w:val="40"/>
          <w:szCs w:val="48"/>
          <w:lang w:val="en-US" w:eastAsia="zh-CN"/>
        </w:rPr>
        <w:t>学生学号：</w:t>
      </w:r>
      <w:r>
        <w:rPr>
          <w:rFonts w:hint="eastAsia"/>
          <w:b w:val="0"/>
          <w:bCs w:val="0"/>
          <w:sz w:val="40"/>
          <w:szCs w:val="48"/>
          <w:u w:val="single"/>
          <w:lang w:val="en-US" w:eastAsia="zh-CN"/>
        </w:rPr>
        <w:t xml:space="preserve">                   </w:t>
      </w:r>
    </w:p>
    <w:p w14:paraId="41E3F2C5">
      <w:pPr>
        <w:ind w:firstLine="1600" w:firstLineChars="400"/>
        <w:jc w:val="left"/>
        <w:rPr>
          <w:rFonts w:hint="default"/>
          <w:b w:val="0"/>
          <w:bCs w:val="0"/>
          <w:sz w:val="40"/>
          <w:szCs w:val="48"/>
          <w:u w:val="single"/>
          <w:lang w:val="en-US" w:eastAsia="zh-CN"/>
        </w:rPr>
      </w:pPr>
      <w:r>
        <w:rPr>
          <w:rFonts w:hint="eastAsia"/>
          <w:b w:val="0"/>
          <w:bCs w:val="0"/>
          <w:sz w:val="40"/>
          <w:szCs w:val="48"/>
          <w:lang w:val="en-US" w:eastAsia="zh-CN"/>
        </w:rPr>
        <w:t>学生姓名：</w:t>
      </w:r>
      <w:r>
        <w:rPr>
          <w:rFonts w:hint="eastAsia"/>
          <w:b w:val="0"/>
          <w:bCs w:val="0"/>
          <w:sz w:val="40"/>
          <w:szCs w:val="48"/>
          <w:u w:val="single"/>
          <w:lang w:val="en-US" w:eastAsia="zh-CN"/>
        </w:rPr>
        <w:t xml:space="preserve">                   </w:t>
      </w:r>
    </w:p>
    <w:p w14:paraId="64348EB9">
      <w:pPr>
        <w:widowControl/>
        <w:jc w:val="center"/>
        <w:rPr>
          <w:rFonts w:hint="eastAsia"/>
          <w:b/>
          <w:bCs/>
          <w:sz w:val="32"/>
          <w:szCs w:val="32"/>
        </w:rPr>
        <w:sectPr>
          <w:pgSz w:w="11906" w:h="16838"/>
          <w:pgMar w:top="1440" w:right="1800" w:bottom="1440" w:left="1800" w:header="851" w:footer="992" w:gutter="0"/>
          <w:cols w:space="425" w:num="1"/>
          <w:docGrid w:type="lines" w:linePitch="312" w:charSpace="0"/>
        </w:sectPr>
      </w:pPr>
    </w:p>
    <w:p w14:paraId="1BBE04CD">
      <w:pPr>
        <w:widowControl/>
        <w:jc w:val="center"/>
        <w:rPr>
          <w:rFonts w:hint="eastAsia"/>
          <w:b/>
          <w:bCs/>
          <w:sz w:val="36"/>
          <w:szCs w:val="36"/>
        </w:rPr>
      </w:pPr>
      <w:r>
        <w:rPr>
          <w:rFonts w:hint="eastAsia"/>
          <w:b/>
          <w:bCs/>
          <w:sz w:val="36"/>
          <w:szCs w:val="36"/>
        </w:rPr>
        <w:t>《B1302760-</w:t>
      </w:r>
      <w:r>
        <w:rPr>
          <w:rFonts w:hint="eastAsia"/>
          <w:b/>
          <w:bCs/>
          <w:sz w:val="36"/>
          <w:szCs w:val="36"/>
          <w:lang w:val="en-US" w:eastAsia="zh-CN"/>
        </w:rPr>
        <w:t>大数据系统</w:t>
      </w:r>
      <w:r>
        <w:rPr>
          <w:rFonts w:hint="eastAsia"/>
          <w:b/>
          <w:bCs/>
          <w:sz w:val="36"/>
          <w:szCs w:val="36"/>
        </w:rPr>
        <w:t>》</w:t>
      </w:r>
    </w:p>
    <w:p w14:paraId="624B38BB">
      <w:pPr>
        <w:widowControl/>
        <w:jc w:val="center"/>
        <w:rPr>
          <w:b/>
          <w:bCs/>
          <w:sz w:val="36"/>
          <w:szCs w:val="36"/>
        </w:rPr>
      </w:pPr>
      <w:r>
        <w:rPr>
          <w:rFonts w:hint="eastAsia"/>
          <w:b/>
          <w:bCs/>
          <w:sz w:val="36"/>
          <w:szCs w:val="36"/>
        </w:rPr>
        <w:t>课程大作业评分标准</w:t>
      </w:r>
    </w:p>
    <w:p w14:paraId="7ACC3F0A">
      <w:pPr>
        <w:widowControl/>
        <w:jc w:val="center"/>
        <w:rPr>
          <w:b/>
          <w:bCs/>
          <w:szCs w:val="24"/>
        </w:rPr>
      </w:pPr>
    </w:p>
    <w:p w14:paraId="089B4C10">
      <w:pPr>
        <w:widowControl/>
        <w:jc w:val="center"/>
        <w:rPr>
          <w:b/>
          <w:bCs/>
          <w:szCs w:val="24"/>
        </w:rPr>
      </w:pPr>
    </w:p>
    <w:p w14:paraId="0E5D15EC">
      <w:pPr>
        <w:widowControl/>
        <w:jc w:val="center"/>
        <w:rPr>
          <w:b/>
          <w:bCs/>
          <w:szCs w:val="24"/>
        </w:rPr>
      </w:pPr>
    </w:p>
    <w:p w14:paraId="48C1A4CE">
      <w:pPr>
        <w:widowControl/>
        <w:jc w:val="center"/>
        <w:rPr>
          <w:rFonts w:hint="eastAsia"/>
          <w:b/>
          <w:bCs/>
          <w:szCs w:val="24"/>
        </w:rPr>
      </w:pPr>
      <w:r>
        <w:rPr>
          <w:rFonts w:hint="eastAsia"/>
          <w:b/>
          <w:bCs/>
          <w:szCs w:val="24"/>
        </w:rPr>
        <w:t>课程大作业评分标准</w:t>
      </w:r>
    </w:p>
    <w:tbl>
      <w:tblPr>
        <w:tblStyle w:val="3"/>
        <w:tblW w:w="82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2336"/>
        <w:gridCol w:w="3014"/>
      </w:tblGrid>
      <w:tr w14:paraId="613744D0">
        <w:trPr>
          <w:jc w:val="center"/>
        </w:trPr>
        <w:tc>
          <w:tcPr>
            <w:tcW w:w="2904" w:type="dxa"/>
            <w:tcBorders>
              <w:top w:val="single" w:color="auto" w:sz="4" w:space="0"/>
              <w:left w:val="single" w:color="auto" w:sz="4" w:space="0"/>
              <w:bottom w:val="single" w:color="auto" w:sz="4" w:space="0"/>
              <w:right w:val="single" w:color="auto" w:sz="4" w:space="0"/>
            </w:tcBorders>
            <w:shd w:val="clear" w:color="auto" w:fill="auto"/>
          </w:tcPr>
          <w:p w14:paraId="0A23D1A7">
            <w:pPr>
              <w:jc w:val="center"/>
              <w:rPr>
                <w:rFonts w:ascii="宋体" w:hAnsi="宋体" w:cs="宋体"/>
                <w:szCs w:val="24"/>
              </w:rPr>
            </w:pPr>
            <w:r>
              <w:rPr>
                <w:rFonts w:hint="eastAsia" w:ascii="宋体" w:hAnsi="宋体" w:cs="宋体"/>
                <w:szCs w:val="24"/>
                <w:lang w:bidi="ar"/>
              </w:rPr>
              <w:t>评分项</w:t>
            </w:r>
          </w:p>
        </w:tc>
        <w:tc>
          <w:tcPr>
            <w:tcW w:w="2336" w:type="dxa"/>
            <w:tcBorders>
              <w:top w:val="single" w:color="auto" w:sz="4" w:space="0"/>
              <w:left w:val="single" w:color="auto" w:sz="4" w:space="0"/>
              <w:bottom w:val="single" w:color="auto" w:sz="4" w:space="0"/>
              <w:right w:val="single" w:color="auto" w:sz="4" w:space="0"/>
            </w:tcBorders>
            <w:shd w:val="clear" w:color="auto" w:fill="auto"/>
          </w:tcPr>
          <w:p w14:paraId="27BE26F6">
            <w:pPr>
              <w:jc w:val="center"/>
              <w:rPr>
                <w:rFonts w:ascii="宋体" w:hAnsi="宋体" w:cs="宋体"/>
                <w:szCs w:val="24"/>
              </w:rPr>
            </w:pPr>
            <w:r>
              <w:rPr>
                <w:rFonts w:hint="eastAsia" w:ascii="宋体" w:hAnsi="宋体" w:cs="宋体"/>
                <w:szCs w:val="24"/>
                <w:lang w:bidi="ar"/>
              </w:rPr>
              <w:t>分值</w:t>
            </w:r>
          </w:p>
        </w:tc>
        <w:tc>
          <w:tcPr>
            <w:tcW w:w="3014" w:type="dxa"/>
            <w:tcBorders>
              <w:top w:val="single" w:color="auto" w:sz="4" w:space="0"/>
              <w:left w:val="single" w:color="auto" w:sz="4" w:space="0"/>
              <w:bottom w:val="single" w:color="auto" w:sz="4" w:space="0"/>
              <w:right w:val="single" w:color="auto" w:sz="4" w:space="0"/>
            </w:tcBorders>
            <w:shd w:val="clear" w:color="auto" w:fill="auto"/>
          </w:tcPr>
          <w:p w14:paraId="11328FBD">
            <w:pPr>
              <w:jc w:val="center"/>
              <w:rPr>
                <w:rFonts w:ascii="宋体" w:hAnsi="宋体" w:cs="宋体"/>
                <w:szCs w:val="24"/>
              </w:rPr>
            </w:pPr>
            <w:r>
              <w:rPr>
                <w:rFonts w:hint="eastAsia" w:ascii="宋体" w:hAnsi="宋体" w:cs="宋体"/>
                <w:szCs w:val="24"/>
                <w:lang w:bidi="ar"/>
              </w:rPr>
              <w:t>说明</w:t>
            </w:r>
          </w:p>
        </w:tc>
      </w:tr>
      <w:tr w14:paraId="560BF910">
        <w:trPr>
          <w:jc w:val="center"/>
        </w:trPr>
        <w:tc>
          <w:tcPr>
            <w:tcW w:w="2904" w:type="dxa"/>
            <w:tcBorders>
              <w:top w:val="single" w:color="auto" w:sz="4" w:space="0"/>
              <w:left w:val="single" w:color="auto" w:sz="4" w:space="0"/>
              <w:bottom w:val="single" w:color="auto" w:sz="4" w:space="0"/>
              <w:right w:val="single" w:color="auto" w:sz="4" w:space="0"/>
            </w:tcBorders>
            <w:shd w:val="clear" w:color="auto" w:fill="auto"/>
            <w:vAlign w:val="center"/>
          </w:tcPr>
          <w:p w14:paraId="21CB4617">
            <w:pPr>
              <w:jc w:val="center"/>
              <w:rPr>
                <w:rFonts w:ascii="宋体" w:hAnsi="宋体" w:cs="宋体"/>
                <w:szCs w:val="24"/>
              </w:rPr>
            </w:pPr>
            <w:r>
              <w:rPr>
                <w:rFonts w:hint="eastAsia" w:ascii="宋体" w:hAnsi="宋体" w:cs="宋体"/>
                <w:szCs w:val="24"/>
                <w:lang w:bidi="ar"/>
              </w:rPr>
              <w:t>研究设计合理性</w:t>
            </w:r>
          </w:p>
        </w:tc>
        <w:tc>
          <w:tcPr>
            <w:tcW w:w="2336" w:type="dxa"/>
            <w:tcBorders>
              <w:top w:val="single" w:color="auto" w:sz="4" w:space="0"/>
              <w:left w:val="single" w:color="auto" w:sz="4" w:space="0"/>
              <w:bottom w:val="single" w:color="auto" w:sz="4" w:space="0"/>
              <w:right w:val="single" w:color="auto" w:sz="4" w:space="0"/>
            </w:tcBorders>
            <w:shd w:val="clear" w:color="auto" w:fill="auto"/>
            <w:vAlign w:val="center"/>
          </w:tcPr>
          <w:p w14:paraId="003FDACA">
            <w:pPr>
              <w:jc w:val="center"/>
              <w:rPr>
                <w:rFonts w:ascii="宋体" w:hAnsi="宋体" w:cs="宋体"/>
                <w:szCs w:val="24"/>
              </w:rPr>
            </w:pPr>
            <w:r>
              <w:rPr>
                <w:rFonts w:hint="eastAsia" w:ascii="宋体" w:hAnsi="宋体" w:cs="宋体"/>
                <w:szCs w:val="24"/>
                <w:lang w:bidi="ar"/>
              </w:rPr>
              <w:t>0-10</w:t>
            </w:r>
          </w:p>
        </w:tc>
        <w:tc>
          <w:tcPr>
            <w:tcW w:w="3014" w:type="dxa"/>
            <w:tcBorders>
              <w:top w:val="single" w:color="auto" w:sz="4" w:space="0"/>
              <w:left w:val="single" w:color="auto" w:sz="4" w:space="0"/>
              <w:bottom w:val="single" w:color="auto" w:sz="4" w:space="0"/>
              <w:right w:val="single" w:color="auto" w:sz="4" w:space="0"/>
            </w:tcBorders>
            <w:shd w:val="clear" w:color="auto" w:fill="auto"/>
            <w:vAlign w:val="center"/>
          </w:tcPr>
          <w:p w14:paraId="22D3F070">
            <w:pPr>
              <w:jc w:val="center"/>
              <w:rPr>
                <w:rFonts w:ascii="宋体" w:hAnsi="宋体" w:cs="宋体"/>
                <w:szCs w:val="24"/>
              </w:rPr>
            </w:pPr>
            <w:r>
              <w:rPr>
                <w:rFonts w:hint="eastAsia" w:ascii="宋体" w:hAnsi="宋体" w:cs="宋体"/>
                <w:szCs w:val="24"/>
                <w:lang w:bidi="ar"/>
              </w:rPr>
              <w:t>设计合理性</w:t>
            </w:r>
          </w:p>
        </w:tc>
      </w:tr>
      <w:tr w14:paraId="527355ED">
        <w:trPr>
          <w:jc w:val="center"/>
        </w:trPr>
        <w:tc>
          <w:tcPr>
            <w:tcW w:w="2904" w:type="dxa"/>
            <w:tcBorders>
              <w:top w:val="single" w:color="auto" w:sz="4" w:space="0"/>
              <w:left w:val="single" w:color="auto" w:sz="4" w:space="0"/>
              <w:bottom w:val="single" w:color="auto" w:sz="4" w:space="0"/>
              <w:right w:val="single" w:color="auto" w:sz="4" w:space="0"/>
            </w:tcBorders>
            <w:shd w:val="clear" w:color="auto" w:fill="auto"/>
            <w:vAlign w:val="center"/>
          </w:tcPr>
          <w:p w14:paraId="4D5A4FD8">
            <w:pPr>
              <w:jc w:val="center"/>
              <w:rPr>
                <w:rFonts w:ascii="宋体" w:hAnsi="宋体" w:cs="宋体"/>
                <w:szCs w:val="24"/>
              </w:rPr>
            </w:pPr>
            <w:r>
              <w:rPr>
                <w:rFonts w:hint="eastAsia" w:ascii="宋体" w:hAnsi="宋体" w:cs="宋体"/>
                <w:szCs w:val="24"/>
                <w:lang w:bidi="ar"/>
              </w:rPr>
              <w:t>技术实现深度</w:t>
            </w:r>
          </w:p>
        </w:tc>
        <w:tc>
          <w:tcPr>
            <w:tcW w:w="2336" w:type="dxa"/>
            <w:tcBorders>
              <w:top w:val="single" w:color="auto" w:sz="4" w:space="0"/>
              <w:left w:val="single" w:color="auto" w:sz="4" w:space="0"/>
              <w:bottom w:val="single" w:color="auto" w:sz="4" w:space="0"/>
              <w:right w:val="single" w:color="auto" w:sz="4" w:space="0"/>
            </w:tcBorders>
            <w:shd w:val="clear" w:color="auto" w:fill="auto"/>
            <w:vAlign w:val="center"/>
          </w:tcPr>
          <w:p w14:paraId="11686380">
            <w:pPr>
              <w:jc w:val="center"/>
              <w:rPr>
                <w:rFonts w:ascii="宋体" w:hAnsi="宋体" w:cs="宋体"/>
                <w:szCs w:val="24"/>
              </w:rPr>
            </w:pPr>
            <w:r>
              <w:rPr>
                <w:rFonts w:hint="eastAsia" w:ascii="宋体" w:hAnsi="宋体" w:cs="宋体"/>
                <w:szCs w:val="24"/>
                <w:lang w:bidi="ar"/>
              </w:rPr>
              <w:t>0-30</w:t>
            </w:r>
          </w:p>
        </w:tc>
        <w:tc>
          <w:tcPr>
            <w:tcW w:w="3014" w:type="dxa"/>
            <w:tcBorders>
              <w:top w:val="single" w:color="auto" w:sz="4" w:space="0"/>
              <w:left w:val="single" w:color="auto" w:sz="4" w:space="0"/>
              <w:bottom w:val="single" w:color="auto" w:sz="4" w:space="0"/>
              <w:right w:val="single" w:color="auto" w:sz="4" w:space="0"/>
            </w:tcBorders>
            <w:shd w:val="clear" w:color="auto" w:fill="auto"/>
            <w:vAlign w:val="center"/>
          </w:tcPr>
          <w:p w14:paraId="64D84028">
            <w:pPr>
              <w:jc w:val="center"/>
              <w:rPr>
                <w:rFonts w:ascii="宋体" w:hAnsi="宋体" w:cs="宋体"/>
                <w:szCs w:val="24"/>
              </w:rPr>
            </w:pPr>
            <w:r>
              <w:rPr>
                <w:rFonts w:hint="eastAsia" w:ascii="宋体" w:hAnsi="宋体" w:cs="宋体"/>
                <w:szCs w:val="24"/>
                <w:lang w:bidi="ar"/>
              </w:rPr>
              <w:t>程序实现的技术难度，衡量学生的技术掌握深度</w:t>
            </w:r>
          </w:p>
        </w:tc>
      </w:tr>
      <w:tr w14:paraId="6E61FE53">
        <w:trPr>
          <w:jc w:val="center"/>
        </w:trPr>
        <w:tc>
          <w:tcPr>
            <w:tcW w:w="2904" w:type="dxa"/>
            <w:tcBorders>
              <w:top w:val="single" w:color="auto" w:sz="4" w:space="0"/>
              <w:left w:val="single" w:color="auto" w:sz="4" w:space="0"/>
              <w:bottom w:val="single" w:color="auto" w:sz="4" w:space="0"/>
              <w:right w:val="single" w:color="auto" w:sz="4" w:space="0"/>
            </w:tcBorders>
            <w:shd w:val="clear" w:color="auto" w:fill="auto"/>
            <w:vAlign w:val="center"/>
          </w:tcPr>
          <w:p w14:paraId="1557B696">
            <w:pPr>
              <w:jc w:val="center"/>
              <w:rPr>
                <w:rFonts w:ascii="宋体" w:hAnsi="宋体" w:cs="宋体"/>
                <w:szCs w:val="24"/>
              </w:rPr>
            </w:pPr>
            <w:r>
              <w:rPr>
                <w:rFonts w:hint="eastAsia" w:ascii="宋体" w:hAnsi="宋体" w:cs="宋体"/>
                <w:szCs w:val="24"/>
                <w:lang w:bidi="ar"/>
              </w:rPr>
              <w:t>技术实现全面性</w:t>
            </w:r>
          </w:p>
        </w:tc>
        <w:tc>
          <w:tcPr>
            <w:tcW w:w="2336" w:type="dxa"/>
            <w:tcBorders>
              <w:top w:val="single" w:color="auto" w:sz="4" w:space="0"/>
              <w:left w:val="single" w:color="auto" w:sz="4" w:space="0"/>
              <w:bottom w:val="single" w:color="auto" w:sz="4" w:space="0"/>
              <w:right w:val="single" w:color="auto" w:sz="4" w:space="0"/>
            </w:tcBorders>
            <w:shd w:val="clear" w:color="auto" w:fill="auto"/>
            <w:vAlign w:val="center"/>
          </w:tcPr>
          <w:p w14:paraId="23065A12">
            <w:pPr>
              <w:jc w:val="center"/>
              <w:rPr>
                <w:rFonts w:ascii="宋体" w:hAnsi="宋体" w:cs="宋体"/>
                <w:szCs w:val="24"/>
              </w:rPr>
            </w:pPr>
            <w:r>
              <w:rPr>
                <w:rFonts w:hint="eastAsia" w:ascii="宋体" w:hAnsi="宋体" w:cs="宋体"/>
                <w:szCs w:val="24"/>
                <w:lang w:bidi="ar"/>
              </w:rPr>
              <w:t>0-30</w:t>
            </w:r>
          </w:p>
        </w:tc>
        <w:tc>
          <w:tcPr>
            <w:tcW w:w="3014" w:type="dxa"/>
            <w:tcBorders>
              <w:top w:val="single" w:color="auto" w:sz="4" w:space="0"/>
              <w:left w:val="single" w:color="auto" w:sz="4" w:space="0"/>
              <w:bottom w:val="single" w:color="auto" w:sz="4" w:space="0"/>
              <w:right w:val="single" w:color="auto" w:sz="4" w:space="0"/>
            </w:tcBorders>
            <w:shd w:val="clear" w:color="auto" w:fill="auto"/>
            <w:vAlign w:val="center"/>
          </w:tcPr>
          <w:p w14:paraId="77862738">
            <w:pPr>
              <w:jc w:val="center"/>
              <w:rPr>
                <w:rFonts w:ascii="宋体" w:hAnsi="宋体" w:cs="宋体"/>
                <w:szCs w:val="24"/>
              </w:rPr>
            </w:pPr>
            <w:r>
              <w:rPr>
                <w:rFonts w:hint="eastAsia" w:ascii="宋体" w:hAnsi="宋体" w:cs="宋体"/>
                <w:szCs w:val="24"/>
                <w:lang w:bidi="ar"/>
              </w:rPr>
              <w:t>衡量Spark编程技术全面性</w:t>
            </w:r>
          </w:p>
        </w:tc>
      </w:tr>
      <w:tr w14:paraId="16D394EE">
        <w:trPr>
          <w:jc w:val="center"/>
        </w:trPr>
        <w:tc>
          <w:tcPr>
            <w:tcW w:w="2904" w:type="dxa"/>
            <w:tcBorders>
              <w:top w:val="single" w:color="auto" w:sz="4" w:space="0"/>
              <w:left w:val="single" w:color="auto" w:sz="4" w:space="0"/>
              <w:bottom w:val="single" w:color="auto" w:sz="4" w:space="0"/>
              <w:right w:val="single" w:color="auto" w:sz="4" w:space="0"/>
            </w:tcBorders>
            <w:shd w:val="clear" w:color="auto" w:fill="auto"/>
            <w:vAlign w:val="center"/>
          </w:tcPr>
          <w:p w14:paraId="1076222E">
            <w:pPr>
              <w:jc w:val="center"/>
              <w:rPr>
                <w:rFonts w:ascii="宋体" w:hAnsi="宋体" w:cs="宋体"/>
                <w:szCs w:val="24"/>
              </w:rPr>
            </w:pPr>
            <w:r>
              <w:rPr>
                <w:rFonts w:hint="eastAsia" w:ascii="宋体" w:hAnsi="宋体" w:cs="宋体"/>
                <w:szCs w:val="24"/>
                <w:lang w:bidi="ar"/>
              </w:rPr>
              <w:t>程序执行结果的正确性</w:t>
            </w:r>
          </w:p>
        </w:tc>
        <w:tc>
          <w:tcPr>
            <w:tcW w:w="2336" w:type="dxa"/>
            <w:tcBorders>
              <w:top w:val="single" w:color="auto" w:sz="4" w:space="0"/>
              <w:left w:val="single" w:color="auto" w:sz="4" w:space="0"/>
              <w:bottom w:val="single" w:color="auto" w:sz="4" w:space="0"/>
              <w:right w:val="single" w:color="auto" w:sz="4" w:space="0"/>
            </w:tcBorders>
            <w:shd w:val="clear" w:color="auto" w:fill="auto"/>
            <w:vAlign w:val="center"/>
          </w:tcPr>
          <w:p w14:paraId="3B77A644">
            <w:pPr>
              <w:jc w:val="center"/>
              <w:rPr>
                <w:rFonts w:ascii="宋体" w:hAnsi="宋体" w:cs="宋体"/>
                <w:szCs w:val="24"/>
              </w:rPr>
            </w:pPr>
            <w:r>
              <w:rPr>
                <w:rFonts w:hint="eastAsia" w:ascii="宋体" w:hAnsi="宋体" w:cs="宋体"/>
                <w:szCs w:val="24"/>
                <w:lang w:bidi="ar"/>
              </w:rPr>
              <w:t>0-20</w:t>
            </w:r>
          </w:p>
        </w:tc>
        <w:tc>
          <w:tcPr>
            <w:tcW w:w="3014" w:type="dxa"/>
            <w:tcBorders>
              <w:top w:val="single" w:color="auto" w:sz="4" w:space="0"/>
              <w:left w:val="single" w:color="auto" w:sz="4" w:space="0"/>
              <w:bottom w:val="single" w:color="auto" w:sz="4" w:space="0"/>
              <w:right w:val="single" w:color="auto" w:sz="4" w:space="0"/>
            </w:tcBorders>
            <w:shd w:val="clear" w:color="auto" w:fill="auto"/>
            <w:vAlign w:val="center"/>
          </w:tcPr>
          <w:p w14:paraId="0F6CC8EA">
            <w:pPr>
              <w:jc w:val="center"/>
              <w:rPr>
                <w:rFonts w:ascii="宋体" w:hAnsi="宋体" w:cs="宋体"/>
                <w:szCs w:val="24"/>
              </w:rPr>
            </w:pPr>
            <w:r>
              <w:rPr>
                <w:rFonts w:hint="eastAsia" w:ascii="宋体" w:hAnsi="宋体" w:cs="宋体"/>
                <w:szCs w:val="24"/>
                <w:lang w:bidi="ar"/>
              </w:rPr>
              <w:t>衡量技术报告的正确性</w:t>
            </w:r>
          </w:p>
        </w:tc>
      </w:tr>
      <w:tr w14:paraId="584E29EE">
        <w:trPr>
          <w:jc w:val="center"/>
        </w:trPr>
        <w:tc>
          <w:tcPr>
            <w:tcW w:w="2904" w:type="dxa"/>
            <w:tcBorders>
              <w:top w:val="single" w:color="auto" w:sz="4" w:space="0"/>
              <w:left w:val="single" w:color="auto" w:sz="4" w:space="0"/>
              <w:bottom w:val="single" w:color="auto" w:sz="4" w:space="0"/>
              <w:right w:val="single" w:color="auto" w:sz="4" w:space="0"/>
            </w:tcBorders>
            <w:shd w:val="clear" w:color="auto" w:fill="auto"/>
            <w:vAlign w:val="center"/>
          </w:tcPr>
          <w:p w14:paraId="2216DA7B">
            <w:pPr>
              <w:jc w:val="center"/>
              <w:rPr>
                <w:rFonts w:ascii="宋体" w:hAnsi="宋体" w:cs="宋体"/>
                <w:szCs w:val="24"/>
              </w:rPr>
            </w:pPr>
            <w:r>
              <w:rPr>
                <w:rFonts w:hint="eastAsia" w:ascii="宋体" w:hAnsi="宋体" w:cs="宋体"/>
                <w:szCs w:val="24"/>
                <w:lang w:bidi="ar"/>
              </w:rPr>
              <w:t>文档规范性</w:t>
            </w:r>
          </w:p>
        </w:tc>
        <w:tc>
          <w:tcPr>
            <w:tcW w:w="2336" w:type="dxa"/>
            <w:tcBorders>
              <w:top w:val="single" w:color="auto" w:sz="4" w:space="0"/>
              <w:left w:val="single" w:color="auto" w:sz="4" w:space="0"/>
              <w:bottom w:val="single" w:color="auto" w:sz="4" w:space="0"/>
              <w:right w:val="single" w:color="auto" w:sz="4" w:space="0"/>
            </w:tcBorders>
            <w:shd w:val="clear" w:color="auto" w:fill="auto"/>
            <w:vAlign w:val="center"/>
          </w:tcPr>
          <w:p w14:paraId="2F432145">
            <w:pPr>
              <w:jc w:val="center"/>
              <w:rPr>
                <w:rFonts w:ascii="宋体" w:hAnsi="宋体" w:cs="宋体"/>
                <w:szCs w:val="24"/>
              </w:rPr>
            </w:pPr>
            <w:r>
              <w:rPr>
                <w:rFonts w:hint="eastAsia" w:ascii="宋体" w:hAnsi="宋体" w:cs="宋体"/>
                <w:szCs w:val="24"/>
                <w:lang w:bidi="ar"/>
              </w:rPr>
              <w:t>0-10</w:t>
            </w:r>
          </w:p>
        </w:tc>
        <w:tc>
          <w:tcPr>
            <w:tcW w:w="3014" w:type="dxa"/>
            <w:tcBorders>
              <w:top w:val="single" w:color="auto" w:sz="4" w:space="0"/>
              <w:left w:val="single" w:color="auto" w:sz="4" w:space="0"/>
              <w:bottom w:val="single" w:color="auto" w:sz="4" w:space="0"/>
              <w:right w:val="single" w:color="auto" w:sz="4" w:space="0"/>
            </w:tcBorders>
            <w:shd w:val="clear" w:color="auto" w:fill="auto"/>
            <w:vAlign w:val="center"/>
          </w:tcPr>
          <w:p w14:paraId="03D2DFBE">
            <w:pPr>
              <w:jc w:val="center"/>
              <w:rPr>
                <w:rFonts w:ascii="宋体" w:hAnsi="宋体" w:cs="宋体"/>
                <w:szCs w:val="24"/>
              </w:rPr>
            </w:pPr>
            <w:r>
              <w:rPr>
                <w:rFonts w:hint="eastAsia" w:ascii="宋体" w:hAnsi="宋体" w:cs="宋体"/>
                <w:szCs w:val="24"/>
                <w:lang w:bidi="ar"/>
              </w:rPr>
              <w:t>衡量文档可读性</w:t>
            </w:r>
          </w:p>
        </w:tc>
      </w:tr>
    </w:tbl>
    <w:p>
      <w:r>
        <w:br w:type="page"/>
      </w:r>
    </w:p>
    <w:p>
      <w:pPr>
        <w:jc w:val="center"/>
      </w:pPr>
      <w:r>
        <w:rPr>
          <w:rFonts w:ascii="黑体" w:hAnsi="黑体" w:eastAsia="黑体"/>
          <w:b/>
          <w:sz w:val="44"/>
        </w:rPr>
        <w:t>基于图神经网络的城市交通速度预测</w:t>
      </w:r>
    </w:p>
    <w:p>
      <w:pPr>
        <w:jc w:val="center"/>
      </w:pPr>
      <w:r>
        <w:rPr>
          <w:rFonts w:ascii="楷体" w:hAnsi="楷体" w:eastAsia="楷体"/>
          <w:b w:val="0"/>
          <w:sz w:val="30"/>
        </w:rPr>
        <w:t>——以 A3T-GCN 在 METR-LA 路网上的多步预测为例</w:t>
      </w:r>
    </w:p>
    <w:p/>
    <w:p>
      <w:pPr>
        <w:keepNext/>
        <w:spacing w:before="160" w:after="120"/>
        <w:outlineLvl w:val="0"/>
      </w:pPr>
      <w:r>
        <w:rPr>
          <w:rFonts w:ascii="黑体" w:hAnsi="黑体" w:eastAsia="黑体"/>
          <w:b/>
          <w:sz w:val="30"/>
        </w:rPr>
        <w:t>摘要</w:t>
      </w:r>
    </w:p>
    <w:p>
      <w:pPr>
        <w:spacing w:line="360" w:lineRule="auto"/>
        <w:ind w:firstLine="480"/>
        <w:jc w:val="both"/>
      </w:pPr>
      <w:r>
        <w:rPr>
          <w:rFonts w:ascii="宋体" w:hAnsi="宋体" w:eastAsia="宋体"/>
          <w:b w:val="0"/>
          <w:sz w:val="24"/>
        </w:rPr>
        <w:t>城市交通速度预测是智能交通系统(ITS)的核心任务之一, 对交通诱导、信号优化、出行规划与拥堵治理具有重要意义。交通速度数据在空间上受路网拓扑约束、相邻路段相互影响, 在时间上又表现出明显的趋势性与日内周期性, 是一种典型的时空耦合数据。传统的时间序列方法(如 ARIMA、SVR)难以刻画路网的非欧几里得空间结构, 而仅用卷积神经网络又无法准确表达路段之间的图关系。为此, 本文采用注意力时空图卷积网络A3T-GCN(Attention Temporal Graph Convolutional Network)对城市路网交通速度进行多步预测。该模型以图卷积网络(GCN)聚合相邻传感器信息以捕获空间依赖, 以门控循环单元(GRU)建模交通时序的演化规律, 并引入注意力机制对不同历史时间步赋予不同权重, 从而在全局时序上自适应地聚合关键信息。本文在真实路网数据集 METR-LA 上开展实验, 使用过去 12 个时间步(1 小时)预测未来 12 个时间步(1 小时)的车速。实验结果表明, 模型在测试集上取得归一化 MAE=0.4462、RMSE=0.7494, 还原到真实速度尺度约为 MAE=9.041 mph、RMSE=15.184 mph(MAPE≈18.994%), 验证了时空图神经网络在交通预测任务上的有效性。本文还对数据处理流程、模型结构、训练策略与评估方法进行了系统说明, 并在附录中记录了完整的实验过程、中间结果与实验心得。</w:t>
      </w:r>
    </w:p>
    <w:p>
      <w:pPr>
        <w:keepNext/>
        <w:spacing w:before="160" w:after="120"/>
        <w:outlineLvl w:val="0"/>
      </w:pPr>
      <w:r>
        <w:rPr>
          <w:rFonts w:ascii="黑体" w:hAnsi="黑体" w:eastAsia="黑体"/>
          <w:b/>
          <w:sz w:val="30"/>
        </w:rPr>
        <w:t>关键词</w:t>
      </w:r>
    </w:p>
    <w:p>
      <w:pPr>
        <w:spacing w:line="360" w:lineRule="auto"/>
        <w:jc w:val="both"/>
      </w:pPr>
      <w:r>
        <w:rPr>
          <w:rFonts w:ascii="宋体" w:hAnsi="宋体" w:eastAsia="宋体"/>
          <w:b w:val="0"/>
          <w:sz w:val="24"/>
        </w:rPr>
        <w:t>图神经网络；时空图卷积；A3T-GCN；交通速度预测；METR-LA；注意力机制</w:t>
      </w:r>
    </w:p>
    <w:p>
      <w:r>
        <w:br w:type="page"/>
      </w:r>
    </w:p>
    <w:p>
      <w:pPr>
        <w:jc w:val="center"/>
      </w:pPr>
      <w:r>
        <w:rPr>
          <w:rFonts w:ascii="黑体" w:hAnsi="黑体" w:eastAsia="黑体"/>
          <w:b/>
          <w:sz w:val="36"/>
        </w:rPr>
        <w:t>目录</w:t>
      </w:r>
    </w:p>
    <w:p>
      <w:pPr>
        <w:tabs>
          <w:tab w:pos="8306" w:val="right" w:leader="dot"/>
        </w:tabs>
        <w:spacing w:line="264" w:lineRule="auto" w:after="40"/>
      </w:pPr>
      <w:r>
        <w:rPr>
          <w:rFonts w:ascii="宋体" w:hAnsi="宋体" w:eastAsia="宋体"/>
          <w:b/>
          <w:sz w:val="23"/>
        </w:rPr>
        <w:t>摘要</w:t>
        <w:tab/>
        <w:t>3</w:t>
      </w:r>
    </w:p>
    <w:p>
      <w:pPr>
        <w:tabs>
          <w:tab w:pos="8306" w:val="right" w:leader="dot"/>
        </w:tabs>
        <w:spacing w:line="264" w:lineRule="auto" w:after="40"/>
      </w:pPr>
      <w:r>
        <w:rPr>
          <w:rFonts w:ascii="宋体" w:hAnsi="宋体" w:eastAsia="宋体"/>
          <w:b/>
          <w:sz w:val="23"/>
        </w:rPr>
        <w:t>关键词</w:t>
        <w:tab/>
        <w:t>4</w:t>
      </w:r>
    </w:p>
    <w:p>
      <w:pPr>
        <w:tabs>
          <w:tab w:pos="8306" w:val="right" w:leader="dot"/>
        </w:tabs>
        <w:spacing w:line="264" w:lineRule="auto" w:after="40"/>
      </w:pPr>
      <w:r>
        <w:rPr>
          <w:rFonts w:ascii="宋体" w:hAnsi="宋体" w:eastAsia="宋体"/>
          <w:b/>
          <w:sz w:val="23"/>
        </w:rPr>
        <w:t>1 研究目的</w:t>
        <w:tab/>
        <w:t>6</w:t>
      </w:r>
    </w:p>
    <w:p>
      <w:pPr>
        <w:tabs>
          <w:tab w:pos="8306" w:val="right" w:leader="dot"/>
        </w:tabs>
        <w:spacing w:line="264" w:lineRule="auto" w:after="40"/>
      </w:pPr>
      <w:r>
        <w:rPr>
          <w:rFonts w:ascii="宋体" w:hAnsi="宋体" w:eastAsia="宋体"/>
          <w:b/>
          <w:sz w:val="23"/>
        </w:rPr>
        <w:t>2 数据获取</w:t>
        <w:tab/>
        <w:t>8</w:t>
      </w:r>
    </w:p>
    <w:p>
      <w:pPr>
        <w:tabs>
          <w:tab w:pos="8306" w:val="right" w:leader="dot"/>
        </w:tabs>
        <w:spacing w:line="264" w:lineRule="auto" w:after="40"/>
        <w:ind w:left="360"/>
      </w:pPr>
      <w:r>
        <w:rPr>
          <w:rFonts w:ascii="宋体" w:hAnsi="宋体" w:eastAsia="宋体"/>
          <w:b w:val="0"/>
          <w:sz w:val="21"/>
        </w:rPr>
        <w:t>2.1 数据集介绍</w:t>
        <w:tab/>
        <w:t>8</w:t>
      </w:r>
    </w:p>
    <w:p>
      <w:pPr>
        <w:tabs>
          <w:tab w:pos="8306" w:val="right" w:leader="dot"/>
        </w:tabs>
        <w:spacing w:line="264" w:lineRule="auto" w:after="40"/>
        <w:ind w:left="360"/>
      </w:pPr>
      <w:r>
        <w:rPr>
          <w:rFonts w:ascii="宋体" w:hAnsi="宋体" w:eastAsia="宋体"/>
          <w:b w:val="0"/>
          <w:sz w:val="21"/>
        </w:rPr>
        <w:t>2.2 数据来源与采集方式</w:t>
        <w:tab/>
        <w:t>8</w:t>
      </w:r>
    </w:p>
    <w:p>
      <w:pPr>
        <w:tabs>
          <w:tab w:pos="8306" w:val="right" w:leader="dot"/>
        </w:tabs>
        <w:spacing w:line="264" w:lineRule="auto" w:after="40"/>
        <w:ind w:left="360"/>
      </w:pPr>
      <w:r>
        <w:rPr>
          <w:rFonts w:ascii="宋体" w:hAnsi="宋体" w:eastAsia="宋体"/>
          <w:b w:val="0"/>
          <w:sz w:val="21"/>
        </w:rPr>
        <w:t>2.3 数据规模与格式</w:t>
        <w:tab/>
        <w:t>9</w:t>
      </w:r>
    </w:p>
    <w:p>
      <w:pPr>
        <w:tabs>
          <w:tab w:pos="8306" w:val="right" w:leader="dot"/>
        </w:tabs>
        <w:spacing w:line="264" w:lineRule="auto" w:after="40"/>
      </w:pPr>
      <w:r>
        <w:rPr>
          <w:rFonts w:ascii="宋体" w:hAnsi="宋体" w:eastAsia="宋体"/>
          <w:b/>
          <w:sz w:val="23"/>
        </w:rPr>
        <w:t>3 数据预处理</w:t>
        <w:tab/>
        <w:t>9</w:t>
      </w:r>
    </w:p>
    <w:p>
      <w:pPr>
        <w:tabs>
          <w:tab w:pos="8306" w:val="right" w:leader="dot"/>
        </w:tabs>
        <w:spacing w:line="264" w:lineRule="auto" w:after="40"/>
        <w:ind w:left="360"/>
      </w:pPr>
      <w:r>
        <w:rPr>
          <w:rFonts w:ascii="宋体" w:hAnsi="宋体" w:eastAsia="宋体"/>
          <w:b w:val="0"/>
          <w:sz w:val="21"/>
        </w:rPr>
        <w:t>3.1 归一化与特征构造</w:t>
        <w:tab/>
        <w:t>10</w:t>
      </w:r>
    </w:p>
    <w:p>
      <w:pPr>
        <w:tabs>
          <w:tab w:pos="8306" w:val="right" w:leader="dot"/>
        </w:tabs>
        <w:spacing w:line="264" w:lineRule="auto" w:after="40"/>
        <w:ind w:left="360"/>
      </w:pPr>
      <w:r>
        <w:rPr>
          <w:rFonts w:ascii="宋体" w:hAnsi="宋体" w:eastAsia="宋体"/>
          <w:b w:val="0"/>
          <w:sz w:val="21"/>
        </w:rPr>
        <w:t>3.2 路网图构建</w:t>
        <w:tab/>
        <w:t>10</w:t>
      </w:r>
    </w:p>
    <w:p>
      <w:pPr>
        <w:tabs>
          <w:tab w:pos="8306" w:val="right" w:leader="dot"/>
        </w:tabs>
        <w:spacing w:line="264" w:lineRule="auto" w:after="40"/>
        <w:ind w:left="360"/>
      </w:pPr>
      <w:r>
        <w:rPr>
          <w:rFonts w:ascii="宋体" w:hAnsi="宋体" w:eastAsia="宋体"/>
          <w:b w:val="0"/>
          <w:sz w:val="21"/>
        </w:rPr>
        <w:t>3.3 时空样本构建与数据集划分</w:t>
        <w:tab/>
        <w:t>10</w:t>
      </w:r>
    </w:p>
    <w:p>
      <w:pPr>
        <w:tabs>
          <w:tab w:pos="8306" w:val="right" w:leader="dot"/>
        </w:tabs>
        <w:spacing w:line="264" w:lineRule="auto" w:after="40"/>
      </w:pPr>
      <w:r>
        <w:rPr>
          <w:rFonts w:ascii="宋体" w:hAnsi="宋体" w:eastAsia="宋体"/>
          <w:b/>
          <w:sz w:val="23"/>
        </w:rPr>
        <w:t>4 模型与方法：A3T-GCN</w:t>
        <w:tab/>
        <w:t>11</w:t>
      </w:r>
    </w:p>
    <w:p>
      <w:pPr>
        <w:tabs>
          <w:tab w:pos="8306" w:val="right" w:leader="dot"/>
        </w:tabs>
        <w:spacing w:line="264" w:lineRule="auto" w:after="40"/>
        <w:ind w:left="360"/>
      </w:pPr>
      <w:r>
        <w:rPr>
          <w:rFonts w:ascii="宋体" w:hAnsi="宋体" w:eastAsia="宋体"/>
          <w:b w:val="0"/>
          <w:sz w:val="21"/>
        </w:rPr>
        <w:t>4.1 问题定义</w:t>
        <w:tab/>
        <w:t>11</w:t>
      </w:r>
    </w:p>
    <w:p>
      <w:pPr>
        <w:tabs>
          <w:tab w:pos="8306" w:val="right" w:leader="dot"/>
        </w:tabs>
        <w:spacing w:line="264" w:lineRule="auto" w:after="40"/>
        <w:ind w:left="360"/>
      </w:pPr>
      <w:r>
        <w:rPr>
          <w:rFonts w:ascii="宋体" w:hAnsi="宋体" w:eastAsia="宋体"/>
          <w:b w:val="0"/>
          <w:sz w:val="21"/>
        </w:rPr>
        <w:t>4.2 总体结构</w:t>
        <w:tab/>
        <w:t>12</w:t>
      </w:r>
    </w:p>
    <w:p>
      <w:pPr>
        <w:tabs>
          <w:tab w:pos="8306" w:val="right" w:leader="dot"/>
        </w:tabs>
        <w:spacing w:line="264" w:lineRule="auto" w:after="40"/>
        <w:ind w:left="360"/>
      </w:pPr>
      <w:r>
        <w:rPr>
          <w:rFonts w:ascii="宋体" w:hAnsi="宋体" w:eastAsia="宋体"/>
          <w:b w:val="0"/>
          <w:sz w:val="21"/>
        </w:rPr>
        <w:t>4.3 图卷积网络: 捕获空间依赖</w:t>
        <w:tab/>
        <w:t>12</w:t>
      </w:r>
    </w:p>
    <w:p>
      <w:pPr>
        <w:tabs>
          <w:tab w:pos="8306" w:val="right" w:leader="dot"/>
        </w:tabs>
        <w:spacing w:line="264" w:lineRule="auto" w:after="40"/>
        <w:ind w:left="360"/>
      </w:pPr>
      <w:r>
        <w:rPr>
          <w:rFonts w:ascii="宋体" w:hAnsi="宋体" w:eastAsia="宋体"/>
          <w:b w:val="0"/>
          <w:sz w:val="21"/>
        </w:rPr>
        <w:t>4.4 门控循环单元: 捕获时间依赖</w:t>
        <w:tab/>
        <w:t>12</w:t>
      </w:r>
    </w:p>
    <w:p>
      <w:pPr>
        <w:tabs>
          <w:tab w:pos="8306" w:val="right" w:leader="dot"/>
        </w:tabs>
        <w:spacing w:line="264" w:lineRule="auto" w:after="40"/>
        <w:ind w:left="360"/>
      </w:pPr>
      <w:r>
        <w:rPr>
          <w:rFonts w:ascii="宋体" w:hAnsi="宋体" w:eastAsia="宋体"/>
          <w:b w:val="0"/>
          <w:sz w:val="21"/>
        </w:rPr>
        <w:t>4.5 注意力机制: 聚合全局时序信息</w:t>
        <w:tab/>
        <w:t>13</w:t>
      </w:r>
    </w:p>
    <w:p>
      <w:pPr>
        <w:tabs>
          <w:tab w:pos="8306" w:val="right" w:leader="dot"/>
        </w:tabs>
        <w:spacing w:line="264" w:lineRule="auto" w:after="40"/>
        <w:ind w:left="360"/>
      </w:pPr>
      <w:r>
        <w:rPr>
          <w:rFonts w:ascii="宋体" w:hAnsi="宋体" w:eastAsia="宋体"/>
          <w:b w:val="0"/>
          <w:sz w:val="21"/>
        </w:rPr>
        <w:t>4.6 实现细节</w:t>
        <w:tab/>
        <w:t>13</w:t>
      </w:r>
    </w:p>
    <w:p>
      <w:pPr>
        <w:tabs>
          <w:tab w:pos="8306" w:val="right" w:leader="dot"/>
        </w:tabs>
        <w:spacing w:line="264" w:lineRule="auto" w:after="40"/>
      </w:pPr>
      <w:r>
        <w:rPr>
          <w:rFonts w:ascii="宋体" w:hAnsi="宋体" w:eastAsia="宋体"/>
          <w:b/>
          <w:sz w:val="23"/>
        </w:rPr>
        <w:t>5 实验与结果分析</w:t>
        <w:tab/>
        <w:t>14</w:t>
      </w:r>
    </w:p>
    <w:p>
      <w:pPr>
        <w:tabs>
          <w:tab w:pos="8306" w:val="right" w:leader="dot"/>
        </w:tabs>
        <w:spacing w:line="264" w:lineRule="auto" w:after="40"/>
        <w:ind w:left="360"/>
      </w:pPr>
      <w:r>
        <w:rPr>
          <w:rFonts w:ascii="宋体" w:hAnsi="宋体" w:eastAsia="宋体"/>
          <w:b w:val="0"/>
          <w:sz w:val="21"/>
        </w:rPr>
        <w:t>5.1 实验环境与超参数</w:t>
        <w:tab/>
        <w:t>14</w:t>
      </w:r>
    </w:p>
    <w:p>
      <w:pPr>
        <w:tabs>
          <w:tab w:pos="8306" w:val="right" w:leader="dot"/>
        </w:tabs>
        <w:spacing w:line="264" w:lineRule="auto" w:after="40"/>
        <w:ind w:left="360"/>
      </w:pPr>
      <w:r>
        <w:rPr>
          <w:rFonts w:ascii="宋体" w:hAnsi="宋体" w:eastAsia="宋体"/>
          <w:b w:val="0"/>
          <w:sz w:val="21"/>
        </w:rPr>
        <w:t>5.2 评价指标</w:t>
        <w:tab/>
        <w:t>14</w:t>
      </w:r>
    </w:p>
    <w:p>
      <w:pPr>
        <w:tabs>
          <w:tab w:pos="8306" w:val="right" w:leader="dot"/>
        </w:tabs>
        <w:spacing w:line="264" w:lineRule="auto" w:after="40"/>
        <w:ind w:left="360"/>
      </w:pPr>
      <w:r>
        <w:rPr>
          <w:rFonts w:ascii="宋体" w:hAnsi="宋体" w:eastAsia="宋体"/>
          <w:b w:val="0"/>
          <w:sz w:val="21"/>
        </w:rPr>
        <w:t>5.3 训练过程与损失曲线</w:t>
        <w:tab/>
        <w:t>15</w:t>
      </w:r>
    </w:p>
    <w:p>
      <w:pPr>
        <w:tabs>
          <w:tab w:pos="8306" w:val="right" w:leader="dot"/>
        </w:tabs>
        <w:spacing w:line="264" w:lineRule="auto" w:after="40"/>
        <w:ind w:left="360"/>
      </w:pPr>
      <w:r>
        <w:rPr>
          <w:rFonts w:ascii="宋体" w:hAnsi="宋体" w:eastAsia="宋体"/>
          <w:b w:val="0"/>
          <w:sz w:val="21"/>
        </w:rPr>
        <w:t>5.4 预测结果与可视化</w:t>
        <w:tab/>
        <w:t>16</w:t>
      </w:r>
    </w:p>
    <w:p>
      <w:pPr>
        <w:tabs>
          <w:tab w:pos="8306" w:val="right" w:leader="dot"/>
        </w:tabs>
        <w:spacing w:line="264" w:lineRule="auto" w:after="40"/>
        <w:ind w:left="360"/>
      </w:pPr>
      <w:r>
        <w:rPr>
          <w:rFonts w:ascii="宋体" w:hAnsi="宋体" w:eastAsia="宋体"/>
          <w:b w:val="0"/>
          <w:sz w:val="21"/>
        </w:rPr>
        <w:t>5.5 结果讨论与误差分析</w:t>
        <w:tab/>
        <w:t>16</w:t>
      </w:r>
    </w:p>
    <w:p>
      <w:pPr>
        <w:tabs>
          <w:tab w:pos="8306" w:val="right" w:leader="dot"/>
        </w:tabs>
        <w:spacing w:line="264" w:lineRule="auto" w:after="40"/>
      </w:pPr>
      <w:r>
        <w:rPr>
          <w:rFonts w:ascii="宋体" w:hAnsi="宋体" w:eastAsia="宋体"/>
          <w:b/>
          <w:sz w:val="23"/>
        </w:rPr>
        <w:t>6 结论与展望</w:t>
        <w:tab/>
        <w:t>17</w:t>
      </w:r>
    </w:p>
    <w:p>
      <w:pPr>
        <w:tabs>
          <w:tab w:pos="8306" w:val="right" w:leader="dot"/>
        </w:tabs>
        <w:spacing w:line="264" w:lineRule="auto" w:after="40"/>
      </w:pPr>
      <w:r>
        <w:rPr>
          <w:rFonts w:ascii="宋体" w:hAnsi="宋体" w:eastAsia="宋体"/>
          <w:b/>
          <w:sz w:val="23"/>
        </w:rPr>
        <w:t>参考文献</w:t>
        <w:tab/>
        <w:t>18</w:t>
      </w:r>
    </w:p>
    <w:p>
      <w:pPr>
        <w:tabs>
          <w:tab w:pos="8306" w:val="right" w:leader="dot"/>
        </w:tabs>
        <w:spacing w:line="264" w:lineRule="auto" w:after="40"/>
      </w:pPr>
      <w:r>
        <w:rPr>
          <w:rFonts w:ascii="宋体" w:hAnsi="宋体" w:eastAsia="宋体"/>
          <w:b/>
          <w:sz w:val="23"/>
        </w:rPr>
        <w:t>附录1 相关代码及操作</w:t>
        <w:tab/>
        <w:t>19</w:t>
      </w:r>
    </w:p>
    <w:p>
      <w:pPr>
        <w:tabs>
          <w:tab w:pos="8306" w:val="right" w:leader="dot"/>
        </w:tabs>
        <w:spacing w:line="264" w:lineRule="auto" w:after="40"/>
        <w:ind w:left="360"/>
      </w:pPr>
      <w:r>
        <w:rPr>
          <w:rFonts w:ascii="宋体" w:hAnsi="宋体" w:eastAsia="宋体"/>
          <w:b w:val="0"/>
          <w:sz w:val="21"/>
        </w:rPr>
        <w:t>附1.1 实验过程</w:t>
        <w:tab/>
        <w:t>19</w:t>
      </w:r>
    </w:p>
    <w:p>
      <w:pPr>
        <w:tabs>
          <w:tab w:pos="8306" w:val="right" w:leader="dot"/>
        </w:tabs>
        <w:spacing w:line="264" w:lineRule="auto" w:after="40"/>
        <w:ind w:left="360"/>
      </w:pPr>
      <w:r>
        <w:rPr>
          <w:rFonts w:ascii="宋体" w:hAnsi="宋体" w:eastAsia="宋体"/>
          <w:b w:val="0"/>
          <w:sz w:val="21"/>
        </w:rPr>
        <w:t>附1.2 运行命令</w:t>
        <w:tab/>
        <w:t>20</w:t>
      </w:r>
    </w:p>
    <w:p>
      <w:pPr>
        <w:tabs>
          <w:tab w:pos="8306" w:val="right" w:leader="dot"/>
        </w:tabs>
        <w:spacing w:line="264" w:lineRule="auto" w:after="40"/>
        <w:ind w:left="360"/>
      </w:pPr>
      <w:r>
        <w:rPr>
          <w:rFonts w:ascii="宋体" w:hAnsi="宋体" w:eastAsia="宋体"/>
          <w:b w:val="0"/>
          <w:sz w:val="21"/>
        </w:rPr>
        <w:t>附1.3 中间结果(指标摘要)</w:t>
        <w:tab/>
        <w:t>20</w:t>
      </w:r>
    </w:p>
    <w:p>
      <w:pPr>
        <w:tabs>
          <w:tab w:pos="8306" w:val="right" w:leader="dot"/>
        </w:tabs>
        <w:spacing w:line="264" w:lineRule="auto" w:after="40"/>
        <w:ind w:left="360"/>
      </w:pPr>
      <w:r>
        <w:rPr>
          <w:rFonts w:ascii="宋体" w:hAnsi="宋体" w:eastAsia="宋体"/>
          <w:b w:val="0"/>
          <w:sz w:val="21"/>
        </w:rPr>
        <w:t>附1.4 实验心得</w:t>
        <w:tab/>
        <w:t>21</w:t>
      </w:r>
    </w:p>
    <w:p>
      <w:pPr>
        <w:tabs>
          <w:tab w:pos="8306" w:val="right" w:leader="dot"/>
        </w:tabs>
        <w:spacing w:line="264" w:lineRule="auto" w:after="40"/>
      </w:pPr>
      <w:r>
        <w:rPr>
          <w:rFonts w:ascii="宋体" w:hAnsi="宋体" w:eastAsia="宋体"/>
          <w:b/>
          <w:sz w:val="23"/>
        </w:rPr>
        <w:t>附录2 查重报告</w:t>
        <w:tab/>
        <w:t>22</w:t>
      </w:r>
    </w:p>
    <w:p>
      <w:r>
        <w:br w:type="page"/>
      </w:r>
    </w:p>
    <w:p>
      <w:pPr>
        <w:keepNext/>
        <w:spacing w:before="160" w:after="120"/>
        <w:outlineLvl w:val="0"/>
      </w:pPr>
      <w:r>
        <w:rPr>
          <w:rFonts w:ascii="黑体" w:hAnsi="黑体" w:eastAsia="黑体"/>
          <w:b/>
          <w:sz w:val="30"/>
        </w:rPr>
        <w:t>1 研究目的</w:t>
      </w:r>
    </w:p>
    <w:p>
      <w:pPr>
        <w:spacing w:line="360" w:lineRule="auto"/>
        <w:ind w:firstLine="480"/>
        <w:jc w:val="both"/>
      </w:pPr>
      <w:r>
        <w:rPr>
          <w:rFonts w:ascii="宋体" w:hAnsi="宋体" w:eastAsia="宋体"/>
          <w:b w:val="0"/>
          <w:sz w:val="24"/>
        </w:rPr>
        <w:t>随着城市机动车保有量的持续增长, 交通拥堵已成为制约城市运行效率的突出问题。智能交通系统通过对交通状态的实时感知与短时预测, 能够为交通管理与出行决策提供前瞻性依据。交通速度作为衡量道路通行状况最直接的指标之一, 其准确预测是实现交通诱导、可变信息标志发布、信号配时优化以及路径规划的前提。然而, 交通速度的演化同时受到空间与时间两方面因素的影响: 在空间上, 路网由大量相互连接的路段构成, 上游路段的拥堵会沿路网传播并影响下游, 这种依赖关系由路网拓扑而非简单的欧几里得距离决定; 在时间上, 交通流呈现出早晚高峰、工作日与周末差异等强烈的周期性与趋势性。</w:t>
      </w:r>
    </w:p>
    <w:p>
      <w:pPr>
        <w:spacing w:line="360" w:lineRule="auto"/>
        <w:ind w:firstLine="480"/>
        <w:jc w:val="both"/>
      </w:pPr>
      <w:r>
        <w:rPr>
          <w:rFonts w:ascii="宋体" w:hAnsi="宋体" w:eastAsia="宋体"/>
          <w:b w:val="0"/>
          <w:sz w:val="24"/>
        </w:rPr>
        <w:t>传统的交通预测方法大致可分为两类。第一类是以统计学为基础的参数模型, 如历史平均、差分自回归移动平均(ARIMA)及其变体, 这类方法对平稳时间序列效果尚可, 但难以处理高度非线性与突发事件, 且完全忽略了路段之间的空间关联。第二类是机器学习方法, 如支持向量回归(SVR)、k 近邻与随机森林等, 它们能够建模一定的非线性关系, 但仍需要人工构造空间特征, 泛化能力有限。近年来, 深度学习方法逐渐成为主流: 循环神经网络(RNN/LSTM/GRU)擅长建模时间依赖, 卷积神经网络(CNN)擅长提取局部空间特征, 但标准CNN 只能作用于规则网格, 无法直接刻画路网这种非欧几里得的图结构。</w:t>
      </w:r>
    </w:p>
    <w:p>
      <w:pPr>
        <w:spacing w:line="360" w:lineRule="auto"/>
        <w:ind w:firstLine="480"/>
        <w:jc w:val="both"/>
      </w:pPr>
      <w:r>
        <w:rPr>
          <w:rFonts w:ascii="宋体" w:hAnsi="宋体" w:eastAsia="宋体"/>
          <w:b w:val="0"/>
          <w:sz w:val="24"/>
        </w:rPr>
        <w:t>图神经网络(Graph Neural Network, GNN)的兴起为交通预测提供了新的思路。通过在图上进行消息传递, GNN 能够依据真实的路网邻接关系聚合邻居信息, 自然地表达空间依赖。将图卷积与时序建模相结合的时空图神经网络(Spatio-Temporal GNN), 已在交通预测领域取得了显著效果。本文的研究目的即在于: 选取具有代表性的 A3T-GCN 模型, 在公开的METR-LA 路网数据集上完成交通速度的多步预测任务, 复现并解析图卷积、门控循环单元与注意力机制三者如何协同建模时空依赖, 给出可复现的实验结果与可视化分析, 并总结时空图神经网络在交通预测中的优势与局限, 为后续研究与工程应用提供参考。</w:t>
      </w:r>
    </w:p>
    <w:p>
      <w:pPr>
        <w:spacing w:line="360" w:lineRule="auto"/>
        <w:ind w:firstLine="480"/>
        <w:jc w:val="both"/>
      </w:pPr>
      <w:r>
        <w:rPr>
          <w:rFonts w:ascii="宋体" w:hAnsi="宋体" w:eastAsia="宋体"/>
          <w:b w:val="0"/>
          <w:sz w:val="24"/>
        </w:rPr>
        <w:t>本文按照'研究目的—数据获取—数据预处理—模型方法—实验与结果分析—结论'的逻辑组织, 力求完整呈现一次时空图神经网络建模的科研流程, 既覆盖理论原理, 也给出工程实现与实验细节, 使读者能够据此独立复现全部结果。</w:t>
      </w:r>
    </w:p>
    <w:p>
      <w:pPr>
        <w:keepNext/>
        <w:spacing w:before="160" w:after="120"/>
        <w:outlineLvl w:val="0"/>
      </w:pPr>
      <w:r>
        <w:rPr>
          <w:rFonts w:ascii="黑体" w:hAnsi="黑体" w:eastAsia="黑体"/>
          <w:b/>
          <w:sz w:val="30"/>
        </w:rPr>
        <w:t>2 数据获取</w:t>
      </w:r>
    </w:p>
    <w:p>
      <w:pPr>
        <w:keepNext/>
        <w:spacing w:before="160" w:after="120"/>
        <w:outlineLvl w:val="1"/>
      </w:pPr>
      <w:r>
        <w:rPr>
          <w:rFonts w:ascii="黑体" w:hAnsi="黑体" w:eastAsia="黑体"/>
          <w:b/>
          <w:sz w:val="26"/>
        </w:rPr>
        <w:t>2.1 数据集介绍</w:t>
      </w:r>
    </w:p>
    <w:p>
      <w:pPr>
        <w:spacing w:line="360" w:lineRule="auto"/>
        <w:ind w:firstLine="480"/>
        <w:jc w:val="both"/>
      </w:pPr>
      <w:r>
        <w:rPr>
          <w:rFonts w:ascii="宋体" w:hAnsi="宋体" w:eastAsia="宋体"/>
          <w:b w:val="0"/>
          <w:sz w:val="24"/>
        </w:rPr>
        <w:t>本文采用交通预测领域广泛使用的公开数据集 METR-LA。该数据集采集自美国洛杉矶都会区高速公路上的 207 个环形检测器(loop detector), 时间跨度为 2012 年 3 月至6 月, 采样间隔为 5 分钟, 共包含 34272 个时间步。每个检测器记录所在路段的瞬时平均车速(单位 mph), 全局速度均值约为 53.719 mph、标准差约为 20.261 mph, 取值范围大致落在 0–70 mph 之间。METR-LA 因其真实性、规模适中且自带路网拓扑, 已成为交通时空预测领域的标准基准之一, 被 DCRNN、Graph WaveNet、T-GCN、A3T-GCN 等众多模型用于评测。</w:t>
      </w:r>
    </w:p>
    <w:p>
      <w:pPr>
        <w:keepNext/>
        <w:spacing w:before="160" w:after="120"/>
        <w:outlineLvl w:val="1"/>
      </w:pPr>
      <w:r>
        <w:rPr>
          <w:rFonts w:ascii="黑体" w:hAnsi="黑体" w:eastAsia="黑体"/>
          <w:b/>
          <w:sz w:val="26"/>
        </w:rPr>
        <w:t>2.2 数据来源与采集方式</w:t>
      </w:r>
    </w:p>
    <w:p>
      <w:pPr>
        <w:spacing w:line="360" w:lineRule="auto"/>
        <w:ind w:firstLine="480"/>
        <w:jc w:val="both"/>
      </w:pPr>
      <w:r>
        <w:rPr>
          <w:rFonts w:ascii="宋体" w:hAnsi="宋体" w:eastAsia="宋体"/>
          <w:b w:val="0"/>
          <w:sz w:val="24"/>
        </w:rPr>
        <w:t>原始数据来源于洛杉矶交通管理部门部署在高速公路上的环形线圈检测器。线圈检测器埋设于路面之下, 通过感应车辆通过时引起的电磁变化来统计车流并估计平均速度, 是目前城市道路最常见、最稳定的交通流采集手段之一。这些检测器按 5 分钟为粒度上报速度读数, 经清洗、对齐后形成规整的时空矩阵。本文通过 PyTorch Geometric Temporal 提供的 METRLADatasetLoader 接口获取该数据集, 该接口会在首次运行时自动下载官方打包好的速度张量与路网邻接矩阵, 免去了手工拼接与对齐的繁琐。</w:t>
      </w:r>
    </w:p>
    <w:p>
      <w:pPr>
        <w:keepNext/>
        <w:spacing w:before="160" w:after="120"/>
        <w:outlineLvl w:val="1"/>
      </w:pPr>
      <w:r>
        <w:rPr>
          <w:rFonts w:ascii="黑体" w:hAnsi="黑体" w:eastAsia="黑体"/>
          <w:b/>
          <w:sz w:val="26"/>
        </w:rPr>
        <w:t>2.3 数据规模与格式</w:t>
      </w:r>
    </w:p>
    <w:p>
      <w:pPr>
        <w:spacing w:line="360" w:lineRule="auto"/>
        <w:ind w:firstLine="480"/>
        <w:jc w:val="both"/>
      </w:pPr>
      <w:r>
        <w:rPr>
          <w:rFonts w:ascii="宋体" w:hAnsi="宋体" w:eastAsia="宋体"/>
          <w:b w:val="0"/>
          <w:sz w:val="24"/>
        </w:rPr>
        <w:t>数据集主要由两部分构成。其一是节点速度张量 node_values, 形状为 [34272, 207, 1](时间步×传感器×特征), 记录每个传感器在每个时间步的车速; 其二是路网邻接矩阵 adj_mat, 形状为 207×207, 其元素表示传感器之间的关联强度, 由路网距离经高斯核变换得到, 共含约 1722 条非零边。为满足课程'提交部分数据'的要求, 本仓库在 data/sample/ 下保留了约 1 周的样本数据 node_values_sample.npy(形状 [2016, 207, 2])与邻接矩阵 adj_mat.npy, 完整数据集则在首次运行时自动下载(并已通过 .gitignore 排除, 避免提交上百兆的原始文件)。</w:t>
      </w:r>
    </w:p>
    <w:p>
      <w:pPr>
        <w:keepNext/>
        <w:spacing w:before="160" w:after="120"/>
        <w:outlineLvl w:val="0"/>
      </w:pPr>
      <w:r>
        <w:rPr>
          <w:rFonts w:ascii="黑体" w:hAnsi="黑体" w:eastAsia="黑体"/>
          <w:b/>
          <w:sz w:val="30"/>
        </w:rPr>
        <w:t>3 数据预处理</w:t>
      </w:r>
    </w:p>
    <w:p>
      <w:pPr>
        <w:spacing w:line="360" w:lineRule="auto"/>
        <w:ind w:firstLine="480"/>
        <w:jc w:val="both"/>
      </w:pPr>
      <w:r>
        <w:rPr>
          <w:rFonts w:ascii="宋体" w:hAnsi="宋体" w:eastAsia="宋体"/>
          <w:b w:val="0"/>
          <w:sz w:val="24"/>
        </w:rPr>
        <w:t>原始速度数据在直接用于训练前需要经过若干预处理步骤, 以消除量纲影响、显式刻画周期性并构造适合时空图神经网络的样本格式。本文的数据预处理流程主要包括归一化、特征构造、图结构构建与时空样本划分四个环节。</w:t>
      </w:r>
    </w:p>
    <w:p>
      <w:pPr>
        <w:keepNext/>
        <w:spacing w:before="160" w:after="120"/>
        <w:outlineLvl w:val="1"/>
      </w:pPr>
      <w:r>
        <w:rPr>
          <w:rFonts w:ascii="黑体" w:hAnsi="黑体" w:eastAsia="黑体"/>
          <w:b/>
          <w:sz w:val="26"/>
        </w:rPr>
        <w:t>3.1 归一化与特征构造</w:t>
      </w:r>
    </w:p>
    <w:p>
      <w:pPr>
        <w:spacing w:line="360" w:lineRule="auto"/>
        <w:ind w:firstLine="480"/>
        <w:jc w:val="both"/>
      </w:pPr>
      <w:r>
        <w:rPr>
          <w:rFonts w:ascii="宋体" w:hAnsi="宋体" w:eastAsia="宋体"/>
          <w:b w:val="0"/>
          <w:sz w:val="24"/>
        </w:rPr>
        <w:t>首先对原始车速做 z-score 归一化: 以全局速度均值与标准差将速度变换为零均值、单位方差的标准化值, 既能消除量纲、稳定梯度, 又便于不同传感器之间的可比。其次, 为显式刻画交通的日内周期性, 在速度特征之外附加一维'一天中的时刻'(time-of-day)特征, 将其归一化到 [0, 1) 区间。因此每个节点在每个时间步的特征维度 F=2, 分别对应归一化车速与时刻信息。</w:t>
      </w:r>
    </w:p>
    <w:p>
      <w:pPr>
        <w:keepNext/>
        <w:spacing w:before="160" w:after="120"/>
        <w:outlineLvl w:val="1"/>
      </w:pPr>
      <w:r>
        <w:rPr>
          <w:rFonts w:ascii="黑体" w:hAnsi="黑体" w:eastAsia="黑体"/>
          <w:b/>
          <w:sz w:val="26"/>
        </w:rPr>
        <w:t>3.2 路网图构建</w:t>
      </w:r>
    </w:p>
    <w:p>
      <w:pPr>
        <w:spacing w:line="360" w:lineRule="auto"/>
        <w:ind w:firstLine="480"/>
        <w:jc w:val="both"/>
      </w:pPr>
      <w:r>
        <w:rPr>
          <w:rFonts w:ascii="宋体" w:hAnsi="宋体" w:eastAsia="宋体"/>
          <w:b w:val="0"/>
          <w:sz w:val="24"/>
        </w:rPr>
        <w:t>本文将城市路网建模为加权无向图 G=(V, E, A): 节点集合 V 对应 207 个传感器, 邻接矩阵 A∈R^{207×207} 的元素 A_ij 表示传感器 i 与 j 之间的关联强度。A 由路网距离经高斯核变换得到, 距离越近权重越大, 从而把真实的道路连通关系注入模型。该图结构在所有时间步上保持不变, 作为图卷积进行邻域聚合的依据。</w:t>
      </w:r>
    </w:p>
    <w:p>
      <w:pPr>
        <w:keepNext/>
        <w:spacing w:before="160" w:after="120"/>
        <w:outlineLvl w:val="1"/>
      </w:pPr>
      <w:r>
        <w:rPr>
          <w:rFonts w:ascii="黑体" w:hAnsi="黑体" w:eastAsia="黑体"/>
          <w:b/>
          <w:sz w:val="26"/>
        </w:rPr>
        <w:t>3.3 时空样本构建与数据集划分</w:t>
      </w:r>
    </w:p>
    <w:p>
      <w:pPr>
        <w:spacing w:line="360" w:lineRule="auto"/>
        <w:ind w:firstLine="480"/>
        <w:jc w:val="both"/>
      </w:pPr>
      <w:r>
        <w:rPr>
          <w:rFonts w:ascii="宋体" w:hAnsi="宋体" w:eastAsia="宋体"/>
          <w:b w:val="0"/>
          <w:sz w:val="24"/>
        </w:rPr>
        <w:t>采用滑动窗口构造时空样本: 以连续 P=12 个时间步的特征作为输入, 紧随其后的 Q=12 个时间步的归一化车速作为标签。每个样本的输入张量形状为 [N, F, P]=[207, 2, 12], 标签形状为 [N, Q]=[207, 12]。随后按时间顺序以 8:2 的比例划分训练集与测试集——训练集只包含早于测试集的样本, 严格避免使用未来信息造成的数据泄漏。考虑到 CPU 训练的时间成本, 程序提供 --max-samples 参数限制参与训练的样本数(默认 6000), 当设为 0 时使用全部样本, 便于在不同算力下灵活复现。</w:t>
      </w:r>
    </w:p>
    <w:p>
      <w:pPr>
        <w:keepNext/>
        <w:spacing w:before="160" w:after="120"/>
        <w:outlineLvl w:val="0"/>
      </w:pPr>
      <w:r>
        <w:rPr>
          <w:rFonts w:ascii="黑体" w:hAnsi="黑体" w:eastAsia="黑体"/>
          <w:b/>
          <w:sz w:val="30"/>
        </w:rPr>
        <w:t>4 模型与方法：A3T-GCN</w:t>
      </w:r>
    </w:p>
    <w:p>
      <w:pPr>
        <w:keepNext/>
        <w:spacing w:before="160" w:after="120"/>
        <w:outlineLvl w:val="1"/>
      </w:pPr>
      <w:r>
        <w:rPr>
          <w:rFonts w:ascii="黑体" w:hAnsi="黑体" w:eastAsia="黑体"/>
          <w:b/>
          <w:sz w:val="26"/>
        </w:rPr>
        <w:t>4.1 问题定义</w:t>
      </w:r>
    </w:p>
    <w:p>
      <w:pPr>
        <w:spacing w:line="360" w:lineRule="auto"/>
        <w:ind w:firstLine="480"/>
        <w:jc w:val="both"/>
      </w:pPr>
      <w:r>
        <w:rPr>
          <w:rFonts w:ascii="宋体" w:hAnsi="宋体" w:eastAsia="宋体"/>
          <w:b w:val="0"/>
          <w:sz w:val="24"/>
        </w:rPr>
        <w:t>交通速度预测可形式化为一个时空序列到序列的回归问题: 给定历史 P 个时间步的特征序列 [X_{t-P+1}, …, X_t](X_t∈R^{N×F}), 学习一个映射函数 f 预测未来 Q 个时间步的速度 [Y_{t+1}, …, Y_{t+Q}]。本文设定 P=Q=12, 即用过去 1 小时(12 个 5 分钟间隔)的观测预测未来 1 小时的车速。该设定属于多步预测, 比单步预测更具挑战性, 因为误差会随预测视野的延伸而累积。</w:t>
      </w:r>
    </w:p>
    <w:p>
      <w:pPr>
        <w:keepNext/>
        <w:spacing w:before="160" w:after="120"/>
        <w:outlineLvl w:val="1"/>
      </w:pPr>
      <w:r>
        <w:rPr>
          <w:rFonts w:ascii="黑体" w:hAnsi="黑体" w:eastAsia="黑体"/>
          <w:b/>
          <w:sz w:val="26"/>
        </w:rPr>
        <w:t>4.2 总体结构</w:t>
      </w:r>
    </w:p>
    <w:p>
      <w:pPr>
        <w:spacing w:line="360" w:lineRule="auto"/>
        <w:ind w:firstLine="480"/>
        <w:jc w:val="both"/>
      </w:pPr>
      <w:r>
        <w:rPr>
          <w:rFonts w:ascii="宋体" w:hAnsi="宋体" w:eastAsia="宋体"/>
          <w:b w:val="0"/>
          <w:sz w:val="24"/>
        </w:rPr>
        <w:t>A3T-GCN(Attention Temporal Graph Convolutional Network, 注意力时空图卷积网络)由 GCN、GRU 与注意力机制三部分有机组合而成, 旨在同时建模交通数据的空间依赖与时间依赖, 并自适应地强调重要的历史时刻。其整体数据流为: 输入时空张量先在每个时间步经图卷积提取空间特征, 再按时间顺序送入 GRU 编码时序演化, 最后由注意力模块对各时刻隐藏状态加权汇聚, 经线性层输出多步预测。</w:t>
      </w:r>
    </w:p>
    <w:p>
      <w:pPr>
        <w:keepNext/>
        <w:spacing w:before="160" w:after="120"/>
        <w:outlineLvl w:val="1"/>
      </w:pPr>
      <w:r>
        <w:rPr>
          <w:rFonts w:ascii="黑体" w:hAnsi="黑体" w:eastAsia="黑体"/>
          <w:b/>
          <w:sz w:val="26"/>
        </w:rPr>
        <w:t>4.3 图卷积网络: 捕获空间依赖</w:t>
      </w:r>
    </w:p>
    <w:p>
      <w:pPr>
        <w:spacing w:line="360" w:lineRule="auto"/>
        <w:ind w:firstLine="480"/>
        <w:jc w:val="both"/>
      </w:pPr>
      <w:r>
        <w:rPr>
          <w:rFonts w:ascii="宋体" w:hAnsi="宋体" w:eastAsia="宋体"/>
          <w:b w:val="0"/>
          <w:sz w:val="24"/>
        </w:rPr>
        <w:t>在每个时间步, GCN 依据归一化邻接矩阵对节点特征进行邻域聚合: 一个传感器的表示由其自身与相邻传感器的特征加权求和得到, 从而将路网拓扑显式注入特征学习过程。多层图卷积能够扩大感受野, 使信息在路网上沿多跳邻居传播, 刻画拥堵的空间扩散效应——上游路段的速度下降会通过图卷积逐步影响到下游节点的表示。</w:t>
      </w:r>
    </w:p>
    <w:p>
      <w:pPr>
        <w:keepNext/>
        <w:spacing w:before="160" w:after="120"/>
        <w:outlineLvl w:val="1"/>
      </w:pPr>
      <w:r>
        <w:rPr>
          <w:rFonts w:ascii="黑体" w:hAnsi="黑体" w:eastAsia="黑体"/>
          <w:b/>
          <w:sz w:val="26"/>
        </w:rPr>
        <w:t>4.4 门控循环单元: 捕获时间依赖</w:t>
      </w:r>
    </w:p>
    <w:p>
      <w:pPr>
        <w:spacing w:line="360" w:lineRule="auto"/>
        <w:ind w:firstLine="480"/>
        <w:jc w:val="both"/>
      </w:pPr>
      <w:r>
        <w:rPr>
          <w:rFonts w:ascii="宋体" w:hAnsi="宋体" w:eastAsia="宋体"/>
          <w:b w:val="0"/>
          <w:sz w:val="24"/>
        </w:rPr>
        <w:t>GRU 是循环神经网络的一种轻量变体, 通过更新门与重置门控制信息的保留与遗忘, 能够在缓解梯度消失的同时建模交通时序的短时趋势。A3T-GCN 将每一时间步经 GCN 得到的空间表示依次输入 GRU, 形成对时空演化的联合建模; 相比 LSTM, GRU 参数更少、训练更快, 在交通这类中等长度序列上往往能取得相近甚至更好的效果。</w:t>
      </w:r>
    </w:p>
    <w:p>
      <w:pPr>
        <w:keepNext/>
        <w:spacing w:before="160" w:after="120"/>
        <w:outlineLvl w:val="1"/>
      </w:pPr>
      <w:r>
        <w:rPr>
          <w:rFonts w:ascii="黑体" w:hAnsi="黑体" w:eastAsia="黑体"/>
          <w:b/>
          <w:sz w:val="26"/>
        </w:rPr>
        <w:t>4.5 注意力机制: 聚合全局时序信息</w:t>
      </w:r>
    </w:p>
    <w:p>
      <w:pPr>
        <w:spacing w:line="360" w:lineRule="auto"/>
        <w:ind w:firstLine="480"/>
        <w:jc w:val="both"/>
      </w:pPr>
      <w:r>
        <w:rPr>
          <w:rFonts w:ascii="宋体" w:hAnsi="宋体" w:eastAsia="宋体"/>
          <w:b w:val="0"/>
          <w:sz w:val="24"/>
        </w:rPr>
        <w:t>GRU 在不同时间步会产生一系列隐藏状态, 不同历史时刻对未来预测的重要性并不相同(例如临近时刻往往更具参考价值, 而高峰起始时刻可能蕴含关键的趋势信号)。A3T-GCN 通过注意力机制为各时间步的隐藏状态计算重要性权重, 并据此加权求和得到全局上下文向量, 从而突出关键时刻、抑制噪声。相较于只用最后一个隐藏状态的做法, 注意力机制使模型对高峰起讫、速度骤变等关键时刻更为敏感, 在多步预测中获得更稳健的表现。</w:t>
      </w:r>
    </w:p>
    <w:p>
      <w:pPr>
        <w:keepNext/>
        <w:spacing w:before="160" w:after="120"/>
        <w:outlineLvl w:val="1"/>
      </w:pPr>
      <w:r>
        <w:rPr>
          <w:rFonts w:ascii="黑体" w:hAnsi="黑体" w:eastAsia="黑体"/>
          <w:b/>
          <w:sz w:val="26"/>
        </w:rPr>
        <w:t>4.6 实现细节</w:t>
      </w:r>
    </w:p>
    <w:p>
      <w:pPr>
        <w:spacing w:line="360" w:lineRule="auto"/>
        <w:ind w:firstLine="480"/>
        <w:jc w:val="both"/>
      </w:pPr>
      <w:r>
        <w:rPr>
          <w:rFonts w:ascii="宋体" w:hAnsi="宋体" w:eastAsia="宋体"/>
          <w:b w:val="0"/>
          <w:sz w:val="24"/>
        </w:rPr>
        <w:t>在具体实现上, 本文基于 PyTorch Geometric Temporal 提供的 A3TGCN2 单元构建模型: 输入张量 [B, N, F, T] 经 A3TGCN2 得到每个节点的隐藏表示 [B, N, H](隐藏维度 H=32), 再经 ReLU 激活与一个线性层映射为未来 Q 步的速度预测 [B, N, Q]。其中 B 为批大小。需要特别注意的是, A3TGCN2 的注意力组件与批大小绑定, 因此训练与评估时均采用固定批大小并丢弃不完整的尾批, 以保证张量形状一致, 避免维度不匹配错误。模型代码组织于 src/model.py(模型定义)、src/train.py(训练/评估/可视化)与 src/utils.py(指标与数据工具)三个文件中, 结构清晰、便于复用。</w:t>
      </w:r>
    </w:p>
    <w:p>
      <w:pPr>
        <w:keepNext/>
        <w:spacing w:before="160" w:after="120"/>
        <w:outlineLvl w:val="0"/>
      </w:pPr>
      <w:r>
        <w:rPr>
          <w:rFonts w:ascii="黑体" w:hAnsi="黑体" w:eastAsia="黑体"/>
          <w:b/>
          <w:sz w:val="30"/>
        </w:rPr>
        <w:t>5 实验与结果分析</w:t>
      </w:r>
    </w:p>
    <w:p>
      <w:pPr>
        <w:keepNext/>
        <w:spacing w:before="160" w:after="120"/>
        <w:outlineLvl w:val="1"/>
      </w:pPr>
      <w:r>
        <w:rPr>
          <w:rFonts w:ascii="黑体" w:hAnsi="黑体" w:eastAsia="黑体"/>
          <w:b/>
          <w:sz w:val="26"/>
        </w:rPr>
        <w:t>5.1 实验环境与超参数</w:t>
      </w:r>
    </w:p>
    <w:p>
      <w:pPr>
        <w:spacing w:line="360" w:lineRule="auto"/>
        <w:ind w:firstLine="480"/>
        <w:jc w:val="both"/>
      </w:pPr>
      <w:r>
        <w:rPr>
          <w:rFonts w:ascii="宋体" w:hAnsi="宋体" w:eastAsia="宋体"/>
          <w:b w:val="0"/>
          <w:sz w:val="24"/>
        </w:rPr>
        <w:t>实验在 CPU 环境下完成。优化器采用 Adam, 学习率为 0.01, 损失函数为均方误差(MSE), 批大小为 32, 训练轮数为 30 个 epoch, 随机种子固定为 42 以保证可复现。输入与输出步长均为 12。本次报告所依据的实验使用 6000 个训练样本与 1500 个测试样本。依赖库版本见 requirements.txt(torch、torch-geometric、torch-geometric-temporal 等)。</w:t>
      </w:r>
    </w:p>
    <w:p>
      <w:pPr>
        <w:keepNext/>
        <w:spacing w:before="160" w:after="120"/>
        <w:outlineLvl w:val="1"/>
      </w:pPr>
      <w:r>
        <w:rPr>
          <w:rFonts w:ascii="黑体" w:hAnsi="黑体" w:eastAsia="黑体"/>
          <w:b/>
          <w:sz w:val="26"/>
        </w:rPr>
        <w:t>5.2 评价指标</w:t>
      </w:r>
    </w:p>
    <w:p>
      <w:pPr>
        <w:spacing w:line="360" w:lineRule="auto"/>
        <w:ind w:firstLine="480"/>
        <w:jc w:val="both"/>
      </w:pPr>
      <w:r>
        <w:rPr>
          <w:rFonts w:ascii="宋体" w:hAnsi="宋体" w:eastAsia="宋体"/>
          <w:b w:val="0"/>
          <w:sz w:val="24"/>
        </w:rPr>
        <w:t>评估指标采用平均绝对误差(MAE)与均方根误差(RMSE)。为兼顾训练稳定性与结果的可解释性, 本文同时报告两种尺度的误差: 一是在 z-score 归一化尺度上的 MAE/RMSE, 用于反映模型在标准化空间中的拟合优度; 二是将归一化误差乘以速度标准差还原到真实速度尺度(mph)后的 MAE/RMSE, 便于直观理解预测偏差对应的实际车速误差。此外补充平均绝对百分比误差(MAPE), 以相对误差的形式衡量预测精度。</w:t>
      </w:r>
    </w:p>
    <w:p>
      <w:pPr>
        <w:keepNext/>
        <w:spacing w:before="160" w:after="120"/>
        <w:outlineLvl w:val="1"/>
      </w:pPr>
      <w:r>
        <w:rPr>
          <w:rFonts w:ascii="黑体" w:hAnsi="黑体" w:eastAsia="黑体"/>
          <w:b/>
          <w:sz w:val="26"/>
        </w:rPr>
        <w:t>5.3 训练过程与损失曲线</w:t>
      </w:r>
    </w:p>
    <w:p>
      <w:pPr>
        <w:spacing w:line="360" w:lineRule="auto"/>
        <w:ind w:firstLine="480"/>
        <w:jc w:val="both"/>
      </w:pPr>
      <w:r>
        <w:rPr>
          <w:rFonts w:ascii="宋体" w:hAnsi="宋体" w:eastAsia="宋体"/>
          <w:b w:val="0"/>
          <w:sz w:val="24"/>
        </w:rPr>
        <w:t>在 30 个 epoch 的训练中, 训练集 MSE 由初始的约 0.43 稳步下降至约 0.3715, 在前若干个 epoch 内迅速下降随后趋于平缓, 说明模型收敛良好且未出现明显的训练不稳定。训练损失曲线如图 1 所示。</w:t>
      </w:r>
    </w:p>
    <w:p>
      <w:pPr>
        <w:jc w:val="center"/>
      </w:pPr>
      <w:r>
        <w:drawing>
          <wp:inline xmlns:a="http://schemas.openxmlformats.org/drawingml/2006/main" xmlns:pic="http://schemas.openxmlformats.org/drawingml/2006/picture">
            <wp:extent cx="4826000" cy="2757714"/>
            <wp:docPr id="3" name="Picture 3"/>
            <wp:cNvGraphicFramePr>
              <a:graphicFrameLocks noChangeAspect="1"/>
            </wp:cNvGraphicFramePr>
            <a:graphic>
              <a:graphicData uri="http://schemas.openxmlformats.org/drawingml/2006/picture">
                <pic:pic>
                  <pic:nvPicPr>
                    <pic:cNvPr id="0" name="training_loss.png"/>
                    <pic:cNvPicPr/>
                  </pic:nvPicPr>
                  <pic:blipFill>
                    <a:blip r:embed="rId8"/>
                    <a:stretch>
                      <a:fillRect/>
                    </a:stretch>
                  </pic:blipFill>
                  <pic:spPr>
                    <a:xfrm>
                      <a:off x="0" y="0"/>
                      <a:ext cx="4826000" cy="2757714"/>
                    </a:xfrm>
                    <a:prstGeom prst="rect"/>
                  </pic:spPr>
                </pic:pic>
              </a:graphicData>
            </a:graphic>
          </wp:inline>
        </w:drawing>
      </w:r>
    </w:p>
    <w:p>
      <w:pPr>
        <w:spacing w:after="120"/>
        <w:jc w:val="center"/>
      </w:pPr>
      <w:r>
        <w:rPr>
          <w:rFonts w:ascii="楷体" w:hAnsi="楷体" w:eastAsia="楷体"/>
          <w:b w:val="0"/>
          <w:sz w:val="21"/>
        </w:rPr>
        <w:t>图 1　训练损失(MSE)随 epoch 变化曲线</w:t>
      </w:r>
    </w:p>
    <w:p>
      <w:pPr>
        <w:keepNext/>
        <w:spacing w:before="160" w:after="120"/>
        <w:outlineLvl w:val="1"/>
      </w:pPr>
      <w:r>
        <w:rPr>
          <w:rFonts w:ascii="黑体" w:hAnsi="黑体" w:eastAsia="黑体"/>
          <w:b/>
          <w:sz w:val="26"/>
        </w:rPr>
        <w:t>5.4 预测结果与可视化</w:t>
      </w:r>
    </w:p>
    <w:p>
      <w:pPr>
        <w:spacing w:line="360" w:lineRule="auto"/>
        <w:ind w:firstLine="480"/>
        <w:jc w:val="both"/>
      </w:pPr>
      <w:r>
        <w:rPr>
          <w:rFonts w:ascii="宋体" w:hAnsi="宋体" w:eastAsia="宋体"/>
          <w:b w:val="0"/>
          <w:sz w:val="24"/>
        </w:rPr>
        <w:t>训练完成后, 模型在测试集上取得如下结果: 归一化尺度 MAE=0.4462、RMSE=0.7494; 还原到真实速度尺度 MAE≈9.041 mph、RMSE≈15.184 mph、MAPE≈18.994%。考虑到 METR-LA 车速标准差约 20.261 mph, 该误差水平表明模型已经学到了交通速度的主要时空规律。图 2 给出了某传感器在测试集上的预测车速与真实车速对比。</w:t>
      </w:r>
    </w:p>
    <w:p>
      <w:pPr>
        <w:jc w:val="center"/>
      </w:pPr>
      <w:r>
        <w:drawing>
          <wp:inline xmlns:a="http://schemas.openxmlformats.org/drawingml/2006/main" xmlns:pic="http://schemas.openxmlformats.org/drawingml/2006/picture">
            <wp:extent cx="5080000" cy="2032000"/>
            <wp:docPr id="4" name="Picture 4"/>
            <wp:cNvGraphicFramePr>
              <a:graphicFrameLocks noChangeAspect="1"/>
            </wp:cNvGraphicFramePr>
            <a:graphic>
              <a:graphicData uri="http://schemas.openxmlformats.org/drawingml/2006/picture">
                <pic:pic>
                  <pic:nvPicPr>
                    <pic:cNvPr id="0" name="prediction_vs_truth.png"/>
                    <pic:cNvPicPr/>
                  </pic:nvPicPr>
                  <pic:blipFill>
                    <a:blip r:embed="rId9"/>
                    <a:stretch>
                      <a:fillRect/>
                    </a:stretch>
                  </pic:blipFill>
                  <pic:spPr>
                    <a:xfrm>
                      <a:off x="0" y="0"/>
                      <a:ext cx="5080000" cy="2032000"/>
                    </a:xfrm>
                    <a:prstGeom prst="rect"/>
                  </pic:spPr>
                </pic:pic>
              </a:graphicData>
            </a:graphic>
          </wp:inline>
        </w:drawing>
      </w:r>
    </w:p>
    <w:p>
      <w:pPr>
        <w:spacing w:after="120"/>
        <w:jc w:val="center"/>
      </w:pPr>
      <w:r>
        <w:rPr>
          <w:rFonts w:ascii="楷体" w:hAnsi="楷体" w:eastAsia="楷体"/>
          <w:b w:val="0"/>
          <w:sz w:val="21"/>
        </w:rPr>
        <w:t>图 2　某传感器预测车速与真实车速对比</w:t>
      </w:r>
    </w:p>
    <w:p>
      <w:pPr>
        <w:spacing w:line="360" w:lineRule="auto"/>
        <w:ind w:firstLine="480"/>
        <w:jc w:val="both"/>
      </w:pPr>
      <w:r>
        <w:rPr>
          <w:rFonts w:ascii="宋体" w:hAnsi="宋体" w:eastAsia="宋体"/>
          <w:b w:val="0"/>
          <w:sz w:val="24"/>
        </w:rPr>
        <w:t>从预测对比图可以看到, 模型预测的车速曲线能够较好地跟踪真实曲线的整体走势, 尤其能够捕捉到由高峰期引起的速度下降与平峰期的速度回升, 体现了时空图神经网络对交通模式的建模能力。</w:t>
      </w:r>
    </w:p>
    <w:p>
      <w:pPr>
        <w:keepNext/>
        <w:spacing w:before="160" w:after="120"/>
        <w:outlineLvl w:val="1"/>
      </w:pPr>
      <w:r>
        <w:rPr>
          <w:rFonts w:ascii="黑体" w:hAnsi="黑体" w:eastAsia="黑体"/>
          <w:b/>
          <w:sz w:val="26"/>
        </w:rPr>
        <w:t>5.5 结果讨论与误差分析</w:t>
      </w:r>
    </w:p>
    <w:p>
      <w:pPr>
        <w:spacing w:line="360" w:lineRule="auto"/>
        <w:ind w:firstLine="480"/>
        <w:jc w:val="both"/>
      </w:pPr>
      <w:r>
        <w:rPr>
          <w:rFonts w:ascii="宋体" w:hAnsi="宋体" w:eastAsia="宋体"/>
          <w:b w:val="0"/>
          <w:sz w:val="24"/>
        </w:rPr>
        <w:t>进一步分析, 误差主要来源于三方面: 其一, 多步预测中后段时间步的误差累积——预测第 1 步(未来 5 分钟)精度最高, 随着视野延伸到第 12 步(未来 1 小时)误差逐步上升; 其二, 突发事件(如事故、临时管制)难以从历史规律中预测; 其三, 受限于 CPU 算力, 本文仅使用了部分样本与较少的训练轮数。若使用全量数据、增大训练轮数, 或引入更深的图卷积层与更精细的注意力结构, 预计可进一步降低误差。</w:t>
      </w:r>
    </w:p>
    <w:p>
      <w:pPr>
        <w:spacing w:line="360" w:lineRule="auto"/>
        <w:ind w:firstLine="480"/>
        <w:jc w:val="both"/>
      </w:pPr>
      <w:r>
        <w:rPr>
          <w:rFonts w:ascii="宋体" w:hAnsi="宋体" w:eastAsia="宋体"/>
          <w:b w:val="0"/>
          <w:sz w:val="24"/>
        </w:rPr>
        <w:t>从时段与空间维度看: 平峰期车速平稳、易于预测, 而早晚高峰的速度骤降阶段误差相对偏大, 说明对突变模式的建模仍有提升空间; 位于路网交汇处、连接关系复杂的传感器, 其预测更依赖图卷积对邻居信息的聚合质量。综合来看, MAPE 约 19% 的水平在仅用部分样本、CPU 训练的条件下属于合理区间, 体现了 A3T-GCN 在空间建模与时间建模上的均衡能力。</w:t>
      </w:r>
    </w:p>
    <w:p>
      <w:pPr>
        <w:keepNext/>
        <w:spacing w:before="160" w:after="120"/>
        <w:outlineLvl w:val="0"/>
      </w:pPr>
      <w:r>
        <w:rPr>
          <w:rFonts w:ascii="黑体" w:hAnsi="黑体" w:eastAsia="黑体"/>
          <w:b/>
          <w:sz w:val="30"/>
        </w:rPr>
        <w:t>6 结论与展望</w:t>
      </w:r>
    </w:p>
    <w:p>
      <w:pPr>
        <w:spacing w:line="360" w:lineRule="auto"/>
        <w:ind w:firstLine="480"/>
        <w:jc w:val="both"/>
      </w:pPr>
      <w:r>
        <w:rPr>
          <w:rFonts w:ascii="宋体" w:hAnsi="宋体" w:eastAsia="宋体"/>
          <w:b w:val="0"/>
          <w:sz w:val="24"/>
        </w:rPr>
        <w:t>本文针对城市交通速度预测这一实际问题, 采用注意力时空图卷积网络 A3T-GCN, 在真实路网数据集 METR-LA 上完成了未来 1 小时车速的多步预测。实验验证了图神经网络在建模交通时空依赖方面的有效性: 通过 GCN 聚合路网邻居、GRU 建模时间趋势、注意力机制聚合关键时刻, 模型在测试集上取得了较低的预测误差。未来工作可从以下方向展开: (1)引入自适应邻接矩阵, 让模型从数据中学习潜在的空间关联而非仅依赖预定义的路网距离; (2)结合天气、事件等外部因素提升对突发情况的鲁棒性; (3)采用更先进的时空Transformer 等结构, 并在 GPU 上使用全量数据进行训练以追求更高精度。</w:t>
      </w:r>
    </w:p>
    <w:p>
      <w:pPr>
        <w:keepNext/>
        <w:spacing w:before="160" w:after="120"/>
        <w:outlineLvl w:val="0"/>
      </w:pPr>
      <w:r>
        <w:rPr>
          <w:rFonts w:ascii="黑体" w:hAnsi="黑体" w:eastAsia="黑体"/>
          <w:b/>
          <w:sz w:val="30"/>
        </w:rPr>
        <w:t>参考文献</w:t>
      </w:r>
    </w:p>
    <w:p>
      <w:pPr>
        <w:spacing w:line="360" w:lineRule="auto"/>
      </w:pPr>
      <w:r>
        <w:rPr>
          <w:rFonts w:ascii="宋体" w:hAnsi="宋体" w:eastAsia="宋体"/>
          <w:b w:val="0"/>
          <w:sz w:val="21"/>
        </w:rPr>
        <w:t>[1] Zhu J, Song Y, Zhao L, et al. A3T-GCN: Attention Temporal Graph Convolutional Network for Traffic Forecasting[J]. ISPRS International Journal of Geo-Information, 2021, 10(7): 485.</w:t>
      </w:r>
    </w:p>
    <w:p>
      <w:pPr>
        <w:spacing w:line="360" w:lineRule="auto"/>
      </w:pPr>
      <w:r>
        <w:rPr>
          <w:rFonts w:ascii="宋体" w:hAnsi="宋体" w:eastAsia="宋体"/>
          <w:b w:val="0"/>
          <w:sz w:val="21"/>
        </w:rPr>
        <w:t>[2] Zhao L, Song Y, Zhang C, et al. T-GCN: A Temporal Graph Convolutional Network for Traffic Prediction[J]. IEEE Transactions on Intelligent Transportation Systems, 2020, 21(9): 3848-3858.</w:t>
      </w:r>
    </w:p>
    <w:p>
      <w:pPr>
        <w:spacing w:line="360" w:lineRule="auto"/>
      </w:pPr>
      <w:r>
        <w:rPr>
          <w:rFonts w:ascii="宋体" w:hAnsi="宋体" w:eastAsia="宋体"/>
          <w:b w:val="0"/>
          <w:sz w:val="21"/>
        </w:rPr>
        <w:t>[3] Li Y, Yu R, Shahabi C, et al. Diffusion Convolutional Recurrent Neural Network: Data-Driven Traffic Forecasting[C]. ICLR, 2018.</w:t>
      </w:r>
    </w:p>
    <w:p>
      <w:pPr>
        <w:spacing w:line="360" w:lineRule="auto"/>
      </w:pPr>
      <w:r>
        <w:rPr>
          <w:rFonts w:ascii="宋体" w:hAnsi="宋体" w:eastAsia="宋体"/>
          <w:b w:val="0"/>
          <w:sz w:val="21"/>
        </w:rPr>
        <w:t>[4] Kipf T N, Welling M. Semi-Supervised Classification with Graph Convolutional Networks[C]. ICLR, 2017.</w:t>
      </w:r>
    </w:p>
    <w:p>
      <w:pPr>
        <w:spacing w:line="360" w:lineRule="auto"/>
      </w:pPr>
      <w:r>
        <w:rPr>
          <w:rFonts w:ascii="宋体" w:hAnsi="宋体" w:eastAsia="宋体"/>
          <w:b w:val="0"/>
          <w:sz w:val="21"/>
        </w:rPr>
        <w:t>[5] Cho K, et al. Learning Phrase Representations using RNN Encoder-Decoder for Statistical Machine Translation[C]. EMNLP, 2014.</w:t>
      </w:r>
    </w:p>
    <w:p>
      <w:pPr>
        <w:spacing w:line="360" w:lineRule="auto"/>
      </w:pPr>
      <w:r>
        <w:rPr>
          <w:rFonts w:ascii="宋体" w:hAnsi="宋体" w:eastAsia="宋体"/>
          <w:b w:val="0"/>
          <w:sz w:val="21"/>
        </w:rPr>
        <w:t>[6] Rozemberczki B, et al. PyTorch Geometric Temporal: Spatiotemporal Signal Processing with Neural Machine Learning Models[C]. CIKM, 2021.</w:t>
      </w:r>
    </w:p>
    <w:p>
      <w:pPr>
        <w:spacing w:line="360" w:lineRule="auto"/>
      </w:pPr>
      <w:r>
        <w:rPr>
          <w:rFonts w:ascii="宋体" w:hAnsi="宋体" w:eastAsia="宋体"/>
          <w:b w:val="0"/>
          <w:sz w:val="21"/>
        </w:rPr>
        <w:t>[7] Yu B, Yin H, Zhu Z. Spatio-Temporal Graph Convolutional Networks: A Deep Learning Framework for Traffic Forecasting[C]. IJCAI, 2018.</w:t>
      </w:r>
    </w:p>
    <w:p>
      <w:r>
        <w:br w:type="page"/>
      </w:r>
    </w:p>
    <w:p>
      <w:pPr>
        <w:keepNext/>
        <w:spacing w:before="160" w:after="120"/>
        <w:outlineLvl w:val="0"/>
      </w:pPr>
      <w:r>
        <w:rPr>
          <w:rFonts w:ascii="黑体" w:hAnsi="黑体" w:eastAsia="黑体"/>
          <w:b/>
          <w:sz w:val="30"/>
        </w:rPr>
        <w:t>附录1 相关代码及操作</w:t>
      </w:r>
    </w:p>
    <w:p>
      <w:pPr>
        <w:keepNext/>
        <w:spacing w:before="160" w:after="120"/>
        <w:outlineLvl w:val="1"/>
      </w:pPr>
      <w:r>
        <w:rPr>
          <w:rFonts w:ascii="黑体" w:hAnsi="黑体" w:eastAsia="黑体"/>
          <w:b/>
          <w:sz w:val="26"/>
        </w:rPr>
        <w:t>附1.1 实验过程</w:t>
      </w:r>
    </w:p>
    <w:p>
      <w:pPr>
        <w:spacing w:line="360" w:lineRule="auto"/>
        <w:jc w:val="both"/>
      </w:pPr>
      <w:r>
        <w:rPr>
          <w:rFonts w:ascii="宋体" w:hAnsi="宋体" w:eastAsia="宋体"/>
          <w:b w:val="0"/>
          <w:sz w:val="24"/>
        </w:rPr>
        <w:t>1. 环境准备: 创建 Python 虚拟环境, 安装 torch、torch-geometric、torch-geometric-temporal、numpy、scipy、scikit-learn、pandas、matplotlib、seaborn 等依赖(见 requirements.txt)。</w:t>
        <w:br/>
        <w:t>2. 数据准备: 首次运行时 METRLADatasetLoader 自动下载 METR-LA 数据到 data/ 目录, 并完成 z-score 归一化与 time-of-day 特征拼接; 仓库内同时保留了部分样本数据。</w:t>
        <w:br/>
        <w:t>3. 构建样本: 以滑动窗口将逐时间步数据堆叠为 [样本数, N, F, T] 的张量, 并按时间8:2 划分训练/测试集。</w:t>
        <w:br/>
        <w:t>4. 模型训练: 使用 Adam 优化器与 MSE 损失迭代训练, 逐 epoch 记录训练损失。</w:t>
        <w:br/>
        <w:t>5. 评估与可视化: 在测试集上计算 MAE/RMSE(同时给出归一化与真实速度两种尺度), 并绘制训练损失曲线与某传感器的预测-真实对比图。</w:t>
        <w:br/>
        <w:t>6. 结果保存: 指标写入 results/metrics.json, 图像保存为 results/*.png, 模型权重保存为 results/a3tgcn_model.pt。</w:t>
      </w:r>
    </w:p>
    <w:p>
      <w:pPr>
        <w:keepNext/>
        <w:spacing w:before="160" w:after="120"/>
        <w:outlineLvl w:val="1"/>
      </w:pPr>
      <w:r>
        <w:rPr>
          <w:rFonts w:ascii="黑体" w:hAnsi="黑体" w:eastAsia="黑体"/>
          <w:b/>
          <w:sz w:val="26"/>
        </w:rPr>
        <w:t>附1.2 运行命令</w:t>
      </w:r>
    </w:p>
    <w:p>
      <w:pPr>
        <w:spacing w:line="312" w:lineRule="auto"/>
        <w:ind w:left="240"/>
      </w:pPr>
      <w:r>
        <w:rPr>
          <w:rFonts w:ascii="Consolas" w:hAnsi="Consolas" w:eastAsia="Consolas"/>
          <w:b w:val="0"/>
          <w:sz w:val="21"/>
        </w:rPr>
        <w:t># 安装依赖</w:t>
        <w:br/>
        <w:t>pip install -r requirements.txt</w:t>
        <w:br/>
        <w:br/>
        <w:t># 默认配置训练(CPU 友好, 限制样本量)</w:t>
        <w:br/>
        <w:t>python src/train.py --epochs 30 --max-samples 6000</w:t>
        <w:br/>
        <w:br/>
        <w:t># 使用全部数据训练</w:t>
        <w:br/>
        <w:t>python src/train.py --epochs 30 --max-samples 0</w:t>
        <w:br/>
        <w:br/>
        <w:t># 仅评估(加载已训练模型)</w:t>
        <w:br/>
        <w:t>python src/train.py --eval-only</w:t>
      </w:r>
    </w:p>
    <w:p>
      <w:pPr>
        <w:keepNext/>
        <w:spacing w:before="160" w:after="120"/>
        <w:outlineLvl w:val="1"/>
      </w:pPr>
      <w:r>
        <w:rPr>
          <w:rFonts w:ascii="黑体" w:hAnsi="黑体" w:eastAsia="黑体"/>
          <w:b/>
          <w:sz w:val="26"/>
        </w:rPr>
        <w:t>附1.3 中间结果(指标摘要)</w:t>
      </w:r>
    </w:p>
    <w:tbl>
      <w:tblPr>
        <w:tblStyle w:val="3"/>
        <w:tblW w:type="auto" w:w="0"/>
        <w:tblLook w:firstColumn="1" w:firstRow="1" w:lastColumn="0" w:lastRow="0" w:noHBand="0" w:noVBand="1" w:val="04A0"/>
      </w:tblPr>
      <w:tblGrid>
        <w:gridCol w:w="4153"/>
        <w:gridCol w:w="4153"/>
      </w:tblGrid>
      <w:tr>
        <w:tc>
          <w:tcPr>
            <w:tcW w:type="dxa" w:w="4153"/>
          </w:tcPr>
          <w:p>
            <w:r>
              <w:rPr>
                <w:rFonts w:ascii="黑体" w:hAnsi="黑体" w:eastAsia="黑体"/>
                <w:b/>
                <w:sz w:val="22"/>
              </w:rPr>
              <w:t>指标</w:t>
            </w:r>
          </w:p>
        </w:tc>
        <w:tc>
          <w:tcPr>
            <w:tcW w:type="dxa" w:w="4153"/>
          </w:tcPr>
          <w:p>
            <w:r>
              <w:rPr>
                <w:rFonts w:ascii="黑体" w:hAnsi="黑体" w:eastAsia="黑体"/>
                <w:b/>
                <w:sz w:val="22"/>
              </w:rPr>
              <w:t>数值</w:t>
            </w:r>
          </w:p>
        </w:tc>
      </w:tr>
      <w:tr>
        <w:tc>
          <w:tcPr>
            <w:tcW w:type="dxa" w:w="4153"/>
          </w:tcPr>
          <w:p>
            <w:r>
              <w:rPr>
                <w:rFonts w:ascii="宋体" w:hAnsi="宋体" w:eastAsia="宋体"/>
                <w:b w:val="0"/>
                <w:sz w:val="21"/>
              </w:rPr>
              <w:t>数据集</w:t>
            </w:r>
          </w:p>
        </w:tc>
        <w:tc>
          <w:tcPr>
            <w:tcW w:type="dxa" w:w="4153"/>
          </w:tcPr>
          <w:p>
            <w:r>
              <w:rPr>
                <w:rFonts w:ascii="宋体" w:hAnsi="宋体" w:eastAsia="宋体"/>
                <w:b w:val="0"/>
                <w:sz w:val="21"/>
              </w:rPr>
              <w:t>METR-LA (207 sensors, Los Angeles, 2012.03-2012.06)</w:t>
            </w:r>
          </w:p>
        </w:tc>
      </w:tr>
      <w:tr>
        <w:tc>
          <w:tcPr>
            <w:tcW w:type="dxa" w:w="4153"/>
          </w:tcPr>
          <w:p>
            <w:r>
              <w:rPr>
                <w:rFonts w:ascii="宋体" w:hAnsi="宋体" w:eastAsia="宋体"/>
                <w:b w:val="0"/>
                <w:sz w:val="21"/>
              </w:rPr>
              <w:t>模型</w:t>
            </w:r>
          </w:p>
        </w:tc>
        <w:tc>
          <w:tcPr>
            <w:tcW w:type="dxa" w:w="4153"/>
          </w:tcPr>
          <w:p>
            <w:r>
              <w:rPr>
                <w:rFonts w:ascii="宋体" w:hAnsi="宋体" w:eastAsia="宋体"/>
                <w:b w:val="0"/>
                <w:sz w:val="21"/>
              </w:rPr>
              <w:t>A3T-GCN (Attention Temporal Graph Convolutional Network)</w:t>
            </w:r>
          </w:p>
        </w:tc>
      </w:tr>
      <w:tr>
        <w:tc>
          <w:tcPr>
            <w:tcW w:type="dxa" w:w="4153"/>
          </w:tcPr>
          <w:p>
            <w:r>
              <w:rPr>
                <w:rFonts w:ascii="宋体" w:hAnsi="宋体" w:eastAsia="宋体"/>
                <w:b w:val="0"/>
                <w:sz w:val="21"/>
              </w:rPr>
              <w:t>训练轮数 epochs</w:t>
            </w:r>
          </w:p>
        </w:tc>
        <w:tc>
          <w:tcPr>
            <w:tcW w:type="dxa" w:w="4153"/>
          </w:tcPr>
          <w:p>
            <w:r>
              <w:rPr>
                <w:rFonts w:ascii="宋体" w:hAnsi="宋体" w:eastAsia="宋体"/>
                <w:b w:val="0"/>
                <w:sz w:val="21"/>
              </w:rPr>
              <w:t>30</w:t>
            </w:r>
          </w:p>
        </w:tc>
      </w:tr>
      <w:tr>
        <w:tc>
          <w:tcPr>
            <w:tcW w:type="dxa" w:w="4153"/>
          </w:tcPr>
          <w:p>
            <w:r>
              <w:rPr>
                <w:rFonts w:ascii="宋体" w:hAnsi="宋体" w:eastAsia="宋体"/>
                <w:b w:val="0"/>
                <w:sz w:val="21"/>
              </w:rPr>
              <w:t>批大小 batch_size</w:t>
            </w:r>
          </w:p>
        </w:tc>
        <w:tc>
          <w:tcPr>
            <w:tcW w:type="dxa" w:w="4153"/>
          </w:tcPr>
          <w:p>
            <w:r>
              <w:rPr>
                <w:rFonts w:ascii="宋体" w:hAnsi="宋体" w:eastAsia="宋体"/>
                <w:b w:val="0"/>
                <w:sz w:val="21"/>
              </w:rPr>
              <w:t>32</w:t>
            </w:r>
          </w:p>
        </w:tc>
      </w:tr>
      <w:tr>
        <w:tc>
          <w:tcPr>
            <w:tcW w:type="dxa" w:w="4153"/>
          </w:tcPr>
          <w:p>
            <w:r>
              <w:rPr>
                <w:rFonts w:ascii="宋体" w:hAnsi="宋体" w:eastAsia="宋体"/>
                <w:b w:val="0"/>
                <w:sz w:val="21"/>
              </w:rPr>
              <w:t>学习率 lr</w:t>
            </w:r>
          </w:p>
        </w:tc>
        <w:tc>
          <w:tcPr>
            <w:tcW w:type="dxa" w:w="4153"/>
          </w:tcPr>
          <w:p>
            <w:r>
              <w:rPr>
                <w:rFonts w:ascii="宋体" w:hAnsi="宋体" w:eastAsia="宋体"/>
                <w:b w:val="0"/>
                <w:sz w:val="21"/>
              </w:rPr>
              <w:t>0.01</w:t>
            </w:r>
          </w:p>
        </w:tc>
      </w:tr>
      <w:tr>
        <w:tc>
          <w:tcPr>
            <w:tcW w:type="dxa" w:w="4153"/>
          </w:tcPr>
          <w:p>
            <w:r>
              <w:rPr>
                <w:rFonts w:ascii="宋体" w:hAnsi="宋体" w:eastAsia="宋体"/>
                <w:b w:val="0"/>
                <w:sz w:val="21"/>
              </w:rPr>
              <w:t>输入/输出步长</w:t>
            </w:r>
          </w:p>
        </w:tc>
        <w:tc>
          <w:tcPr>
            <w:tcW w:type="dxa" w:w="4153"/>
          </w:tcPr>
          <w:p>
            <w:r>
              <w:rPr>
                <w:rFonts w:ascii="宋体" w:hAnsi="宋体" w:eastAsia="宋体"/>
                <w:b w:val="0"/>
                <w:sz w:val="21"/>
              </w:rPr>
              <w:t>12 / 12</w:t>
            </w:r>
          </w:p>
        </w:tc>
      </w:tr>
      <w:tr>
        <w:tc>
          <w:tcPr>
            <w:tcW w:type="dxa" w:w="4153"/>
          </w:tcPr>
          <w:p>
            <w:r>
              <w:rPr>
                <w:rFonts w:ascii="宋体" w:hAnsi="宋体" w:eastAsia="宋体"/>
                <w:b w:val="0"/>
                <w:sz w:val="21"/>
              </w:rPr>
              <w:t>训练样本数</w:t>
            </w:r>
          </w:p>
        </w:tc>
        <w:tc>
          <w:tcPr>
            <w:tcW w:type="dxa" w:w="4153"/>
          </w:tcPr>
          <w:p>
            <w:r>
              <w:rPr>
                <w:rFonts w:ascii="宋体" w:hAnsi="宋体" w:eastAsia="宋体"/>
                <w:b w:val="0"/>
                <w:sz w:val="21"/>
              </w:rPr>
              <w:t>6000</w:t>
            </w:r>
          </w:p>
        </w:tc>
      </w:tr>
      <w:tr>
        <w:tc>
          <w:tcPr>
            <w:tcW w:type="dxa" w:w="4153"/>
          </w:tcPr>
          <w:p>
            <w:r>
              <w:rPr>
                <w:rFonts w:ascii="宋体" w:hAnsi="宋体" w:eastAsia="宋体"/>
                <w:b w:val="0"/>
                <w:sz w:val="21"/>
              </w:rPr>
              <w:t>测试样本数</w:t>
            </w:r>
          </w:p>
        </w:tc>
        <w:tc>
          <w:tcPr>
            <w:tcW w:type="dxa" w:w="4153"/>
          </w:tcPr>
          <w:p>
            <w:r>
              <w:rPr>
                <w:rFonts w:ascii="宋体" w:hAnsi="宋体" w:eastAsia="宋体"/>
                <w:b w:val="0"/>
                <w:sz w:val="21"/>
              </w:rPr>
              <w:t>1500</w:t>
            </w:r>
          </w:p>
        </w:tc>
      </w:tr>
      <w:tr>
        <w:tc>
          <w:tcPr>
            <w:tcW w:type="dxa" w:w="4153"/>
          </w:tcPr>
          <w:p>
            <w:r>
              <w:rPr>
                <w:rFonts w:ascii="宋体" w:hAnsi="宋体" w:eastAsia="宋体"/>
                <w:b w:val="0"/>
                <w:sz w:val="21"/>
              </w:rPr>
              <w:t>测试 MAE(归一化)</w:t>
            </w:r>
          </w:p>
        </w:tc>
        <w:tc>
          <w:tcPr>
            <w:tcW w:type="dxa" w:w="4153"/>
          </w:tcPr>
          <w:p>
            <w:r>
              <w:rPr>
                <w:rFonts w:ascii="宋体" w:hAnsi="宋体" w:eastAsia="宋体"/>
                <w:b w:val="0"/>
                <w:sz w:val="21"/>
              </w:rPr>
              <w:t>0.4462</w:t>
            </w:r>
          </w:p>
        </w:tc>
      </w:tr>
      <w:tr>
        <w:tc>
          <w:tcPr>
            <w:tcW w:type="dxa" w:w="4153"/>
          </w:tcPr>
          <w:p>
            <w:r>
              <w:rPr>
                <w:rFonts w:ascii="宋体" w:hAnsi="宋体" w:eastAsia="宋体"/>
                <w:b w:val="0"/>
                <w:sz w:val="21"/>
              </w:rPr>
              <w:t>测试 RMSE(归一化)</w:t>
            </w:r>
          </w:p>
        </w:tc>
        <w:tc>
          <w:tcPr>
            <w:tcW w:type="dxa" w:w="4153"/>
          </w:tcPr>
          <w:p>
            <w:r>
              <w:rPr>
                <w:rFonts w:ascii="宋体" w:hAnsi="宋体" w:eastAsia="宋体"/>
                <w:b w:val="0"/>
                <w:sz w:val="21"/>
              </w:rPr>
              <w:t>0.7494</w:t>
            </w:r>
          </w:p>
        </w:tc>
      </w:tr>
      <w:tr>
        <w:tc>
          <w:tcPr>
            <w:tcW w:type="dxa" w:w="4153"/>
          </w:tcPr>
          <w:p>
            <w:r>
              <w:rPr>
                <w:rFonts w:ascii="宋体" w:hAnsi="宋体" w:eastAsia="宋体"/>
                <w:b w:val="0"/>
                <w:sz w:val="21"/>
              </w:rPr>
              <w:t>测试 MAE(mph)</w:t>
            </w:r>
          </w:p>
        </w:tc>
        <w:tc>
          <w:tcPr>
            <w:tcW w:type="dxa" w:w="4153"/>
          </w:tcPr>
          <w:p>
            <w:r>
              <w:rPr>
                <w:rFonts w:ascii="宋体" w:hAnsi="宋体" w:eastAsia="宋体"/>
                <w:b w:val="0"/>
                <w:sz w:val="21"/>
              </w:rPr>
              <w:t>9.041</w:t>
            </w:r>
          </w:p>
        </w:tc>
      </w:tr>
      <w:tr>
        <w:tc>
          <w:tcPr>
            <w:tcW w:type="dxa" w:w="4153"/>
          </w:tcPr>
          <w:p>
            <w:r>
              <w:rPr>
                <w:rFonts w:ascii="宋体" w:hAnsi="宋体" w:eastAsia="宋体"/>
                <w:b w:val="0"/>
                <w:sz w:val="21"/>
              </w:rPr>
              <w:t>测试 RMSE(mph)</w:t>
            </w:r>
          </w:p>
        </w:tc>
        <w:tc>
          <w:tcPr>
            <w:tcW w:type="dxa" w:w="4153"/>
          </w:tcPr>
          <w:p>
            <w:r>
              <w:rPr>
                <w:rFonts w:ascii="宋体" w:hAnsi="宋体" w:eastAsia="宋体"/>
                <w:b w:val="0"/>
                <w:sz w:val="21"/>
              </w:rPr>
              <w:t>15.184</w:t>
            </w:r>
          </w:p>
        </w:tc>
      </w:tr>
      <w:tr>
        <w:tc>
          <w:tcPr>
            <w:tcW w:type="dxa" w:w="4153"/>
          </w:tcPr>
          <w:p>
            <w:r>
              <w:rPr>
                <w:rFonts w:ascii="宋体" w:hAnsi="宋体" w:eastAsia="宋体"/>
                <w:b w:val="0"/>
                <w:sz w:val="21"/>
              </w:rPr>
              <w:t>测试 MAPE(%)</w:t>
            </w:r>
          </w:p>
        </w:tc>
        <w:tc>
          <w:tcPr>
            <w:tcW w:type="dxa" w:w="4153"/>
          </w:tcPr>
          <w:p>
            <w:r>
              <w:rPr>
                <w:rFonts w:ascii="宋体" w:hAnsi="宋体" w:eastAsia="宋体"/>
                <w:b w:val="0"/>
                <w:sz w:val="21"/>
              </w:rPr>
              <w:t>18.994</w:t>
            </w:r>
          </w:p>
        </w:tc>
      </w:tr>
      <w:tr>
        <w:tc>
          <w:tcPr>
            <w:tcW w:type="dxa" w:w="4153"/>
          </w:tcPr>
          <w:p>
            <w:r>
              <w:rPr>
                <w:rFonts w:ascii="宋体" w:hAnsi="宋体" w:eastAsia="宋体"/>
                <w:b w:val="0"/>
                <w:sz w:val="21"/>
              </w:rPr>
              <w:t>速度均值(mph)</w:t>
            </w:r>
          </w:p>
        </w:tc>
        <w:tc>
          <w:tcPr>
            <w:tcW w:type="dxa" w:w="4153"/>
          </w:tcPr>
          <w:p>
            <w:r>
              <w:rPr>
                <w:rFonts w:ascii="宋体" w:hAnsi="宋体" w:eastAsia="宋体"/>
                <w:b w:val="0"/>
                <w:sz w:val="21"/>
              </w:rPr>
              <w:t>53.719</w:t>
            </w:r>
          </w:p>
        </w:tc>
      </w:tr>
      <w:tr>
        <w:tc>
          <w:tcPr>
            <w:tcW w:type="dxa" w:w="4153"/>
          </w:tcPr>
          <w:p>
            <w:r>
              <w:rPr>
                <w:rFonts w:ascii="宋体" w:hAnsi="宋体" w:eastAsia="宋体"/>
                <w:b w:val="0"/>
                <w:sz w:val="21"/>
              </w:rPr>
              <w:t>速度标准差(mph)</w:t>
            </w:r>
          </w:p>
        </w:tc>
        <w:tc>
          <w:tcPr>
            <w:tcW w:type="dxa" w:w="4153"/>
          </w:tcPr>
          <w:p>
            <w:r>
              <w:rPr>
                <w:rFonts w:ascii="宋体" w:hAnsi="宋体" w:eastAsia="宋体"/>
                <w:b w:val="0"/>
                <w:sz w:val="21"/>
              </w:rPr>
              <w:t>20.261</w:t>
            </w:r>
          </w:p>
        </w:tc>
      </w:tr>
      <w:tr>
        <w:tc>
          <w:tcPr>
            <w:tcW w:type="dxa" w:w="4153"/>
          </w:tcPr>
          <w:p>
            <w:r>
              <w:rPr>
                <w:rFonts w:ascii="宋体" w:hAnsi="宋体" w:eastAsia="宋体"/>
                <w:b w:val="0"/>
                <w:sz w:val="21"/>
              </w:rPr>
              <w:t>最终训练 MSE</w:t>
            </w:r>
          </w:p>
        </w:tc>
        <w:tc>
          <w:tcPr>
            <w:tcW w:type="dxa" w:w="4153"/>
          </w:tcPr>
          <w:p>
            <w:r>
              <w:rPr>
                <w:rFonts w:ascii="宋体" w:hAnsi="宋体" w:eastAsia="宋体"/>
                <w:b w:val="0"/>
                <w:sz w:val="21"/>
              </w:rPr>
              <w:t>0.3715</w:t>
            </w:r>
          </w:p>
        </w:tc>
      </w:tr>
    </w:tbl>
    <w:p>
      <w:pPr>
        <w:keepNext/>
        <w:spacing w:before="160" w:after="120"/>
        <w:outlineLvl w:val="1"/>
      </w:pPr>
      <w:r>
        <w:rPr>
          <w:rFonts w:ascii="黑体" w:hAnsi="黑体" w:eastAsia="黑体"/>
          <w:b/>
          <w:sz w:val="26"/>
        </w:rPr>
        <w:t>附1.4 实验心得</w:t>
      </w:r>
    </w:p>
    <w:p>
      <w:pPr>
        <w:spacing w:line="360" w:lineRule="auto"/>
        <w:ind w:firstLine="480"/>
        <w:jc w:val="both"/>
      </w:pPr>
      <w:r>
        <w:rPr>
          <w:rFonts w:ascii="宋体" w:hAnsi="宋体" w:eastAsia="宋体"/>
          <w:b w:val="0"/>
          <w:sz w:val="24"/>
        </w:rPr>
        <w:t>通过本次实验, 我对图神经网络在时空预测任务中的应用有了更深入的理解。首先, 交通数据的空间结构是非欧几里得的, 用图来组织传感器并以邻接矩阵注入路网拓扑, 比单纯堆叠时间序列更符合问题本质。其次, A3T-GCN 将空间(GCN)、时间(GRU)与注意力三者结合的思路很有启发性: 注意力机制让模型能够'看重'关键历史时刻, 这在交通这种具有明显周期与突变的场景中尤为有用。第三, 在工程实现层面, 我体会到张量维度与批大小管理的重要性——A3TGCN2 的注意力组件与批大小绑定, 必须保证训练与评估的批形状一致, 否则会出现维度不匹配的错误; 同时, 在 CPU 上训练大规模时空数据需要在样本量、批大小与训练轮数之间权衡, 以兼顾效率与精度。最后, 将归一化误差还原为真实速度单位的做法提醒我: 指标不仅要利于优化, 更要便于解释, 这样才能真正服务于实际应用。总体而言, 本次实验让我完整体验了'问题建模—数据处理—模型构建—训练评估—结果分析'的科研闭环, 为后续深入学习时空图神经网络打下了基础。</w:t>
      </w:r>
    </w:p>
    <w:p>
      <w:pPr>
        <w:spacing w:line="360" w:lineRule="auto"/>
        <w:ind w:firstLine="480"/>
        <w:jc w:val="both"/>
      </w:pPr>
      <w:r>
        <w:rPr>
          <w:rFonts w:ascii="宋体" w:hAnsi="宋体" w:eastAsia="宋体"/>
          <w:b w:val="0"/>
          <w:sz w:val="24"/>
        </w:rPr>
        <w:t>在调试过程中, 我也积累了若干实践经验。第一, 评估指标应当兼顾'可优化'与'可解释'两个层面: 在归一化尺度上计算损失有利于训练稳定, 而把误差还原到真实速度(mph)并补充 MAPE 百分比误差, 才能让结果对交通工程师更有意义; 在计算全局均值与标准差这类统计量时, 还需要注意数值精度——对数百万个样本用单精度浮点累加会引入可观的误差, 改用双精度后还原出的真实速度指标更加准确。第二, 数据划分必须严格遵循时间顺序, 训练集只能使用早于测试集的样本, 否则会造成信息泄漏, 使评估结果虚高而失去参考价值。第三, 在算力有限时, 通过限制样本量与轮数可以快速验证流程是否打通, 待流程稳定后再扩大数据规模追求精度, 这种'先跑通、再调优'的策略能够显著提高实验效率。第四, 边界情况的健壮性同样重要, 例如当测试样本数小于批大小时所有批次都会被丢弃, 程序应当给出明确的提示而非直接崩溃。这些细节看似微小, 却直接关系到实验结论的可信度与工程实现的可靠性, 也是我在本次作业中最重要的收获之一。</w:t>
      </w:r>
    </w:p>
    <w:p>
      <w:pPr>
        <w:keepNext/>
        <w:spacing w:before="160" w:after="120"/>
        <w:outlineLvl w:val="0"/>
      </w:pPr>
      <w:r>
        <w:rPr>
          <w:rFonts w:ascii="黑体" w:hAnsi="黑体" w:eastAsia="黑体"/>
          <w:b/>
          <w:sz w:val="30"/>
        </w:rPr>
        <w:t>附录2 查重报告</w:t>
      </w:r>
    </w:p>
    <w:p>
      <w:pPr>
        <w:spacing w:line="360" w:lineRule="auto"/>
        <w:jc w:val="both"/>
      </w:pPr>
      <w:r>
        <w:rPr>
          <w:rFonts w:ascii="宋体" w:hAnsi="宋体" w:eastAsia="宋体"/>
          <w:b w:val="0"/>
          <w:sz w:val="24"/>
        </w:rPr>
        <w:t>本报告所涉及的文字内容、代码与实验结果均为作者独立完成, 引用他人成果均已在参考文献中标注。查重报告由学校指定的论文检测系统(如中国知网、维普等)生成, 检测通过后将其结果页附于此处。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1FEA5"/>
    <w:multiLevelType w:val="singleLevel"/>
    <w:tmpl w:val="BFD1FEA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updateFields w:val="true"/>
  <w:zoom w:percent="17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FC3CE"/>
    <w:rsid w:val="002C24BF"/>
    <w:rsid w:val="00FE311A"/>
    <w:rsid w:val="277CEFB4"/>
    <w:rsid w:val="2A7F58B6"/>
    <w:rsid w:val="3E6F048E"/>
    <w:rsid w:val="3F7FDA2E"/>
    <w:rsid w:val="3FAFFA56"/>
    <w:rsid w:val="47DF6BBD"/>
    <w:rsid w:val="4AF6F7C6"/>
    <w:rsid w:val="73B78B2C"/>
    <w:rsid w:val="77EF0DCD"/>
    <w:rsid w:val="77FF8A20"/>
    <w:rsid w:val="7CE70CDF"/>
    <w:rsid w:val="7DF7E9BB"/>
    <w:rsid w:val="7E9FE961"/>
    <w:rsid w:val="7F1D1AAF"/>
    <w:rsid w:val="7F53A874"/>
    <w:rsid w:val="7F7B5428"/>
    <w:rsid w:val="7FCFBE6E"/>
    <w:rsid w:val="7FF98DD0"/>
    <w:rsid w:val="7FFD3BC9"/>
    <w:rsid w:val="7FFFC3CE"/>
    <w:rsid w:val="85AFC2E2"/>
    <w:rsid w:val="97FF1D12"/>
    <w:rsid w:val="BF0BCCE8"/>
    <w:rsid w:val="BF4D190D"/>
    <w:rsid w:val="DFF7C23A"/>
    <w:rsid w:val="EF6D5955"/>
    <w:rsid w:val="FD5EFECF"/>
    <w:rsid w:val="FDF6A685"/>
    <w:rsid w:val="FFDF3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2"/>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57</Words>
  <Characters>326</Characters>
  <Lines>2</Lines>
  <Paragraphs>1</Paragraphs>
  <TotalTime>0</TotalTime>
  <ScaleCrop>false</ScaleCrop>
  <LinksUpToDate>false</LinksUpToDate>
  <CharactersWithSpaces>382</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2024-07-02T05:41:00Z</dcterms:created>
  <dc:creator>大王</dc:creator>
  <cp:lastModifiedBy>王会举</cp:lastModifiedBy>
  <dcterms:modified xsi:type="dcterms:W3CDTF">2026-05-07T09:45:16Z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3B148DE0E34C3E98CEEDFB690D5F39B1_43</vt:lpwstr>
  </property>
</Properties>
</file>