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B15BE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1. 大模型微调的完整技术方案与工程落地细节</w:t>
      </w:r>
    </w:p>
    <w:p w14:paraId="546CA36A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采用 LoRA 参数高效微调方案，仅对 Transformer 的 Q/V 投影层添加低秩矩阵，冻结底座模型参数。训练时设置秩 r=8、缩放因子 α=16，使用 AdamW 优化器，学习率 2e-4，配合余弦退火学习率调度与梯度裁剪。工程上使用混合精度训练、分布式数据并行，提升训练效率，训练后合并 LoRA 权重，不增加推理延迟。</w:t>
      </w:r>
    </w:p>
    <w:p w14:paraId="73E0C6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</w:t>
      </w:r>
    </w:p>
    <w:p w14:paraId="682B9D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torch.nn as nn</w:t>
      </w:r>
    </w:p>
    <w:p w14:paraId="05E33A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FA66C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LoRALinear(nn.Module):def __init__(self, in_features, out_features, r=8, alpha=16):super().__init__()</w:t>
      </w:r>
    </w:p>
    <w:p w14:paraId="686366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self.weight = nn.Parameter(torch.randn(out_features, in_features), requires_grad=False)</w:t>
      </w:r>
    </w:p>
    <w:p w14:paraId="611CAA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self.A = nn.Parameter(torch.randn(r, in_features) * 0.01)</w:t>
      </w:r>
    </w:p>
    <w:p w14:paraId="30BD5F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self.B = nn.Parameter(torch.randn(out_features, r) * 0.01)</w:t>
      </w:r>
    </w:p>
    <w:p w14:paraId="477FF5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self.scale = alpha / r</w:t>
      </w:r>
    </w:p>
    <w:p w14:paraId="38FD94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3224D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forward(self, x):return x @ self.weight.t() + ((x @ self.A.t()) @ self.B.t()) * self.scale</w:t>
      </w:r>
    </w:p>
    <w:p w14:paraId="4ECAF43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2 大模型业务指标体系设计与召回率的定义</w:t>
      </w:r>
    </w:p>
    <w:p w14:paraId="60459666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核心指标覆盖效果、效率、安全三大维度：效果指标包括准确率、召回率、F1、幻觉率；效率指标包括推理延迟、吞吐量、显存占用；安全指标包括合规率、有害内容拦截率。召回率定义为模型正确识别的正样本数与真实正样本总数的比值，用于衡量模型对正样本的覆盖能力。</w:t>
      </w:r>
    </w:p>
    <w:p w14:paraId="17E27B2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3. 大模型幻觉问题的全链路解决方案</w:t>
      </w:r>
    </w:p>
    <w:p w14:paraId="5407D84E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从数据、训练、推理、后处理四个环节闭环解决：数据层面构建高质量领域知识库，清洗噪声数据；训练层面通过 SFT+RLHF 微调对齐业务需求；推理层面引入 RAG 检索增强约束生成逻辑；后处理层面添加事实校验模块，拦截错误信息并结合知识图谱保证一致性。</w:t>
      </w:r>
    </w:p>
    <w:p w14:paraId="28C105F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4. 多头注意力机制的核心实现与数学原理</w:t>
      </w:r>
    </w:p>
    <w:p w14:paraId="03F84FA5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多头注意力将输入特征通过线性变换投影到多个子空间，分别计算自注意力后拼接，再通过线性变换输出。核心公式为：MultiHead(Q,K,V)=Concat(head1,...,headh)WO实现时将 Q/K/V 按头数切分并行计算，提升模型并行度与特征表达能力，捕捉多维度语义关联。</w:t>
      </w:r>
    </w:p>
    <w:p w14:paraId="6647CE0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5. RoPE 旋转位置编码的核心原理与长序列优势</w:t>
      </w:r>
    </w:p>
    <w:p w14:paraId="085086B6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RoPE 通过旋转矩阵将绝对位置信息注入 Q/K 向量，同时保留相对位置关系，特征内积仅与相对位置相关。长序列优势为无序列长度依赖、可外推至更长文本，有效解决传统位置编码长序列性能衰减问题。</w:t>
      </w:r>
    </w:p>
    <w:p w14:paraId="01FADCC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6. MoE 架构在大模型中的核心设计与训练难点</w:t>
      </w:r>
    </w:p>
    <w:p w14:paraId="3E1444FE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MoE 通过激活部分专家网络处理输入，在提升模型容量的同时降低计算量。训练难点包括专家负载均衡、梯度通信开销、门控网络精度优化，需结合辅助损失与动态路由策略保证训练稳定性。</w:t>
      </w:r>
    </w:p>
    <w:p w14:paraId="7AB3769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7. vLLM 中 PagedAttention 的显存优化逻辑</w:t>
      </w:r>
    </w:p>
    <w:p w14:paraId="6AB9C571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将 KV 缓存划分为固定大小页面，支持非连续显存分配与动态调度，彻底消除显存碎片，配合连续批处理机制大幅提升显存利用率与推理吞吐量，适配高并发大模型服务。</w:t>
      </w:r>
    </w:p>
    <w:p w14:paraId="115601A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8. 大模型训练中 Loss 突刺的成因与工程处理方案</w:t>
      </w:r>
    </w:p>
    <w:p w14:paraId="4D3C224A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Loss 突刺主要来源于异常样本、数据分布突变、梯度爆炸、学习率配置不当与硬件通信异常。解决方案为过滤脏数据、梯度裁剪、动态学习率调整、训练状态实时监控与硬件链路校验。</w:t>
      </w:r>
    </w:p>
    <w:p w14:paraId="7E4F2D6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9. 大模型领域自适应预训练的优化策略</w:t>
      </w:r>
    </w:p>
    <w:p w14:paraId="41D36ABC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核心采用增量预训练保留通用知识，搭配低秩适配降低训练成本，结合对比学习增强领域表征，使用混合语料训练平衡通用与领域知识，同时通过数据增强扩充小样本领域数据。</w:t>
      </w:r>
    </w:p>
    <w:p w14:paraId="7BB1088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10. RAG 系统中多路召回与重排序的工程实现</w:t>
      </w:r>
    </w:p>
    <w:p w14:paraId="65035306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采用向量检索 + 关键词检索构建多路召回，通过交叉熵模型做精排优化相关性，对长文档做语义切块，配合向量数据库索引优化降低检索延迟，提升生成内容准确率。</w:t>
      </w:r>
    </w:p>
    <w:p w14:paraId="650E707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11. 大模型长文本上下文外推的技术方案</w:t>
      </w:r>
    </w:p>
    <w:p w14:paraId="5CEB3104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基于 RoPE 位置插值、滑动窗口注意力、分层记忆机制与分块检索，突破原生上下文窗口限制，在不重新预训练的前提下实现长文本理解与推理。</w:t>
      </w:r>
    </w:p>
    <w:p w14:paraId="5981A65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12. 大模型工具调用的意图解析与异常容错设计</w:t>
      </w:r>
    </w:p>
    <w:p w14:paraId="26A926E4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通过指令模板约束工具调用格式，对返回结果做结构化校验，设置超时重试与规则兜底策略，使用状态机记录执行链路，保证流程稳定性。</w:t>
      </w:r>
    </w:p>
    <w:p w14:paraId="3E4A7DD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13. 多模态大模型跨模态特征对齐的实现方式</w:t>
      </w:r>
    </w:p>
    <w:p w14:paraId="6617C166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通过对比学习统一图文特征空间，使用跨模态注意力实现特征交互，加入模态归一化层消除分布差异，适配图文检索、多模态理解等任务。</w:t>
      </w:r>
    </w:p>
    <w:p w14:paraId="4AEF2C8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14. 大模型量化推理的性能损耗控制方法</w:t>
      </w:r>
    </w:p>
    <w:p w14:paraId="35B0A290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采用浮点感知量化、通道级量化与校准数据微调，在降低显存占用的同时最小化精度损失，配合算子融合优化保证推理速度。</w:t>
      </w:r>
    </w:p>
    <w:p w14:paraId="49FCD8A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15. 大模型分布式训练 ZeRO 优化的核心逻辑</w:t>
      </w:r>
    </w:p>
    <w:p w14:paraId="0FC409B6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按阶段拆分优化器状态、梯度与模型参数，减少多卡显存冗余占用，配合通信融合与内存复用，支持超大规模模型单卡 / 多卡训练。</w:t>
      </w:r>
    </w:p>
    <w:p w14:paraId="5048C6B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16. 模型概率校准在业务决策中的应用</w:t>
      </w:r>
    </w:p>
    <w:p w14:paraId="7797223C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通过 Platt 缩放与分桶校正将模型输出映射为真实概率，直接支撑阈值决策、排序策略与资源分配，提升业务指标可靠性。</w:t>
      </w:r>
    </w:p>
    <w:p w14:paraId="3591057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17. 大模型知识蒸馏的离线与在线落地形式</w:t>
      </w:r>
    </w:p>
    <w:p w14:paraId="6B03FEDB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离线蒸馏使用大模型软标签监督小模型训练，在线蒸馏实现多模型协同优化，特征蒸馏兼顾输出与中间层信息，适用于端侧轻量化部署。</w:t>
      </w:r>
    </w:p>
    <w:p w14:paraId="7A3133E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18. 对话系统上下文管理与状态跟踪机制</w:t>
      </w:r>
    </w:p>
    <w:p w14:paraId="28C3AAA1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采用滑动窗口维护短期上下文，向量库存储长期记忆，结合对话状态追踪实现意图继承与多轮逻辑一致性，提升长对话效果。</w:t>
      </w:r>
    </w:p>
    <w:p w14:paraId="11F9DCD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19. Transformer FFN 层设计对模型表达能力的影响</w:t>
      </w:r>
    </w:p>
    <w:p w14:paraId="7FC7BD93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GLU 等门控结构可增强特征非线性表达，自适应激活函数提升梯度流动性，缩放参数配置直接影响模型拟合能力与训练收敛速度。</w:t>
      </w:r>
    </w:p>
    <w:p w14:paraId="02056E0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20. 大模型预训练数据清洗与去重 pipeline</w:t>
      </w:r>
    </w:p>
    <w:p w14:paraId="01FE5BA5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基于 MinHash 与 SimHash 实现文本去重，结合语言识别、长度过滤、perplexity 筛选构建全流程数据净化 pipeline，提升预训练收敛效率。</w:t>
      </w:r>
    </w:p>
    <w:p w14:paraId="0CC31F5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21. 大模型推理时 KV 缓存动态管理策略</w:t>
      </w:r>
    </w:p>
    <w:p w14:paraId="2878ACD0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根据序列长度动态分配 KV 缓存空间，对闲置空间实时回收，支持多请求复用与分页调度，在高并发场景下避免 OOM。</w:t>
      </w:r>
    </w:p>
    <w:p w14:paraId="5C92DC1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22. 大模型对抗样本鲁棒性提升方法</w:t>
      </w:r>
    </w:p>
    <w:p w14:paraId="13E2B706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引入对抗训练、特征平滑与噪声注入增强模型稳定性，对输入扰动做鲁棒性校准，降低异常输入导致的输出漂移。</w:t>
      </w:r>
    </w:p>
    <w:p w14:paraId="5DF6E2C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手撕算法题</w:t>
      </w:r>
    </w:p>
    <w:p w14:paraId="5D8522EF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26"/>
          <w:szCs w:val="26"/>
        </w:rPr>
      </w:pPr>
      <w:r>
        <w:rPr>
          <w:b/>
          <w:bCs/>
          <w:i w:val="0"/>
          <w:iCs w:val="0"/>
          <w:caps w:val="0"/>
          <w:color w:val="000000"/>
          <w:spacing w:val="0"/>
          <w:sz w:val="26"/>
          <w:szCs w:val="26"/>
          <w:bdr w:val="single" w:color="DDDDDD" w:sz="2" w:space="0"/>
        </w:rPr>
        <w:t>有序矩阵中第 K 小的元素</w:t>
      </w:r>
    </w:p>
    <w:p w14:paraId="0B6FB3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kthSmallest(matrix, k):</w:t>
      </w:r>
    </w:p>
    <w:p w14:paraId="4D3E13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n = len(matrix)</w:t>
      </w:r>
    </w:p>
    <w:p w14:paraId="4F3BC0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left, right = matrix[0][0], matrix[-1][-1]</w:t>
      </w:r>
    </w:p>
    <w:p w14:paraId="2C4F43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89D2F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count_less(mid):</w:t>
      </w:r>
    </w:p>
    <w:p w14:paraId="17F8E6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i, j, cnt = n-1, 0, 0</w:t>
      </w:r>
    </w:p>
    <w:p w14:paraId="5E1F59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while i &gt;= 0 and j &lt; n:</w:t>
      </w:r>
    </w:p>
    <w:p w14:paraId="41F56A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if matrix[i][j] &lt;= mid:</w:t>
      </w:r>
    </w:p>
    <w:p w14:paraId="237113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cnt += i + 1</w:t>
      </w:r>
    </w:p>
    <w:p w14:paraId="6702E7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j += 1</w:t>
      </w:r>
    </w:p>
    <w:p w14:paraId="20D56C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else:</w:t>
      </w:r>
    </w:p>
    <w:p w14:paraId="0C12FD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i -= 1</w:t>
      </w:r>
    </w:p>
    <w:p w14:paraId="0D89DF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cnt</w:t>
      </w:r>
    </w:p>
    <w:p w14:paraId="577C12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07E88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while left &lt; right:</w:t>
      </w:r>
    </w:p>
    <w:p w14:paraId="5943AA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mid = (left + right) // 2</w:t>
      </w:r>
    </w:p>
    <w:p w14:paraId="76C60C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count_less(mid) &lt; k:</w:t>
      </w:r>
    </w:p>
    <w:p w14:paraId="79E972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left = mid + 1</w:t>
      </w:r>
    </w:p>
    <w:p w14:paraId="188512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else:</w:t>
      </w:r>
    </w:p>
    <w:p w14:paraId="18D57F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right = mid</w:t>
      </w:r>
    </w:p>
    <w:p w14:paraId="72AEA6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left</w:t>
      </w:r>
    </w:p>
    <w:p w14:paraId="05D1C284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26"/>
          <w:szCs w:val="26"/>
        </w:rPr>
      </w:pPr>
      <w:r>
        <w:rPr>
          <w:b/>
          <w:bCs/>
          <w:i w:val="0"/>
          <w:iCs w:val="0"/>
          <w:caps w:val="0"/>
          <w:color w:val="000000"/>
          <w:spacing w:val="0"/>
          <w:sz w:val="26"/>
          <w:szCs w:val="26"/>
          <w:bdr w:val="single" w:color="DDDDDD" w:sz="2" w:space="0"/>
        </w:rPr>
        <w:t>合并 K 个升序链表</w:t>
      </w:r>
    </w:p>
    <w:p w14:paraId="5259A4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heapq</w:t>
      </w:r>
    </w:p>
    <w:p w14:paraId="2E2E75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CBF95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ListNode:</w:t>
      </w:r>
    </w:p>
    <w:p w14:paraId="4BE148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__init__(self, val=0, next=None):</w:t>
      </w:r>
    </w:p>
    <w:p w14:paraId="42C6A2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self.val = val</w:t>
      </w:r>
    </w:p>
    <w:p w14:paraId="7092C2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self.next = next</w:t>
      </w:r>
    </w:p>
    <w:p w14:paraId="09E5F1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DFF54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mergeKLists(lists):</w:t>
      </w:r>
    </w:p>
    <w:p w14:paraId="41C873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dummy = ListNode()</w:t>
      </w:r>
    </w:p>
    <w:p w14:paraId="65BBD1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cur = dummy</w:t>
      </w:r>
    </w:p>
    <w:p w14:paraId="19C4FB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heap = []</w:t>
      </w:r>
    </w:p>
    <w:p w14:paraId="5F928F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for i, node in enumerate(lists):</w:t>
      </w:r>
    </w:p>
    <w:p w14:paraId="447CF0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node:</w:t>
      </w:r>
    </w:p>
    <w:p w14:paraId="0ADECB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heapq.heappush(heap, (node.val, i, node))</w:t>
      </w:r>
    </w:p>
    <w:p w14:paraId="246AF6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while heap:</w:t>
      </w:r>
    </w:p>
    <w:p w14:paraId="6D4A7B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val, i, node = heapq.heappop(heap)</w:t>
      </w:r>
    </w:p>
    <w:p w14:paraId="03E5E6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cur.next = node</w:t>
      </w:r>
    </w:p>
    <w:p w14:paraId="6CEB75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cur = cur.next</w:t>
      </w:r>
    </w:p>
    <w:p w14:paraId="79CDA8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node.next:</w:t>
      </w:r>
    </w:p>
    <w:p w14:paraId="546B59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heapq.heappush(heap, (node.next.val, i, node.next))</w:t>
      </w:r>
    </w:p>
    <w:p w14:paraId="47CFBC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dummy.next</w:t>
      </w:r>
    </w:p>
    <w:p w14:paraId="1AE0604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F9B74C"/>
    <w:multiLevelType w:val="multilevel"/>
    <w:tmpl w:val="ADF9B7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6F0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2026-10-18T03:29:03Z</dcterms:created>
  <dc:creator>zhaoxi</dc:creator>
  <cp:lastModifiedBy>zhaoxi</cp:lastModifiedBy>
  <dcterms:modified xsi:type="dcterms:W3CDTF">2026-10-18T03:29:25Z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191C1C58BEF24A50B8CA344AEF8CBE04_12</vt:lpwstr>
  </property>
</Properties>
</file>