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C2" w:rsidRDefault="009372F8" w:rsidP="00B335D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MC</w:t>
      </w:r>
      <w:r w:rsidR="00011061" w:rsidRPr="00011061">
        <w:rPr>
          <w:rFonts w:ascii="微软雅黑" w:eastAsia="微软雅黑" w:hAnsi="微软雅黑" w:hint="eastAsia"/>
          <w:sz w:val="28"/>
          <w:szCs w:val="28"/>
        </w:rPr>
        <w:t>S系统详细设计</w:t>
      </w:r>
    </w:p>
    <w:p w:rsidR="00961C94" w:rsidRDefault="00961C94" w:rsidP="00961C9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开发工具 VS2010</w:t>
      </w:r>
    </w:p>
    <w:p w:rsidR="00011061" w:rsidRDefault="00011061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E5F63">
        <w:rPr>
          <w:rFonts w:ascii="微软雅黑" w:eastAsia="微软雅黑" w:hAnsi="微软雅黑" w:hint="eastAsia"/>
          <w:sz w:val="24"/>
          <w:szCs w:val="24"/>
        </w:rPr>
        <w:t>需要完成的软件，模块等：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组态工具。</w:t>
      </w:r>
      <w:r>
        <w:rPr>
          <w:rFonts w:ascii="微软雅黑" w:eastAsia="微软雅黑" w:hAnsi="微软雅黑" w:hint="eastAsia"/>
          <w:sz w:val="24"/>
          <w:szCs w:val="24"/>
        </w:rPr>
        <w:t>可以配置轨道平面图，设计路径点，速度值等信息。</w:t>
      </w:r>
    </w:p>
    <w:p w:rsidR="004E5F63" w:rsidRPr="00B335D2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组态要数据文件供GUI使用。在图形显示部分组态与GUI可以共用组件。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路径计算服务。</w:t>
      </w:r>
      <w:r>
        <w:rPr>
          <w:rFonts w:ascii="微软雅黑" w:eastAsia="微软雅黑" w:hAnsi="微软雅黑" w:hint="eastAsia"/>
          <w:sz w:val="24"/>
          <w:szCs w:val="24"/>
        </w:rPr>
        <w:t>提供小车的路径计算。</w:t>
      </w:r>
    </w:p>
    <w:p w:rsidR="004E5F63" w:rsidRPr="00B335D2" w:rsidRDefault="00BA20BB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路径由点序，及叉道标记构成。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GUI。</w:t>
      </w:r>
      <w:r>
        <w:rPr>
          <w:rFonts w:ascii="微软雅黑" w:eastAsia="微软雅黑" w:hAnsi="微软雅黑" w:hint="eastAsia"/>
          <w:sz w:val="24"/>
          <w:szCs w:val="24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小车管理系统。</w:t>
      </w:r>
      <w:r w:rsidRPr="00C577CD">
        <w:rPr>
          <w:rFonts w:ascii="微软雅黑" w:eastAsia="微软雅黑" w:hAnsi="微软雅黑" w:hint="eastAsia"/>
          <w:sz w:val="24"/>
          <w:szCs w:val="24"/>
        </w:rPr>
        <w:t>对小车的连接，在线状态，运行状态等进行管理。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小车运动系统。</w:t>
      </w:r>
      <w:r>
        <w:rPr>
          <w:rFonts w:ascii="微软雅黑" w:eastAsia="微软雅黑" w:hAnsi="微软雅黑" w:hint="eastAsia"/>
          <w:sz w:val="24"/>
          <w:szCs w:val="24"/>
        </w:rPr>
        <w:t>发送小车运动指令。</w:t>
      </w:r>
    </w:p>
    <w:p w:rsid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相当于小车驱动层。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STOCKER模块系统。</w:t>
      </w:r>
      <w:r>
        <w:rPr>
          <w:rFonts w:ascii="微软雅黑" w:eastAsia="微软雅黑" w:hAnsi="微软雅黑" w:hint="eastAsia"/>
          <w:sz w:val="24"/>
          <w:szCs w:val="24"/>
        </w:rPr>
        <w:t>对STOCKER通信，实现FOUP的取放。同时提供STOCKER的存储信息。STOCKER本地操作，处理人工晶圆取放操作。</w:t>
      </w:r>
    </w:p>
    <w:p w:rsidR="004E5F63" w:rsidRPr="00C577CD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轨道控制系统。</w:t>
      </w:r>
      <w:r>
        <w:rPr>
          <w:rFonts w:ascii="微软雅黑" w:eastAsia="微软雅黑" w:hAnsi="微软雅黑" w:hint="eastAsia"/>
          <w:sz w:val="24"/>
          <w:szCs w:val="24"/>
        </w:rPr>
        <w:t>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松采</w:t>
      </w:r>
      <w:r w:rsidRPr="00C577CD">
        <w:rPr>
          <w:rFonts w:ascii="微软雅黑" w:eastAsia="微软雅黑" w:hAnsi="微软雅黑" w:hint="eastAsia"/>
          <w:sz w:val="24"/>
          <w:szCs w:val="24"/>
        </w:rPr>
        <w:t>用</w:t>
      </w:r>
      <w:proofErr w:type="gramEnd"/>
      <w:r w:rsidRPr="00C577CD">
        <w:rPr>
          <w:rFonts w:ascii="微软雅黑" w:eastAsia="微软雅黑" w:hAnsi="微软雅黑" w:hint="eastAsia"/>
          <w:sz w:val="24"/>
          <w:szCs w:val="24"/>
        </w:rPr>
        <w:t>单轨道，</w:t>
      </w:r>
      <w:r>
        <w:rPr>
          <w:rFonts w:ascii="微软雅黑" w:eastAsia="微软雅黑" w:hAnsi="微软雅黑" w:hint="eastAsia"/>
          <w:sz w:val="24"/>
          <w:szCs w:val="24"/>
        </w:rPr>
        <w:t>在小车分支</w:t>
      </w:r>
      <w:r w:rsidRPr="00C577CD">
        <w:rPr>
          <w:rFonts w:ascii="微软雅黑" w:eastAsia="微软雅黑" w:hAnsi="微软雅黑" w:hint="eastAsia"/>
          <w:sz w:val="24"/>
          <w:szCs w:val="24"/>
        </w:rPr>
        <w:t>时要进行道叉变换动作。配合小车移动进行道叉的变换。应由小车运动系统发送变换道叉命令。</w: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FOUP派发计算。</w:t>
      </w:r>
      <w:r>
        <w:rPr>
          <w:rFonts w:ascii="微软雅黑" w:eastAsia="微软雅黑" w:hAnsi="微软雅黑" w:hint="eastAsia"/>
          <w:sz w:val="24"/>
          <w:szCs w:val="24"/>
        </w:rPr>
        <w:t>接收MES的FOUP分配，为小车路径计算提供目标数据。</w:t>
      </w:r>
    </w:p>
    <w:p w:rsidR="00BA6A85" w:rsidRDefault="00BA6A8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FOUP信息管理。</w:t>
      </w:r>
      <w:r>
        <w:rPr>
          <w:rFonts w:ascii="微软雅黑" w:eastAsia="微软雅黑" w:hAnsi="微软雅黑" w:hint="eastAsia"/>
          <w:sz w:val="24"/>
          <w:szCs w:val="24"/>
        </w:rPr>
        <w:t>提供FOUP信息总体查询。</w:t>
      </w:r>
    </w:p>
    <w:p w:rsidR="00853E95" w:rsidRDefault="00853E95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设备管理。</w:t>
      </w:r>
      <w:r w:rsidRPr="00853E95">
        <w:rPr>
          <w:rFonts w:ascii="微软雅黑" w:eastAsia="微软雅黑" w:hAnsi="微软雅黑" w:hint="eastAsia"/>
          <w:sz w:val="24"/>
          <w:szCs w:val="24"/>
        </w:rPr>
        <w:t>电源模块</w:t>
      </w:r>
      <w:r>
        <w:rPr>
          <w:rFonts w:ascii="微软雅黑" w:eastAsia="微软雅黑" w:hAnsi="微软雅黑" w:hint="eastAsia"/>
          <w:sz w:val="24"/>
          <w:szCs w:val="24"/>
        </w:rPr>
        <w:t>，IO模块等信息查询与控制。提供轨道电源的控制，供安全系统使用。</w:t>
      </w:r>
    </w:p>
    <w:p w:rsidR="00853E95" w:rsidRPr="00853E95" w:rsidRDefault="00853E95" w:rsidP="00853E9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安全系统。</w:t>
      </w:r>
      <w:r w:rsidRPr="00853E95">
        <w:rPr>
          <w:rFonts w:ascii="微软雅黑" w:eastAsia="微软雅黑" w:hAnsi="微软雅黑" w:hint="eastAsia"/>
          <w:sz w:val="24"/>
          <w:szCs w:val="24"/>
        </w:rPr>
        <w:t>处理小车互锁，小车运动过程中的道叉安全性检测。</w:t>
      </w:r>
    </w:p>
    <w:p w:rsidR="004E5F63" w:rsidRPr="004E5F63" w:rsidRDefault="004E5F63" w:rsidP="004E5F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4E5F63" w:rsidRDefault="004E5F63" w:rsidP="004E5F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模块设计：</w:t>
      </w:r>
    </w:p>
    <w:p w:rsidR="003F4544" w:rsidRDefault="003F4544" w:rsidP="003F454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模块间调用关系:</w:t>
      </w:r>
    </w:p>
    <w:p w:rsidR="003F4544" w:rsidRDefault="00ED7480" w:rsidP="00B11E2E">
      <w:pPr>
        <w:pStyle w:val="a3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7230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37.25pt" o:ole="">
            <v:imagedata r:id="rId8" o:title=""/>
          </v:shape>
          <o:OLEObject Type="Embed" ProgID="Visio.Drawing.11" ShapeID="_x0000_i1025" DrawAspect="Content" ObjectID="_1403349604" r:id="rId9"/>
        </w:object>
      </w:r>
    </w:p>
    <w:p w:rsidR="004E5F63" w:rsidRDefault="004E5F63" w:rsidP="004E5F63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F84FFF">
        <w:rPr>
          <w:rFonts w:ascii="微软雅黑" w:eastAsia="微软雅黑" w:hAnsi="微软雅黑" w:hint="eastAsia"/>
          <w:b/>
          <w:sz w:val="24"/>
          <w:szCs w:val="24"/>
        </w:rPr>
        <w:t>组态工具与GUI：</w:t>
      </w:r>
    </w:p>
    <w:p w:rsidR="00B84ABA" w:rsidRDefault="00B84ABA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组态工具与GUI都为图形显示系统。显示部分可使用同一种设计。组态工具会对图元的属性有更多的支持，GUI图元属性与实际工作场景相关。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基础图元：</w:t>
      </w:r>
    </w:p>
    <w:p w:rsidR="00272872" w:rsidRDefault="00272872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轨道元素：直道，弯</w:t>
      </w:r>
      <w:r w:rsidR="00F9226A">
        <w:rPr>
          <w:rFonts w:ascii="微软雅黑" w:eastAsia="微软雅黑" w:hAnsi="微软雅黑" w:hint="eastAsia"/>
          <w:sz w:val="24"/>
          <w:szCs w:val="24"/>
        </w:rPr>
        <w:t>道，叉道等。</w:t>
      </w:r>
    </w:p>
    <w:p w:rsidR="00253026" w:rsidRDefault="002530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天车：可用三角型指示天车。尖头为小车运动方向。使用色彩标识小车状态：</w:t>
      </w:r>
      <w:r w:rsidR="000E3C65">
        <w:rPr>
          <w:rFonts w:ascii="微软雅黑" w:eastAsia="微软雅黑" w:hAnsi="微软雅黑" w:hint="eastAsia"/>
          <w:sz w:val="24"/>
          <w:szCs w:val="24"/>
        </w:rPr>
        <w:t>空车</w:t>
      </w:r>
      <w:r>
        <w:rPr>
          <w:rFonts w:ascii="微软雅黑" w:eastAsia="微软雅黑" w:hAnsi="微软雅黑" w:hint="eastAsia"/>
          <w:sz w:val="24"/>
          <w:szCs w:val="24"/>
        </w:rPr>
        <w:t>，有FOUP</w:t>
      </w:r>
      <w:r w:rsidR="000E3C65">
        <w:rPr>
          <w:rFonts w:ascii="微软雅黑" w:eastAsia="微软雅黑" w:hAnsi="微软雅黑" w:hint="eastAsia"/>
          <w:sz w:val="24"/>
          <w:szCs w:val="24"/>
        </w:rPr>
        <w:t>，故障</w:t>
      </w:r>
      <w:r>
        <w:rPr>
          <w:rFonts w:ascii="微软雅黑" w:eastAsia="微软雅黑" w:hAnsi="微软雅黑" w:hint="eastAsia"/>
          <w:sz w:val="24"/>
          <w:szCs w:val="24"/>
        </w:rPr>
        <w:t>等。</w:t>
      </w:r>
    </w:p>
    <w:p w:rsidR="002662E7" w:rsidRDefault="002662E7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GUI使用C/S方式。由控制服务器提供GUI接口。（GUI是否可使用HTML5？）</w:t>
      </w:r>
    </w:p>
    <w:p w:rsidR="003A02A9" w:rsidRDefault="00E12867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GUI使用专门的</w:t>
      </w:r>
      <w:r w:rsidR="003A02A9">
        <w:rPr>
          <w:rFonts w:ascii="微软雅黑" w:eastAsia="微软雅黑" w:hAnsi="微软雅黑" w:hint="eastAsia"/>
          <w:sz w:val="24"/>
          <w:szCs w:val="24"/>
        </w:rPr>
        <w:t>用户权限管理系统。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组态工具设计样式如下图：</w:t>
      </w:r>
    </w:p>
    <w:p w:rsidR="005C7A9C" w:rsidRPr="005C7A9C" w:rsidRDefault="005C7A9C" w:rsidP="00CA7DD0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  <w:r>
        <w:object w:dxaOrig="11433" w:dyaOrig="7734">
          <v:shape id="_x0000_i1029" type="#_x0000_t75" style="width:414.75pt;height:280.5pt" o:ole="">
            <v:imagedata r:id="rId10" o:title=""/>
          </v:shape>
          <o:OLEObject Type="Embed" ProgID="Visio.Drawing.11" ShapeID="_x0000_i1029" DrawAspect="Content" ObjectID="_1403349605" r:id="rId11"/>
        </w:object>
      </w:r>
      <w:r w:rsidRPr="005C7A9C">
        <w:rPr>
          <w:rFonts w:ascii="微软雅黑" w:eastAsia="微软雅黑" w:hAnsi="微软雅黑" w:hint="eastAsia"/>
          <w:sz w:val="24"/>
          <w:szCs w:val="24"/>
        </w:rPr>
        <w:t>左侧为图元</w:t>
      </w:r>
      <w:r>
        <w:rPr>
          <w:rFonts w:ascii="微软雅黑" w:eastAsia="微软雅黑" w:hAnsi="微软雅黑" w:hint="eastAsia"/>
          <w:sz w:val="24"/>
          <w:szCs w:val="24"/>
        </w:rPr>
        <w:t>库：</w:t>
      </w:r>
      <w:r w:rsidRPr="005C7A9C">
        <w:rPr>
          <w:rFonts w:ascii="微软雅黑" w:eastAsia="微软雅黑" w:hAnsi="微软雅黑" w:hint="eastAsia"/>
          <w:sz w:val="24"/>
          <w:szCs w:val="24"/>
        </w:rPr>
        <w:t>图元库里绘制基本图元图标，如直线轨道，弯道，道叉等。</w:t>
      </w:r>
      <w:r>
        <w:rPr>
          <w:rFonts w:ascii="微软雅黑" w:eastAsia="微软雅黑" w:hAnsi="微软雅黑" w:hint="eastAsia"/>
          <w:sz w:val="24"/>
          <w:szCs w:val="24"/>
        </w:rPr>
        <w:t>可以拖拽方式将图元拖到绘图区内。</w:t>
      </w:r>
    </w:p>
    <w:p w:rsidR="005C7A9C" w:rsidRDefault="005C7A9C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C7A9C">
        <w:rPr>
          <w:rFonts w:ascii="微软雅黑" w:eastAsia="微软雅黑" w:hAnsi="微软雅黑" w:hint="eastAsia"/>
          <w:sz w:val="24"/>
          <w:szCs w:val="24"/>
        </w:rPr>
        <w:t>中侧区为绘图</w:t>
      </w:r>
      <w:r>
        <w:rPr>
          <w:rFonts w:ascii="微软雅黑" w:eastAsia="微软雅黑" w:hAnsi="微软雅黑" w:hint="eastAsia"/>
          <w:sz w:val="24"/>
          <w:szCs w:val="24"/>
        </w:rPr>
        <w:t>区：</w:t>
      </w:r>
      <w:proofErr w:type="gramStart"/>
      <w:r w:rsidR="00E84F48">
        <w:rPr>
          <w:rFonts w:ascii="微软雅黑" w:eastAsia="微软雅黑" w:hAnsi="微软雅黑" w:hint="eastAsia"/>
          <w:sz w:val="24"/>
          <w:szCs w:val="24"/>
        </w:rPr>
        <w:t>绘图区</w:t>
      </w:r>
      <w:proofErr w:type="gramEnd"/>
      <w:r w:rsidR="00E84F48">
        <w:rPr>
          <w:rFonts w:ascii="微软雅黑" w:eastAsia="微软雅黑" w:hAnsi="微软雅黑" w:hint="eastAsia"/>
          <w:sz w:val="24"/>
          <w:szCs w:val="24"/>
        </w:rPr>
        <w:t>可以将多个图元以摆放方式绘制成与实际轨道样子相同的轨道图。</w:t>
      </w:r>
    </w:p>
    <w:p w:rsidR="00E84F48" w:rsidRDefault="00E84F48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右侧区为属性表：可以查看与更改图元的属性信息。</w:t>
      </w:r>
    </w:p>
    <w:p w:rsidR="00DC66A4" w:rsidRDefault="00DC66A4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GUI界面如下图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所示：</w:t>
      </w:r>
    </w:p>
    <w:p w:rsidR="00DC66A4" w:rsidRPr="00D976C6" w:rsidRDefault="00DC66A4" w:rsidP="00CA7DD0">
      <w:pPr>
        <w:pStyle w:val="a3"/>
        <w:ind w:left="840" w:firstLineChars="0" w:firstLine="0"/>
        <w:jc w:val="center"/>
        <w:rPr>
          <w:rFonts w:ascii="微软雅黑" w:eastAsia="微软雅黑" w:hAnsi="微软雅黑" w:hint="eastAsia"/>
          <w:sz w:val="24"/>
          <w:szCs w:val="24"/>
        </w:rPr>
      </w:pPr>
      <w:r>
        <w:object w:dxaOrig="11390" w:dyaOrig="7082">
          <v:shape id="_x0000_i1030" type="#_x0000_t75" style="width:415.5pt;height:258pt" o:ole="">
            <v:imagedata r:id="rId12" o:title=""/>
          </v:shape>
          <o:OLEObject Type="Embed" ProgID="Visio.Drawing.11" ShapeID="_x0000_i1030" DrawAspect="Content" ObjectID="_1403349606" r:id="rId13"/>
        </w:objec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左边树</w:t>
      </w:r>
      <w:r w:rsidR="002B7C26" w:rsidRPr="00D976C6">
        <w:rPr>
          <w:rFonts w:ascii="微软雅黑" w:eastAsia="微软雅黑" w:hAnsi="微软雅黑"/>
          <w:sz w:val="24"/>
          <w:szCs w:val="24"/>
        </w:rPr>
        <w:t>型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显示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调度系统基本信</w:t>
      </w:r>
      <w:r w:rsidR="002B7C26" w:rsidRPr="00D976C6">
        <w:rPr>
          <w:rFonts w:ascii="微软雅黑" w:eastAsia="微软雅黑" w:hAnsi="微软雅黑"/>
          <w:sz w:val="24"/>
          <w:szCs w:val="24"/>
        </w:rPr>
        <w:t>息。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如当前运行的天车数量</w:t>
      </w:r>
      <w:r w:rsidR="002B7C26" w:rsidRPr="00D976C6">
        <w:rPr>
          <w:rFonts w:ascii="微软雅黑" w:eastAsia="微软雅黑" w:hAnsi="微软雅黑"/>
          <w:sz w:val="24"/>
          <w:szCs w:val="24"/>
        </w:rPr>
        <w:t>，</w:t>
      </w:r>
      <w:r w:rsidR="002B7C26" w:rsidRPr="00D976C6">
        <w:rPr>
          <w:rFonts w:ascii="微软雅黑" w:eastAsia="微软雅黑" w:hAnsi="微软雅黑" w:hint="eastAsia"/>
          <w:sz w:val="24"/>
          <w:szCs w:val="24"/>
        </w:rPr>
        <w:t>当前</w:t>
      </w:r>
      <w:proofErr w:type="gramStart"/>
      <w:r w:rsidR="002B7C26" w:rsidRPr="00D976C6">
        <w:rPr>
          <w:rFonts w:ascii="微软雅黑" w:eastAsia="微软雅黑" w:hAnsi="微软雅黑" w:hint="eastAsia"/>
          <w:sz w:val="24"/>
          <w:szCs w:val="24"/>
        </w:rPr>
        <w:t>己分配晶</w:t>
      </w:r>
      <w:proofErr w:type="gramEnd"/>
      <w:r w:rsidR="002B7C26" w:rsidRPr="00D976C6">
        <w:rPr>
          <w:rFonts w:ascii="微软雅黑" w:eastAsia="微软雅黑" w:hAnsi="微软雅黑" w:hint="eastAsia"/>
          <w:sz w:val="24"/>
          <w:szCs w:val="24"/>
        </w:rPr>
        <w:t>圆的天车队列数目，报警数目等。</w:t>
      </w:r>
    </w:p>
    <w:p w:rsidR="002B7C26" w:rsidRPr="00D976C6" w:rsidRDefault="002B7C26" w:rsidP="00B84ABA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右边图型</w:t>
      </w:r>
      <w:proofErr w:type="gramStart"/>
      <w:r w:rsidRPr="00D976C6">
        <w:rPr>
          <w:rFonts w:ascii="微软雅黑" w:eastAsia="微软雅黑" w:hAnsi="微软雅黑" w:hint="eastAsia"/>
          <w:sz w:val="24"/>
          <w:szCs w:val="24"/>
        </w:rPr>
        <w:t>区显示</w:t>
      </w:r>
      <w:proofErr w:type="gramEnd"/>
      <w:r w:rsidRPr="00D976C6">
        <w:rPr>
          <w:rFonts w:ascii="微软雅黑" w:eastAsia="微软雅黑" w:hAnsi="微软雅黑" w:hint="eastAsia"/>
          <w:sz w:val="24"/>
          <w:szCs w:val="24"/>
        </w:rPr>
        <w:t>轨道信息及小车实时运行信息。可以用图标方式标示出小车当前的位置及小车上是否有FOUP。画面更新不用太快两三秒即可。</w:t>
      </w:r>
    </w:p>
    <w:p w:rsidR="002B7C26" w:rsidRPr="003A02A9" w:rsidRDefault="002B7C2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976C6">
        <w:rPr>
          <w:rFonts w:ascii="微软雅黑" w:eastAsia="微软雅黑" w:hAnsi="微软雅黑" w:hint="eastAsia"/>
          <w:sz w:val="24"/>
          <w:szCs w:val="24"/>
        </w:rPr>
        <w:t>图型区下边以TAB控件方式放置多个表格。用来显示系统具体信息。如在线所有小车的基本信息，运行状态，FOUP ID等。</w:t>
      </w:r>
    </w:p>
    <w:p w:rsidR="00887E0B" w:rsidRDefault="00887E0B" w:rsidP="00887E0B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天车驱动:</w:t>
      </w:r>
    </w:p>
    <w:p w:rsidR="00603354" w:rsidRDefault="00887E0B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提供与天车硬件交互的接口。</w:t>
      </w:r>
      <w:r w:rsidR="00150C96">
        <w:rPr>
          <w:rFonts w:ascii="微软雅黑" w:eastAsia="微软雅黑" w:hAnsi="微软雅黑" w:hint="eastAsia"/>
          <w:sz w:val="24"/>
          <w:szCs w:val="24"/>
        </w:rPr>
        <w:t>提供天车状态查询与发送给天车命令。</w:t>
      </w:r>
    </w:p>
    <w:p w:rsidR="007B1516" w:rsidRDefault="007B1516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驱动与天车使用TCP/IP协议通</w:t>
      </w:r>
      <w:r w:rsidR="0005106E">
        <w:rPr>
          <w:rFonts w:ascii="微软雅黑" w:eastAsia="微软雅黑" w:hAnsi="微软雅黑" w:hint="eastAsia"/>
          <w:sz w:val="24"/>
          <w:szCs w:val="24"/>
        </w:rPr>
        <w:t>信，使用无线网络方式。</w:t>
      </w:r>
    </w:p>
    <w:p w:rsidR="00771A31" w:rsidRDefault="00771A31" w:rsidP="00B84A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天车驱动以对象方式提供天车接口：</w:t>
      </w:r>
    </w:p>
    <w:p w:rsidR="00771A31" w:rsidRDefault="00D54558" w:rsidP="00771A31">
      <w:pPr>
        <w:pStyle w:val="a3"/>
        <w:ind w:left="840" w:firstLineChars="0" w:firstLine="0"/>
        <w:jc w:val="center"/>
      </w:pPr>
      <w:r>
        <w:object w:dxaOrig="1314" w:dyaOrig="1306">
          <v:shape id="_x0000_i1026" type="#_x0000_t75" style="width:95.25pt;height:94.5pt" o:ole="">
            <v:imagedata r:id="rId14" o:title=""/>
          </v:shape>
          <o:OLEObject Type="Embed" ProgID="Visio.Drawing.11" ShapeID="_x0000_i1026" DrawAspect="Content" ObjectID="_1403349607" r:id="rId15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771A31" w:rsidTr="00340F65">
        <w:trPr>
          <w:trHeight w:val="555"/>
        </w:trPr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771A31" w:rsidRPr="000605A6" w:rsidRDefault="00771A31" w:rsidP="00771A31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252BEE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</w:t>
            </w:r>
            <w:r w:rsidR="00771A31" w:rsidRPr="000605A6">
              <w:rPr>
                <w:rFonts w:ascii="微软雅黑" w:eastAsia="微软雅黑" w:hAnsi="微软雅黑" w:hint="eastAsia"/>
                <w:szCs w:val="21"/>
              </w:rPr>
              <w:t>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771A31" w:rsidTr="00771A31">
        <w:tc>
          <w:tcPr>
            <w:tcW w:w="1843" w:type="dxa"/>
          </w:tcPr>
          <w:p w:rsidR="00771A31" w:rsidRPr="000605A6" w:rsidRDefault="00771A31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771A31" w:rsidRPr="000605A6" w:rsidRDefault="003725C8" w:rsidP="00771A31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A74DB7" w:rsidRDefault="00A74DB7" w:rsidP="00A74DB7">
      <w:pPr>
        <w:pStyle w:val="a3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A74DB7" w:rsidRDefault="00A74DB7" w:rsidP="00A74DB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轨道驱动：</w:t>
      </w:r>
    </w:p>
    <w:p w:rsidR="00771A31" w:rsidRDefault="0088334C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轨道的</w:t>
      </w:r>
      <w:r>
        <w:rPr>
          <w:rFonts w:ascii="微软雅黑" w:eastAsia="微软雅黑" w:hAnsi="微软雅黑"/>
          <w:sz w:val="24"/>
          <w:szCs w:val="24"/>
        </w:rPr>
        <w:t>操</w:t>
      </w:r>
      <w:r>
        <w:rPr>
          <w:rFonts w:ascii="微软雅黑" w:eastAsia="微软雅黑" w:hAnsi="微软雅黑" w:hint="eastAsia"/>
          <w:sz w:val="24"/>
          <w:szCs w:val="24"/>
        </w:rPr>
        <w:t>作是道叉的变换</w:t>
      </w:r>
      <w:r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道叉使用气缸驱动，控制上使用一路IO即可。</w:t>
      </w:r>
      <w:r w:rsidR="00CB14BA">
        <w:rPr>
          <w:rFonts w:ascii="微软雅黑" w:eastAsia="微软雅黑" w:hAnsi="微软雅黑" w:hint="eastAsia"/>
          <w:sz w:val="24"/>
          <w:szCs w:val="24"/>
        </w:rPr>
        <w:t>轨道供电控制，作为安全控制使用，特殊情况下切断电源使天车停止运行。</w:t>
      </w:r>
    </w:p>
    <w:p w:rsidR="00CB14BA" w:rsidRDefault="00CB14BA" w:rsidP="00CB14B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STOCK驱动：</w:t>
      </w:r>
    </w:p>
    <w:p w:rsidR="00CB14BA" w:rsidRPr="00CB14BA" w:rsidRDefault="00CB14BA" w:rsidP="00CB14B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CB14BA">
        <w:rPr>
          <w:rFonts w:ascii="微软雅黑" w:eastAsia="微软雅黑" w:hAnsi="微软雅黑" w:hint="eastAsia"/>
          <w:sz w:val="24"/>
          <w:szCs w:val="24"/>
        </w:rPr>
        <w:t>STOCK</w:t>
      </w:r>
      <w:r>
        <w:rPr>
          <w:rFonts w:ascii="微软雅黑" w:eastAsia="微软雅黑" w:hAnsi="微软雅黑" w:hint="eastAsia"/>
          <w:sz w:val="24"/>
          <w:szCs w:val="24"/>
        </w:rPr>
        <w:t>驱动提供STOCK对象的操作。取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与送晶圆盒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，查询存储状态，查询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圆盒位置。</w:t>
      </w:r>
    </w:p>
    <w:p w:rsidR="00CB14BA" w:rsidRDefault="00D54558" w:rsidP="00D54558">
      <w:pPr>
        <w:pStyle w:val="a3"/>
        <w:ind w:left="840" w:firstLineChars="0" w:firstLine="0"/>
        <w:jc w:val="center"/>
      </w:pPr>
      <w:r>
        <w:object w:dxaOrig="1394" w:dyaOrig="1306">
          <v:shape id="_x0000_i1027" type="#_x0000_t75" style="width:102.75pt;height:96pt" o:ole="">
            <v:imagedata r:id="rId16" o:title=""/>
          </v:shape>
          <o:OLEObject Type="Embed" ProgID="Visio.Drawing.11" ShapeID="_x0000_i1027" DrawAspect="Content" ObjectID="_1403349608" r:id="rId17"/>
        </w:objec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B49C2" w:rsidTr="000B29D2">
        <w:tc>
          <w:tcPr>
            <w:tcW w:w="1843" w:type="dxa"/>
          </w:tcPr>
          <w:p w:rsidR="003B49C2" w:rsidRPr="000605A6" w:rsidRDefault="003B49C2" w:rsidP="000B29D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B49C2" w:rsidRPr="000605A6" w:rsidRDefault="003B49C2" w:rsidP="003B49C2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D54558" w:rsidRDefault="00D54558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530ADA" w:rsidRDefault="00530ADA" w:rsidP="00530ADA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天车运动控制：</w:t>
      </w:r>
    </w:p>
    <w:p w:rsidR="00BD06C5" w:rsidRDefault="00A44365" w:rsidP="00771A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天车运动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控制把晶圆盒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搬运命令转化为天车的移动与轨道道叉的协调命令。</w:t>
      </w:r>
    </w:p>
    <w:p w:rsidR="000605A6" w:rsidRDefault="00855832" w:rsidP="000605A6">
      <w:pPr>
        <w:pStyle w:val="a3"/>
        <w:ind w:left="840" w:firstLineChars="0" w:firstLine="0"/>
        <w:jc w:val="center"/>
        <w:rPr>
          <w:rFonts w:hint="eastAsia"/>
        </w:rPr>
      </w:pPr>
      <w:r>
        <w:object w:dxaOrig="3501" w:dyaOrig="2739">
          <v:shape id="_x0000_i1028" type="#_x0000_t75" style="width:174.75pt;height:137.25pt" o:ole="">
            <v:imagedata r:id="rId18" o:title=""/>
          </v:shape>
          <o:OLEObject Type="Embed" ProgID="Visio.Drawing.11" ShapeID="_x0000_i1028" DrawAspect="Content" ObjectID="_1403349609" r:id="rId19"/>
        </w:object>
      </w:r>
    </w:p>
    <w:p w:rsidR="00384042" w:rsidRPr="003B49C2" w:rsidRDefault="00384042" w:rsidP="000605A6">
      <w:pPr>
        <w:pStyle w:val="a3"/>
        <w:ind w:left="840" w:firstLineChars="0" w:firstLine="0"/>
        <w:jc w:val="center"/>
        <w:rPr>
          <w:rFonts w:ascii="微软雅黑" w:eastAsia="微软雅黑" w:hAnsi="微软雅黑"/>
          <w:sz w:val="24"/>
          <w:szCs w:val="24"/>
        </w:rPr>
      </w:pPr>
    </w:p>
    <w:sectPr w:rsidR="00384042" w:rsidRPr="003B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C0" w:rsidRDefault="008649C0" w:rsidP="00BA6A85">
      <w:r>
        <w:separator/>
      </w:r>
    </w:p>
  </w:endnote>
  <w:endnote w:type="continuationSeparator" w:id="0">
    <w:p w:rsidR="008649C0" w:rsidRDefault="008649C0" w:rsidP="00B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C0" w:rsidRDefault="008649C0" w:rsidP="00BA6A85">
      <w:r>
        <w:separator/>
      </w:r>
    </w:p>
  </w:footnote>
  <w:footnote w:type="continuationSeparator" w:id="0">
    <w:p w:rsidR="008649C0" w:rsidRDefault="008649C0" w:rsidP="00B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01A"/>
    <w:multiLevelType w:val="hybridMultilevel"/>
    <w:tmpl w:val="468E0D9A"/>
    <w:lvl w:ilvl="0" w:tplc="64A474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154A3"/>
    <w:multiLevelType w:val="hybridMultilevel"/>
    <w:tmpl w:val="617EB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86434"/>
    <w:multiLevelType w:val="hybridMultilevel"/>
    <w:tmpl w:val="F37218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6C"/>
    <w:rsid w:val="00005DB5"/>
    <w:rsid w:val="00011061"/>
    <w:rsid w:val="00025381"/>
    <w:rsid w:val="0005106E"/>
    <w:rsid w:val="000605A6"/>
    <w:rsid w:val="00062728"/>
    <w:rsid w:val="000E3C65"/>
    <w:rsid w:val="00150C96"/>
    <w:rsid w:val="001D4461"/>
    <w:rsid w:val="0020172B"/>
    <w:rsid w:val="00242B11"/>
    <w:rsid w:val="00252BEE"/>
    <w:rsid w:val="00253026"/>
    <w:rsid w:val="00257B5F"/>
    <w:rsid w:val="002662E7"/>
    <w:rsid w:val="00272872"/>
    <w:rsid w:val="0029320E"/>
    <w:rsid w:val="002B7C26"/>
    <w:rsid w:val="002E2ED3"/>
    <w:rsid w:val="00305480"/>
    <w:rsid w:val="00312D50"/>
    <w:rsid w:val="00331A0B"/>
    <w:rsid w:val="00340F65"/>
    <w:rsid w:val="003725C8"/>
    <w:rsid w:val="00384042"/>
    <w:rsid w:val="00392A01"/>
    <w:rsid w:val="003A02A9"/>
    <w:rsid w:val="003A15C7"/>
    <w:rsid w:val="003B49C2"/>
    <w:rsid w:val="003F4544"/>
    <w:rsid w:val="00457B3A"/>
    <w:rsid w:val="00467E98"/>
    <w:rsid w:val="0049061E"/>
    <w:rsid w:val="004979C2"/>
    <w:rsid w:val="004E5F63"/>
    <w:rsid w:val="00530ADA"/>
    <w:rsid w:val="005739F3"/>
    <w:rsid w:val="0059068B"/>
    <w:rsid w:val="005C7A9C"/>
    <w:rsid w:val="00603354"/>
    <w:rsid w:val="00633772"/>
    <w:rsid w:val="00641977"/>
    <w:rsid w:val="006709D1"/>
    <w:rsid w:val="006843FB"/>
    <w:rsid w:val="00700699"/>
    <w:rsid w:val="007435D2"/>
    <w:rsid w:val="00771A31"/>
    <w:rsid w:val="007B1516"/>
    <w:rsid w:val="008155CC"/>
    <w:rsid w:val="00853E95"/>
    <w:rsid w:val="00855832"/>
    <w:rsid w:val="008649C0"/>
    <w:rsid w:val="0088334C"/>
    <w:rsid w:val="00886887"/>
    <w:rsid w:val="00887E0B"/>
    <w:rsid w:val="008C246B"/>
    <w:rsid w:val="00917DC2"/>
    <w:rsid w:val="009372F8"/>
    <w:rsid w:val="00961C94"/>
    <w:rsid w:val="00974F8C"/>
    <w:rsid w:val="009D3CF9"/>
    <w:rsid w:val="009E69E7"/>
    <w:rsid w:val="00A44365"/>
    <w:rsid w:val="00A74DB7"/>
    <w:rsid w:val="00B11E2E"/>
    <w:rsid w:val="00B335D2"/>
    <w:rsid w:val="00B84ABA"/>
    <w:rsid w:val="00BA20BB"/>
    <w:rsid w:val="00BA66B5"/>
    <w:rsid w:val="00BA6A85"/>
    <w:rsid w:val="00BD06C5"/>
    <w:rsid w:val="00BD2F99"/>
    <w:rsid w:val="00C0646C"/>
    <w:rsid w:val="00C577CD"/>
    <w:rsid w:val="00CA7DD0"/>
    <w:rsid w:val="00CB14BA"/>
    <w:rsid w:val="00CD0B83"/>
    <w:rsid w:val="00D14F1A"/>
    <w:rsid w:val="00D44A23"/>
    <w:rsid w:val="00D54558"/>
    <w:rsid w:val="00D976C6"/>
    <w:rsid w:val="00DC66A4"/>
    <w:rsid w:val="00E12867"/>
    <w:rsid w:val="00E279F3"/>
    <w:rsid w:val="00E84F48"/>
    <w:rsid w:val="00EA25AC"/>
    <w:rsid w:val="00EB1609"/>
    <w:rsid w:val="00ED7480"/>
    <w:rsid w:val="00EE2986"/>
    <w:rsid w:val="00F73C12"/>
    <w:rsid w:val="00F84FFF"/>
    <w:rsid w:val="00F9226A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A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A85"/>
    <w:rPr>
      <w:sz w:val="18"/>
      <w:szCs w:val="18"/>
    </w:rPr>
  </w:style>
  <w:style w:type="table" w:styleId="a6">
    <w:name w:val="Table Grid"/>
    <w:basedOn w:val="a1"/>
    <w:uiPriority w:val="59"/>
    <w:rsid w:val="00771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771A3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Grid 2 Accent 5"/>
    <w:basedOn w:val="a1"/>
    <w:uiPriority w:val="68"/>
    <w:rsid w:val="00771A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Colorful Grid Accent 5"/>
    <w:basedOn w:val="a1"/>
    <w:uiPriority w:val="73"/>
    <w:rsid w:val="00771A3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6</Pages>
  <Words>260</Words>
  <Characters>1488</Characters>
  <Application>Microsoft Office Word</Application>
  <DocSecurity>0</DocSecurity>
  <Lines>12</Lines>
  <Paragraphs>3</Paragraphs>
  <ScaleCrop>false</ScaleCrop>
  <Company>MicroCyber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40</cp:revision>
  <dcterms:created xsi:type="dcterms:W3CDTF">2012-06-18T02:31:00Z</dcterms:created>
  <dcterms:modified xsi:type="dcterms:W3CDTF">2012-07-09T06:33:00Z</dcterms:modified>
</cp:coreProperties>
</file>