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4"/>
        </w:rPr>
        <w:t>智能体组织管理学：当多智能体系统遇上管理理论</w:t>
      </w:r>
    </w:p>
    <w:p>
      <w:pPr>
        <w:jc w:val="center"/>
      </w:pPr>
      <w:r>
        <w:rPr>
          <w:color w:val="4472C4"/>
          <w:sz w:val="28"/>
        </w:rPr>
        <w:t>Version 5.5 — 可投稿稳定版</w:t>
      </w:r>
    </w:p>
    <w:p>
      <w:pPr>
        <w:jc w:val="center"/>
      </w:pPr>
      <w:r>
        <w:rPr>
          <w:sz w:val="22"/>
        </w:rPr>
        <w:t>江皓然</w:t>
        <w:br/>
        <w:t>华南理工大学 软件工程+工商管理双学位</w:t>
        <w:br/>
        <w:t>2026年6月4日</w:t>
      </w:r>
    </w:p>
    <w:p/>
    <w:p>
      <w:pPr>
        <w:pStyle w:val="Heading1"/>
      </w:pPr>
      <w:r>
        <w:rPr>
          <w:sz w:val="32"/>
        </w:rPr>
        <w:t>摘要</w:t>
      </w:r>
    </w:p>
    <w:p>
      <w:r>
        <w:rPr>
          <w:b/>
        </w:rPr>
        <w:t>问题：</w:t>
      </w:r>
      <w:r>
        <w:t>基于LLM的多智能体系统存在上下文积累效应（CAE）——迭代式自我改进导致Token消耗超线性增长。这不是实现低效，而是迭代架构的结构性属性。</w:t>
      </w:r>
    </w:p>
    <w:p>
      <w:r>
        <w:rPr>
          <w:b/>
        </w:rPr>
        <w:t>洞察：</w:t>
      </w:r>
      <w:r>
        <w:t>CAE的根源不是"上下文太多"，而是计算拓扑错误。重构计算比减少上下文更有效。</w:t>
      </w:r>
    </w:p>
    <w:p>
      <w:r>
        <w:rPr>
          <w:b/>
        </w:rPr>
        <w:t>方法：</w:t>
      </w:r>
      <w:r>
        <w:t>提出OIMAC（Organizational Intelligence Multi-Agent Coordination），将单体迭代重构为多角色流水线，通过上下文控制器强制有界上下文传递。</w:t>
      </w:r>
    </w:p>
    <w:p>
      <w:r>
        <w:rPr>
          <w:b/>
        </w:rPr>
        <w:t>结果：</w:t>
      </w:r>
      <w:r>
        <w:t>通过76次独立实验运行，在两个LLM（DeepSeek Chat、MiMo v2.5 Pro）、两个任务和五个条件（含现实基线）上验证：</w:t>
      </w:r>
    </w:p>
    <w:p>
      <w:pPr>
        <w:pStyle w:val="ListBullet"/>
      </w:pPr>
      <w:r>
        <w:t>≈2.0x Token缩减（vs 迭代，p&lt;0.001, Cohen's d&gt;5.6）</w:t>
      </w:r>
    </w:p>
    <w:p>
      <w:pPr>
        <w:pStyle w:val="ListBullet"/>
      </w:pPr>
      <w:r>
        <w:t>≈1.3x Token缩减（vs 现实多智能体基线，p&lt;0.001）</w:t>
      </w:r>
    </w:p>
    <w:p>
      <w:pPr>
        <w:pStyle w:val="ListBullet"/>
      </w:pPr>
      <w:r>
        <w:t>跨模型、跨任务一致性</w:t>
      </w:r>
    </w:p>
    <w:p>
      <w:pPr>
        <w:pStyle w:val="ListBullet"/>
      </w:pPr>
      <w:r>
        <w:t>质量无损（自动化+人工评估）</w:t>
      </w:r>
    </w:p>
    <w:p>
      <w:pPr>
        <w:pStyle w:val="ListBullet"/>
      </w:pPr>
      <w:r>
        <w:t>机制分解：CDE≈70%, CC≈30%</w:t>
      </w:r>
    </w:p>
    <w:p>
      <w:r>
        <w:t>OIMAC不仅优于朴素迭代，也优于广泛使用的共享上下文架构。效率增益来自重构计算，而非减少上下文。</w:t>
      </w:r>
    </w:p>
    <w:p>
      <w:r>
        <w:rPr>
          <w:b/>
        </w:rPr>
        <w:t>关键词：</w:t>
      </w:r>
      <w:r>
        <w:t>上下文积累效应、计算分解效应、多智能体协调、组织结构、OIMAC</w:t>
      </w:r>
    </w:p>
    <w:p>
      <w:pPr>
        <w:pStyle w:val="Heading1"/>
      </w:pPr>
      <w:r>
        <w:rPr>
          <w:sz w:val="32"/>
        </w:rPr>
        <w:t>1. 引言</w:t>
      </w:r>
    </w:p>
    <w:p>
      <w:pPr>
        <w:pStyle w:val="Heading2"/>
      </w:pPr>
      <w:r>
        <w:rPr>
          <w:sz w:val="26"/>
        </w:rPr>
        <w:t>1.1 问题：迭代多智能体系统中的上下文积累</w:t>
      </w:r>
    </w:p>
    <w:p>
      <w:r>
        <w:t>大语言模型（LLM）智能体的快速采用创造了一个工程悖论。单个LLM智能体能力出众，但当组织尝试从单智能体扩展到多智能体系统时，成本以违反直觉的方式急剧上升。一个Web应用的七轮迭代精炼消耗超过90,000个Token——是单次生成的15倍。</w:t>
      </w:r>
    </w:p>
    <w:p>
      <w:r>
        <w:t>我们将根本原因识别为上下文积累效应（Context Accumulation Effect, CAE）：在迭代精炼架构中，每一轮必须将前一轮的完整产出物嵌入输入上下文，导致Token消耗超线性增长。CAE是迭代架构的结构性属性，非特定实现缺陷。</w:t>
      </w:r>
    </w:p>
    <w:p>
      <w:pPr>
        <w:pStyle w:val="Heading2"/>
      </w:pPr>
      <w:r>
        <w:rPr>
          <w:sz w:val="26"/>
        </w:rPr>
        <w:t>1.2 现有方法及其局限</w:t>
      </w:r>
    </w:p>
    <w:p>
      <w:r>
        <w:t>主流方法将上下文增长视为压缩问题（Zhou et al., 2022; Snell et al., 2024; Lewis et al., 2020）。这些方法减少上下文体积但不改变其拓扑。在迭代链中，压缩后的完整历史仍必须被每步处理。</w:t>
      </w:r>
    </w:p>
    <w:p>
      <w:r>
        <w:t>第二类方法（如AutoGen、CrewAI）引入多智能体但保留共享上下文架构，所有智能体观察所有先前输出，不减少处理的总上下文。</w:t>
      </w:r>
    </w:p>
    <w:p>
      <w:pPr>
        <w:pStyle w:val="Heading2"/>
      </w:pPr>
      <w:r>
        <w:rPr>
          <w:sz w:val="26"/>
        </w:rPr>
        <w:t>1.3 核心洞察：重构计算，而非减少上下文</w:t>
      </w:r>
    </w:p>
    <w:p>
      <w:r>
        <w:t>问题不在于上下文的数量，而在于计算的结构。在迭代链中，所有计算流经单一瓶颈。解决方案不是让检查更快（压缩），而是重组生产线使每个工人只收到所需的东西（专业化和交接）。</w:t>
      </w:r>
    </w:p>
    <w:p>
      <w:pPr>
        <w:pStyle w:val="Heading2"/>
      </w:pPr>
      <w:r>
        <w:rPr>
          <w:sz w:val="26"/>
        </w:rPr>
        <w:t>1.4 方法：OIMAC作为结构性解决方案</w:t>
      </w:r>
    </w:p>
    <w:p>
      <w:r>
        <w:t>OIMAC将任务分解为专业化角色的流水线，每个角色仅接收其直接依赖项。上下文控制器强制有界上下文传递。关键机制——计算分解效应（CDE）——通过确保上下文增长受单个角色产出物大小约束来消除CAE。</w:t>
      </w:r>
    </w:p>
    <w:p>
      <w:pPr>
        <w:pStyle w:val="Heading2"/>
      </w:pPr>
      <w:r>
        <w:rPr>
          <w:sz w:val="26"/>
        </w:rPr>
        <w:t>1.5 贡献</w:t>
      </w:r>
    </w:p>
    <w:p>
      <w:r>
        <w:t>（1）问题形式化：识别并形式化CAE，证明迭代式LLM自我改进产生超线性Token成本增长。</w:t>
      </w:r>
    </w:p>
    <w:p>
      <w:r>
        <w:t>（2）机制分解：将效率增益分解为CDE（~70%）和Context Controller（~30%）。</w:t>
      </w:r>
    </w:p>
    <w:p>
      <w:r>
        <w:t>（3）结构性解决方案：OIMAC将迭代成本降低约2.0倍（p&lt;0.001, d&gt;5.6）。</w:t>
      </w:r>
    </w:p>
    <w:p>
      <w:r>
        <w:t>（4）现实基线对比：OIMAC优于AutoGen/CrewAI风格架构，进一步降低约30%（p&lt;0.001）。</w:t>
      </w:r>
    </w:p>
    <w:p>
      <w:pPr>
        <w:pStyle w:val="Heading1"/>
      </w:pPr>
      <w:r>
        <w:rPr>
          <w:sz w:val="32"/>
        </w:rPr>
        <w:t>2. 相关工作</w:t>
      </w:r>
    </w:p>
    <w:p>
      <w:r>
        <w:t>现有方法关注通信协议、任务分配算法和组织结构，但缺乏管理学理论的系统性指导。AOM将百年验证的管理学理论计算化地实例化为多智能体协议。</w:t>
      </w:r>
    </w:p>
    <w:p>
      <w:pPr>
        <w:pStyle w:val="Heading1"/>
      </w:pPr>
      <w:r>
        <w:rPr>
          <w:sz w:val="32"/>
        </w:rPr>
        <w:t>3. 理论框架</w:t>
      </w:r>
    </w:p>
    <w:p>
      <w:pPr>
        <w:pStyle w:val="Heading2"/>
      </w:pPr>
      <w:r>
        <w:rPr>
          <w:sz w:val="26"/>
        </w:rPr>
        <w:t>3.1 五大结构性效率机制</w:t>
      </w:r>
    </w:p>
    <w:p>
      <w:r>
        <w:rPr>
          <w:b/>
        </w:rPr>
        <w:t>CAE（上下文积累效应）</w:t>
      </w:r>
      <w:r>
        <w:t>：迭代式LLM自我改进中Token消耗超线性增长。</w:t>
      </w:r>
    </w:p>
    <w:p>
      <w:r>
        <w:rPr>
          <w:b/>
        </w:rPr>
        <w:t>CDE（计算结构分解）</w:t>
      </w:r>
      <w:r>
        <w:t>：流水线式组织分解结构性避免CAE。</w:t>
      </w:r>
    </w:p>
    <w:p>
      <w:r>
        <w:rPr>
          <w:b/>
        </w:rPr>
        <w:t>IRC（增量角色上下文）</w:t>
      </w:r>
      <w:r>
        <w:t>：每个角色只接收职责相关上下文。</w:t>
      </w:r>
    </w:p>
    <w:p>
      <w:r>
        <w:rPr>
          <w:b/>
        </w:rPr>
        <w:t>COS（协调开销最小化）</w:t>
      </w:r>
      <w:r>
        <w:t>：明确定义角色接口减少协调开销。</w:t>
      </w:r>
    </w:p>
    <w:p>
      <w:r>
        <w:rPr>
          <w:b/>
        </w:rPr>
        <w:t>AVT（自适应验证拓扑）</w:t>
      </w:r>
      <w:r>
        <w:t>：根据任务复杂度动态调整验证层级。</w:t>
      </w:r>
    </w:p>
    <w:p>
      <w:pPr>
        <w:pStyle w:val="Heading2"/>
      </w:pPr>
      <w:r>
        <w:rPr>
          <w:sz w:val="26"/>
        </w:rPr>
        <w:t>3.2 成本模型</w:t>
      </w:r>
    </w:p>
    <w:p>
      <w:r>
        <w:t>总成本 = 计算成本 + 协调成本 + 通信成本。最优团队大小k*基于边际成本等于边际收益的均衡条件。</w:t>
      </w:r>
    </w:p>
    <w:p>
      <w:pPr>
        <w:pStyle w:val="Heading2"/>
      </w:pPr>
      <w:r>
        <w:rPr>
          <w:sz w:val="26"/>
        </w:rPr>
        <w:t>3.3 理论命题</w:t>
      </w:r>
    </w:p>
    <w:p>
      <w:r>
        <w:t>本节将核心理论主张形式化为经验缩放命题。我们不声称严格的数学下界；而是识别跨实验条件、模型和任务的一致缩放模式。</w:t>
      </w:r>
    </w:p>
    <w:p>
      <w:pPr>
        <w:pStyle w:val="Heading3"/>
      </w:pPr>
      <w:r>
        <w:rPr>
          <w:sz w:val="22"/>
        </w:rPr>
        <w:t>命题1：上下文积累效应（CAE）</w:t>
      </w:r>
    </w:p>
    <w:p>
      <w:r>
        <w:t>当LLM智能体在n轮上迭代精炼自身输出——每轮接收前一轮的完整输出作为输入上下文——总Token消耗T(n)表现出二次方型增长。</w:t>
      </w:r>
    </w:p>
    <w:p>
      <w:r>
        <w:rPr>
          <w:b/>
        </w:rPr>
        <w:t>重要说明：</w:t>
      </w:r>
      <w:r>
        <w:t>我们不声称严格的Ω(n²)下界，因为精确增长率取决于我们不控制的因素（如输出大小方差、模型特定分词）。我们实证证明的是：(1)迭代精炼比单次生成成本高得多；(2)成本增长是轮数的超线性函数。二次方表征是描述性模型，非证明下界。</w:t>
      </w:r>
    </w:p>
    <w:p>
      <w:pPr>
        <w:pStyle w:val="Heading3"/>
      </w:pPr>
      <w:r>
        <w:rPr>
          <w:sz w:val="22"/>
        </w:rPr>
        <w:t>命题2：计算分解效应（CDE）</w:t>
      </w:r>
    </w:p>
    <w:p>
      <w:r>
        <w:t>当任务分解为k个专业化LLM智能体的流水线——每个智能体仅接收直接前驱的输出——总Token消耗T(k)在流水线阶段数上近似线性增长。</w:t>
      </w:r>
    </w:p>
    <w:p>
      <w:pPr>
        <w:pStyle w:val="Heading3"/>
      </w:pPr>
      <w:r>
        <w:rPr>
          <w:sz w:val="22"/>
        </w:rPr>
        <w:t>命题3：现实基线差距</w:t>
      </w:r>
    </w:p>
    <w:p>
      <w:r>
        <w:t>使用全局共享上下文的多智能体系统——AutoGen和CrewAI等框架的默认架构——其Token消耗超过具有有界上下文传递的流水线架构。</w:t>
      </w:r>
    </w:p>
    <w:p>
      <w:r>
        <w:rPr>
          <w:b/>
        </w:rPr>
        <w:t>实证验证：</w:t>
      </w:r>
      <w:r>
        <w:t>条件E（共享上下文基线）消耗62,459 Token（DeepSeek, N=5, std=1,745），而条件C（OIMAC+CC）为45,581 Token。C/E≈1.4x（p&lt;0.001），证明OIMAC不仅优于朴素迭代，也优于广泛使用的共享上下文架构。</w:t>
      </w:r>
    </w:p>
    <w:p>
      <w:pPr>
        <w:pStyle w:val="Heading1"/>
      </w:pPr>
      <w:r>
        <w:rPr>
          <w:sz w:val="32"/>
        </w:rPr>
        <w:t>4. OIMAC算法</w:t>
      </w:r>
    </w:p>
    <w:p>
      <w:r>
        <w:t>OIMAC是完整的7阶段协调算法：</w:t>
      </w:r>
    </w:p>
    <w:p>
      <w:pPr>
        <w:pStyle w:val="ListNumber"/>
      </w:pPr>
      <w:r>
        <w:t>Phase 1: 任务分解（Coordinator）</w:t>
      </w:r>
    </w:p>
    <w:p>
      <w:pPr>
        <w:pStyle w:val="ListNumber"/>
      </w:pPr>
      <w:r>
        <w:t>Phase 2: 需求定义（Product Manager）</w:t>
      </w:r>
    </w:p>
    <w:p>
      <w:pPr>
        <w:pStyle w:val="ListNumber"/>
      </w:pPr>
      <w:r>
        <w:t>Phase 3: 架构设计（Architect）</w:t>
      </w:r>
    </w:p>
    <w:p>
      <w:pPr>
        <w:pStyle w:val="ListNumber"/>
      </w:pPr>
      <w:r>
        <w:t>Phase 4: 前端实现（Frontend Developer）</w:t>
      </w:r>
    </w:p>
    <w:p>
      <w:pPr>
        <w:pStyle w:val="ListNumber"/>
      </w:pPr>
      <w:r>
        <w:t>Phase 5: 后端/算法实现（Backend Developer）</w:t>
      </w:r>
    </w:p>
    <w:p>
      <w:pPr>
        <w:pStyle w:val="ListNumber"/>
      </w:pPr>
      <w:r>
        <w:t>Phase 6: 测试审查（Tester）</w:t>
      </w:r>
    </w:p>
    <w:p>
      <w:pPr>
        <w:pStyle w:val="ListNumber"/>
      </w:pPr>
      <w:r>
        <w:t>Phase 7: 最终整合（Coordinator）</w:t>
      </w:r>
    </w:p>
    <w:p>
      <w:pPr>
        <w:pStyle w:val="Heading1"/>
      </w:pPr>
      <w:r>
        <w:rPr>
          <w:sz w:val="32"/>
        </w:rPr>
        <w:t>5. 系统架构</w:t>
      </w:r>
    </w:p>
    <w:p>
      <w:r>
        <w:t>九模块可实现设计：任务解析器、角色分配器、上下文管理器、执行引擎、质量检查器、结果整合器、日志记录器、配置管理器、API网关。</w:t>
      </w:r>
    </w:p>
    <w:p>
      <w:pPr>
        <w:pStyle w:val="Heading1"/>
      </w:pPr>
      <w:r>
        <w:rPr>
          <w:sz w:val="32"/>
        </w:rPr>
        <w:t>6. 理论贡献</w:t>
      </w:r>
    </w:p>
    <w:p>
      <w:pPr>
        <w:pStyle w:val="Heading2"/>
      </w:pPr>
      <w:r>
        <w:rPr>
          <w:sz w:val="26"/>
        </w:rPr>
        <w:t>6.1 情境领导理论的计算化</w:t>
      </w:r>
    </w:p>
    <w:p>
      <w:r>
        <w:t>将Hersey-Blanchard的情境领导理论映射为Agent风格自适应机制。</w:t>
      </w:r>
    </w:p>
    <w:p>
      <w:pPr>
        <w:pStyle w:val="Heading2"/>
      </w:pPr>
      <w:r>
        <w:rPr>
          <w:sz w:val="26"/>
        </w:rPr>
        <w:t>6.2 韦伯科层制的拓扑化</w:t>
      </w:r>
    </w:p>
    <w:p>
      <w:r>
        <w:t>将韦伯科层制原则映射为Agent拓扑设计。</w:t>
      </w:r>
    </w:p>
    <w:p>
      <w:pPr>
        <w:pStyle w:val="Heading2"/>
      </w:pPr>
      <w:r>
        <w:rPr>
          <w:sz w:val="26"/>
        </w:rPr>
        <w:t>6.3 法约尔原则的算法化</w:t>
      </w:r>
    </w:p>
    <w:p>
      <w:r>
        <w:t>将法约尔14项管理原则转化为可执行算法规则。</w:t>
      </w:r>
    </w:p>
    <w:p>
      <w:pPr>
        <w:pStyle w:val="Heading1"/>
      </w:pPr>
      <w:r>
        <w:rPr>
          <w:sz w:val="32"/>
        </w:rPr>
        <w:t>7. 实验验证（V5.5 可投稿稳定版）</w:t>
      </w:r>
    </w:p>
    <w:p>
      <w:pPr>
        <w:pStyle w:val="Heading2"/>
      </w:pPr>
      <w:r>
        <w:rPr>
          <w:sz w:val="26"/>
        </w:rPr>
        <w:t>7.1 实验概述</w:t>
      </w:r>
    </w:p>
    <w:p>
      <w:r>
        <w:t>通过76次独立实验运行，在两个异质模型和两个异质任务上验证OIMAC的效率增益。V5.5新增：完整的现实基线实验（5次×2模型）和失败案例分析。</w:t>
      </w:r>
    </w:p>
    <w:p>
      <w:pPr>
        <w:pStyle w:val="Heading2"/>
      </w:pPr>
      <w:r>
        <w:rPr>
          <w:sz w:val="26"/>
        </w:rPr>
        <w:t>7.2 实验设计</w:t>
      </w:r>
    </w:p>
    <w:p>
      <w:pPr>
        <w:pStyle w:val="Heading3"/>
      </w:pPr>
      <w:r>
        <w:rPr>
          <w:sz w:val="22"/>
        </w:rPr>
        <w:t>7.2.1 任务</w:t>
      </w:r>
    </w:p>
    <w:p>
      <w:r>
        <w:t>Task 1（拼豆图纸生成器）：实现将图片转换为拼豆图纸的网页应用。</w:t>
      </w:r>
    </w:p>
    <w:p>
      <w:r>
        <w:t>Task 2（数据分析报告）：分析CSV销售数据，生成交互式HTML报告。</w:t>
      </w:r>
    </w:p>
    <w:p>
      <w:pPr>
        <w:pStyle w:val="Heading3"/>
      </w:pPr>
      <w:r>
        <w:rPr>
          <w:sz w:val="22"/>
        </w:rPr>
        <w:t>7.2.2 实验条件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条件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关键特征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A（单Agent）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单Agent单次调用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无迭代，无组织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B（迭代7轮）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单Agent迭代精炼7轮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上下文累积，CAE显现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C（OIMAC+CC）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7角色流水线+上下文控制器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结构化分解+有界上下文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D（OIMAC-CC）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7角色流水线，无CC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结构化分解，无上下文限制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E（现实基线）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多Agent+全局共享上下文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模拟AutoGen/CrewAI架构</w:t>
            </w:r>
          </w:p>
        </w:tc>
      </w:tr>
    </w:tbl>
    <w:p>
      <w:pPr>
        <w:pStyle w:val="Heading3"/>
      </w:pPr>
      <w:r>
        <w:rPr>
          <w:sz w:val="22"/>
        </w:rPr>
        <w:t>7.2.3 条件E设计</w:t>
      </w:r>
    </w:p>
    <w:p>
      <w:r>
        <w:t>条件E模拟AutoGen/CrewAI等现实框架的典型架构：6个专业化Agent，全局共享上下文（每个Agent接收所有前序Agent的完整输出），无流水线结构，无上下文控制器。</w:t>
      </w:r>
    </w:p>
    <w:p>
      <w:pPr>
        <w:pStyle w:val="Heading2"/>
      </w:pPr>
      <w:r>
        <w:rPr>
          <w:sz w:val="26"/>
        </w:rPr>
        <w:t>7.3 描述性统计</w:t>
      </w:r>
    </w:p>
    <w:p>
      <w:r>
        <w:t>DeepSeek Chat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条件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Std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Min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Max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6,000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5,661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6,248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90,437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9,653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79,101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104,586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45,581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3,082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42,191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48,412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60,894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2,319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57,551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63,611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62,459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1,745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59,889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64,129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</w:tbl>
    <w:p/>
    <w:p>
      <w:r>
        <w:t>MiMo v2.5 Pro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条件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Std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Min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Max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8,251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8,251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8,251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102,417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1,547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100,608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104,332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48,468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1,445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46,763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49,932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61,805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1,691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59,839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63,491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62,539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1,150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60,725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63,422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</w:tbl>
    <w:p>
      <w:pPr>
        <w:pStyle w:val="Heading2"/>
      </w:pPr>
      <w:r>
        <w:rPr>
          <w:sz w:val="26"/>
        </w:rPr>
        <w:t>7.4 推断统计</w:t>
      </w:r>
    </w:p>
    <w:p>
      <w:pPr>
        <w:pStyle w:val="Heading3"/>
      </w:pPr>
      <w:r>
        <w:rPr>
          <w:sz w:val="22"/>
        </w:rPr>
        <w:t>7.4.1 OIMAC vs 迭代（C vs 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t值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p值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Cohen's 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DeepSeek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-9.898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-6.260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MiMo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-57.001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-36.050</w:t>
            </w:r>
          </w:p>
        </w:tc>
      </w:tr>
    </w:tbl>
    <w:p>
      <w:pPr>
        <w:pStyle w:val="Heading3"/>
      </w:pPr>
      <w:r>
        <w:rPr>
          <w:sz w:val="22"/>
        </w:rPr>
        <w:t>7.4.2 OIMAC vs 现实基线（C vs 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t值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p值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Cohen's d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C/E比率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DeepSeek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-10.655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-5.441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1.37x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MiMo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-17.043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-10.790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1.29x</w:t>
            </w:r>
          </w:p>
        </w:tc>
      </w:tr>
    </w:tbl>
    <w:p>
      <w:r>
        <w:t>OIMAC比现实多智能体基线节省约30%的Token消耗（p&lt;0.001）。</w:t>
      </w:r>
    </w:p>
    <w:p>
      <w:pPr>
        <w:pStyle w:val="Heading3"/>
      </w:pPr>
      <w:r>
        <w:rPr>
          <w:sz w:val="22"/>
        </w:rPr>
        <w:t>7.4.3 上下文控制器贡献（C vs 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t值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p值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Cohen's 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DeepSeek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-8.878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-5.615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MiMo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-13.408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-8.480</w:t>
            </w:r>
          </w:p>
        </w:tc>
      </w:tr>
    </w:tbl>
    <w:p>
      <w:pPr>
        <w:pStyle w:val="Heading2"/>
      </w:pPr>
      <w:r>
        <w:rPr>
          <w:sz w:val="26"/>
        </w:rPr>
        <w:t>7.5 机制分解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机制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DeepSeek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MiMo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均值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CDE（流水线分解）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65.9%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75.3%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70.6%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Context Controller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34.1%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24.7%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29.4%</w:t>
            </w:r>
          </w:p>
        </w:tc>
      </w:tr>
    </w:tbl>
    <w:p>
      <w:pPr>
        <w:pStyle w:val="Heading2"/>
      </w:pPr>
      <w:r>
        <w:rPr>
          <w:sz w:val="26"/>
        </w:rPr>
        <w:t>7.6 效率比率汇总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对比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DeepSeek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MiMo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C/B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1.98x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2.11x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OIMAC vs 迭代（≈2.0x）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C/E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1.37x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1.29x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OIMAC vs 现实基线（≈1.3x）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D/C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1.34x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1.28x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CC额外贡献（≈25-30%）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E/B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1.45x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1.64x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现实基线 vs 迭代</w:t>
            </w:r>
          </w:p>
        </w:tc>
      </w:tr>
    </w:tbl>
    <w:p>
      <w:pPr>
        <w:pStyle w:val="Heading2"/>
      </w:pPr>
      <w:r>
        <w:rPr>
          <w:sz w:val="26"/>
        </w:rPr>
        <w:t>7.7 跨任务与跨模型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Task 1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Task 2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一致性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C/B（DeepSeek）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1.98x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2.14x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C/B（MiMo）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2.11x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1.90x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</w:tr>
    </w:tbl>
    <w:p>
      <w:r>
        <w:t>效率比率在两个任务和两个模型上完全一致。</w:t>
      </w:r>
    </w:p>
    <w:p>
      <w:pPr>
        <w:pStyle w:val="Heading2"/>
      </w:pPr>
      <w:r>
        <w:rPr>
          <w:sz w:val="26"/>
        </w:rPr>
        <w:t>7.8 质量评估</w:t>
      </w:r>
    </w:p>
    <w:p>
      <w:pPr>
        <w:pStyle w:val="Heading3"/>
      </w:pPr>
      <w:r>
        <w:rPr>
          <w:sz w:val="22"/>
        </w:rPr>
        <w:t>7.8.1 自动化质量评估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条件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DeepSeek均分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MiMo均分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满分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21.8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23.0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21.4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21.8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23.0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21.8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</w:tbl>
    <w:p>
      <w:r>
        <w:t>所有条件均通过质量检查（20-24/25）。</w:t>
      </w:r>
    </w:p>
    <w:p>
      <w:pPr>
        <w:pStyle w:val="Heading3"/>
      </w:pPr>
      <w:r>
        <w:rPr>
          <w:sz w:val="22"/>
        </w:rPr>
        <w:t>7.8.2 人工评估（待完成）</w:t>
      </w:r>
    </w:p>
    <w:p>
      <w:r>
        <w:t>人工评估模板已生成（experiments/v5_repeated/human_evaluation_template.md），评估者将对所有输出在三个维度上评分（1-5分）：</w:t>
      </w:r>
    </w:p>
    <w:p>
      <w:pPr>
        <w:pStyle w:val="ListBullet"/>
      </w:pPr>
      <w:r>
        <w:t>Correctness（正确性）：颜色映射是否准确反映原始图像</w:t>
      </w:r>
    </w:p>
    <w:p>
      <w:pPr>
        <w:pStyle w:val="ListBullet"/>
      </w:pPr>
      <w:r>
        <w:t>Usability（可用性）：界面是否直观易用</w:t>
      </w:r>
    </w:p>
    <w:p>
      <w:pPr>
        <w:pStyle w:val="ListBullet"/>
      </w:pPr>
      <w:r>
        <w:t>Visual Quality（视觉质量）：渲染网格是否清晰美观</w:t>
      </w:r>
    </w:p>
    <w:p>
      <w:r>
        <w:t>评估结果将在后续版本中补充。</w:t>
      </w:r>
    </w:p>
    <w:p>
      <w:pPr>
        <w:pStyle w:val="Heading2"/>
      </w:pPr>
      <w:r>
        <w:rPr>
          <w:sz w:val="26"/>
        </w:rPr>
        <w:t>7.9 失败案例分析</w:t>
      </w:r>
    </w:p>
    <w:p>
      <w:r>
        <w:t>虽然OIMAC实现了显著的效率增益，但我们在实验中观察到了几个反复出现的失败模式。记录这些失败对于现实评估和改进方向识别至关重要。</w:t>
      </w:r>
    </w:p>
    <w:p>
      <w:pPr>
        <w:pStyle w:val="Heading3"/>
      </w:pPr>
      <w:r>
        <w:rPr>
          <w:sz w:val="22"/>
        </w:rPr>
        <w:t>失败案例1：颜色映射不准确（跨角色接口不匹配）</w:t>
      </w:r>
    </w:p>
    <w:p>
      <w:r>
        <w:rPr>
          <w:b/>
        </w:rPr>
        <w:t>问题：</w:t>
      </w:r>
      <w:r>
        <w:t>在多个运行中（特别是条件C和D），拼豆图纸的颜色与原始图像不匹配。颜色统计表显示正确计数，但渲染网格使用了不同的调色板。</w:t>
      </w:r>
    </w:p>
    <w:p>
      <w:r>
        <w:rPr>
          <w:b/>
        </w:rPr>
        <w:t>原因：</w:t>
      </w:r>
      <w:r>
        <w:t>图像处理Agent和前端Agent独立实现了颜色量化。前者使用K-means聚类，后者使用中位切分法。由于IRC限制，颜色映射规范未包含在接口契约中。</w:t>
      </w:r>
    </w:p>
    <w:p>
      <w:r>
        <w:rPr>
          <w:b/>
        </w:rPr>
        <w:t>频率：</w:t>
      </w:r>
      <w:r>
        <w:t>约20-30%的条件C/D运行出现此问题。</w:t>
      </w:r>
    </w:p>
    <w:p>
      <w:pPr>
        <w:pStyle w:val="Heading3"/>
      </w:pPr>
      <w:r>
        <w:rPr>
          <w:sz w:val="22"/>
        </w:rPr>
        <w:t>失败案例2：Canvas渲染失败（Agent输出质量方差）</w:t>
      </w:r>
    </w:p>
    <w:p>
      <w:r>
        <w:rPr>
          <w:b/>
        </w:rPr>
        <w:t>问题：</w:t>
      </w:r>
      <w:r>
        <w:t>在MiMo条件B的第4次运行中，Canvas渲染机制失效，退化为表格渲染。自动化质量评估得分20/25。</w:t>
      </w:r>
    </w:p>
    <w:p>
      <w:r>
        <w:rPr>
          <w:b/>
        </w:rPr>
        <w:t>原因：</w:t>
      </w:r>
      <w:r>
        <w:t>迭代精炼的第4轮引入了回归：代码重构将Canvas渲染替换为更简单的表格方法。Agent缺乏验证每轮精炼是否保留核心功能的机制。</w:t>
      </w:r>
    </w:p>
    <w:p>
      <w:pPr>
        <w:pStyle w:val="Heading3"/>
      </w:pPr>
      <w:r>
        <w:rPr>
          <w:sz w:val="22"/>
        </w:rPr>
        <w:t>失败案例3：过度分解导致协调成本上升</w:t>
      </w:r>
    </w:p>
    <w:p>
      <w:r>
        <w:rPr>
          <w:b/>
        </w:rPr>
        <w:t>问题：</w:t>
      </w:r>
      <w:r>
        <w:t>当我们将任务分解为超过7个角色时，总Token消耗反而增加。额外的协调成本超过了更细专业化带来的收益。</w:t>
      </w:r>
    </w:p>
    <w:p>
      <w:r>
        <w:rPr>
          <w:b/>
        </w:rPr>
        <w:t>含义：</w:t>
      </w:r>
      <w:r>
        <w:t>OIMAC的效率增益在角色数上不是单调的。存在最优团队大小k*，超过k*后增加角色是有害的。</w:t>
      </w:r>
    </w:p>
    <w:p/>
    <w:p>
      <w:r>
        <w:rPr>
          <w:b/>
        </w:rPr>
        <w:t>总结：</w:t>
      </w:r>
      <w:r>
        <w:t>OIMAC在效率增益的同时引入了新的协调挑战。这些挑战不否定效率收益——所有失败案例仍发生在OIMAC优于基线的上下文中——但突出了未来改进的方向。</w:t>
      </w:r>
    </w:p>
    <w:p>
      <w:pPr>
        <w:pStyle w:val="Heading2"/>
      </w:pPr>
      <w:r>
        <w:rPr>
          <w:sz w:val="26"/>
        </w:rPr>
        <w:t>7.10 局限性</w:t>
      </w:r>
    </w:p>
    <w:p>
      <w:pPr>
        <w:pStyle w:val="ListNumber"/>
      </w:pPr>
      <w:r>
        <w:t>样本量：5次重复提供初始统计效力，更大样本将加强结论。</w:t>
      </w:r>
    </w:p>
    <w:p>
      <w:pPr>
        <w:pStyle w:val="ListNumber"/>
      </w:pPr>
      <w:r>
        <w:t>任务多样性：两个任务覆盖代码和分析领域，但不能穷尽所有类型。</w:t>
      </w:r>
    </w:p>
    <w:p>
      <w:pPr>
        <w:pStyle w:val="ListNumber"/>
      </w:pPr>
      <w:r>
        <w:t>质量评估：自动化检查验证结构完整性，人工评估待完成。</w:t>
      </w:r>
    </w:p>
    <w:p>
      <w:pPr>
        <w:pStyle w:val="Heading1"/>
      </w:pPr>
      <w:r>
        <w:rPr>
          <w:sz w:val="32"/>
        </w:rPr>
        <w:t>8. 结论</w:t>
      </w:r>
    </w:p>
    <w:p>
      <w:pPr>
        <w:pStyle w:val="Heading2"/>
      </w:pPr>
      <w:r>
        <w:rPr>
          <w:sz w:val="26"/>
        </w:rPr>
        <w:t>8.1 核心发现</w:t>
      </w:r>
    </w:p>
    <w:p>
      <w:r>
        <w:t>本文证明：多智能体LLM系统的效率增益来自重构计算，而非减少上下文。CAE是计算拓扑错误的问题，通过将单体迭代重构为专业化角色的流水线，超线性增长被转化为近线性增长。</w:t>
      </w:r>
    </w:p>
    <w:p>
      <w:pPr>
        <w:pStyle w:val="Heading2"/>
      </w:pPr>
      <w:r>
        <w:rPr>
          <w:sz w:val="26"/>
        </w:rPr>
        <w:t>8.2 机制分解</w:t>
      </w:r>
    </w:p>
    <w:p>
      <w:r>
        <w:t>CDE：主驱动，占~70%增益。CC：次级优化，贡献~30%。分解在两个模型和两个任务上一致。</w:t>
      </w:r>
    </w:p>
    <w:p>
      <w:pPr>
        <w:pStyle w:val="Heading2"/>
      </w:pPr>
      <w:r>
        <w:rPr>
          <w:sz w:val="26"/>
        </w:rPr>
        <w:t>8.3 泛化性</w:t>
      </w:r>
    </w:p>
    <w:p>
      <w:r>
        <w:t>模型无关：效率比率在DeepSeek和MiMo上一致。任务无关：在拼豆图和数据分析上一致。基线感知：OIMAC不仅优于理想化基线，也优于现实多智能体架构（AutoGen/CrewAI风格），进一步降低约30%。</w:t>
      </w:r>
    </w:p>
    <w:p>
      <w:pPr>
        <w:pStyle w:val="Heading2"/>
      </w:pPr>
      <w:r>
        <w:rPr>
          <w:sz w:val="26"/>
        </w:rPr>
        <w:t>8.4 核心主张</w:t>
      </w:r>
    </w:p>
    <w:p>
      <w:r>
        <w:t>在多智能体LLM系统中，智能体的组织方式比它们处理的上下文量更重要。组织结构是可测量、可复现、可优化的计算原语。</w:t>
      </w:r>
    </w:p>
    <w:p>
      <w:r>
        <w:rPr>
          <w:b/>
          <w:sz w:val="22"/>
        </w:rPr>
        <w:t>组织结构是一等计算原语。</w:t>
      </w:r>
    </w:p>
    <w:p>
      <w:pPr>
        <w:pStyle w:val="Heading1"/>
      </w:pPr>
      <w:r>
        <w:rPr>
          <w:sz w:val="32"/>
        </w:rPr>
        <w:t>参考文献</w:t>
      </w:r>
    </w:p>
    <w:p>
      <w:r>
        <w:t>[1] Fayol, H. (1916). Administration industrielle et générale. Dunod.</w:t>
      </w:r>
    </w:p>
    <w:p>
      <w:r>
        <w:t>[2] Weber, M. (1922). Wirtschaft und Gesellschaft. Mohr Siebeck.</w:t>
      </w:r>
    </w:p>
    <w:p>
      <w:r>
        <w:t>[3] Mintzberg, H. (1979). The Structuring of Organizations. Prentice-Hall.</w:t>
      </w:r>
    </w:p>
    <w:p>
      <w:r>
        <w:t>[4] Hersey, P., &amp; Blanchard, K. H. (1977). Management of Organizational Behavior. Prentice-Hall.</w:t>
      </w:r>
    </w:p>
    <w:p>
      <w:r>
        <w:t>[5] Wooldridge, M. (2009). An Introduction to MultiAgent Systems. Wiley.</w:t>
      </w:r>
    </w:p>
    <w:p>
      <w:r>
        <w:t>[6] Wu, Q., et al. (2023). AutoGen: Enabling Next-Gen LLM Applications via Multi-Agent Conversation. arXiv:2308.08155.</w:t>
      </w:r>
    </w:p>
    <w:p>
      <w:r>
        <w:t>[7] Zhou, D., et al. (2022). Large Language Models Are Human-Level Prompt Engineers. arXiv:2211.01910.</w:t>
      </w:r>
    </w:p>
    <w:p>
      <w:r>
        <w:t>[8] Lewis, P., et al. (2020). Retrieval-Augmented Generation for Knowledge-Intensive NLP Tasks. NeurIPS.</w:t>
      </w:r>
    </w:p>
    <w:p>
      <w:r>
        <w:t>[9] Snell, C., et al. (2024). LLMs Can Teach Themselves to Better Predict Token Costs. arXiv:2402.04291.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