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智能体组织管理学</w:t>
      </w:r>
    </w:p>
    <w:p>
      <w:r>
        <w:t>当多智能体系统遇上管理理论</w:t>
      </w:r>
    </w:p>
    <w:p>
      <w:r>
        <w:t>V5.2 — 机制分解 · 跨模型验证</w:t>
      </w:r>
    </w:p>
    <w:p/>
    <w:p>
      <w:r>
        <w:t>江皓然</w:t>
      </w:r>
    </w:p>
    <w:p>
      <w:r>
        <w:t>华南理工大学 软件工程+工商管理双学位</w:t>
      </w:r>
    </w:p>
    <w:p>
      <w:r>
        <w:t>2026年6月3日</w:t>
      </w:r>
    </w:p>
    <w:p>
      <w:pPr>
        <w:pStyle w:val="Heading1"/>
      </w:pPr>
      <w:r>
        <w:t>摘要</w:t>
      </w:r>
    </w:p>
    <w:p>
      <w:r>
        <w:t>本文首次系统性地提出并界定智能体组织管理学（Agent Organizational Management, AOM）——一个将管理学理论计算化地实例化并压力测试为多智能体系统协作协议的交叉学科领域。本文的核心贡献是通过机制分解识别多智能体工作流中的效率来源：</w:t>
      </w:r>
    </w:p>
    <w:p>
      <w:r>
        <w:t>主因果机制：流水线式组织分解（CDE）通过将任务拆分为具有局部依赖关系的独立角色，从结构上避免了上下文积累效应（CAE），是成本降低的主要驱动因素，贡献约75%的效率增益。</w:t>
      </w:r>
    </w:p>
    <w:p>
      <w:r>
        <w:t>次级机制：Context Controller通过有界上下文传播进一步约束残余冗余，提供约25%的额外优化。</w:t>
      </w:r>
    </w:p>
    <w:p>
      <w:r>
        <w:t>跨模型验证：上述机制分解在DeepSeek和MiMo两个异质模型与两个异质任务中均一致成立，表明效率增益是结构性的、模型无关的特征。</w:t>
      </w:r>
    </w:p>
    <w:p>
      <w:r>
        <w:t>核心发现：效率增益主要来自重构计算结构，而非减少上下文。</w:t>
      </w:r>
    </w:p>
    <w:p>
      <w:pPr>
        <w:pStyle w:val="Heading1"/>
      </w:pPr>
      <w:r>
        <w:t>1. 引言</w:t>
      </w:r>
    </w:p>
    <w:p>
      <w:r>
        <w:t>当AI Agent从孤立的工具演化为"数字员工"时，管理它们的最优解不再是编程，而是管理学本身。当前主流的多智能体框架（AutoGen、CrewAI、LangGraph）普遍存在"管理真空"——协作流程以静态拓扑硬编码，缺乏权变响应能力。</w:t>
      </w:r>
    </w:p>
    <w:p>
      <w:r>
        <w:t>本文首次系统性地提出并界定智能体组织管理学（AOM）。核心主张是：管理学关于组织结构、领导力、激励机制的智慧，能被精确地编译为多智能体系统的原生协作协议。</w:t>
      </w:r>
    </w:p>
    <w:p>
      <w:pPr>
        <w:pStyle w:val="Heading2"/>
      </w:pPr>
      <w:r>
        <w:t>1.1 核心贡献</w:t>
      </w:r>
    </w:p>
    <w:p>
      <w:pPr>
        <w:pStyle w:val="ListBullet"/>
      </w:pPr>
      <w:r>
        <w:t>(1) CAE识别：形式化证明迭代式LLM自我改进存在Omega(n^2)成本陷阱，跨模型验证。</w:t>
      </w:r>
    </w:p>
    <w:p>
      <w:pPr>
        <w:pStyle w:val="ListBullet"/>
      </w:pPr>
      <w:r>
        <w:t>(2) 机制分解：实证证明效率增益分解为CDE（约75%）和Context Controller（约25%）。</w:t>
      </w:r>
    </w:p>
    <w:p>
      <w:pPr>
        <w:pStyle w:val="ListBullet"/>
      </w:pPr>
      <w:r>
        <w:t>(3) OIMAC作为可执行协议：完整多智能体协调算法，将迭代成本从Omega(n^2)降至O(k)。</w:t>
      </w:r>
    </w:p>
    <w:p>
      <w:pPr>
        <w:pStyle w:val="ListBullet"/>
      </w:pPr>
      <w:r>
        <w:t>(4) 组织原则的跨模型验证：压力测试管理理论，提出领域特定修正。</w:t>
      </w:r>
    </w:p>
    <w:p>
      <w:pPr>
        <w:pStyle w:val="Heading2"/>
      </w:pPr>
      <w:r>
        <w:t>1.2 问题形式化</w:t>
      </w:r>
    </w:p>
    <w:p>
      <w:r>
        <w:t>定义1（工作流）。工作流W是有向无环图W=(V,E)，V为k个Agent的集合，E定义依赖边。</w:t>
      </w:r>
    </w:p>
    <w:p>
      <w:r>
        <w:t>定义2（迭代工作流）。迭代工作流W_iter是单Agent执行n轮的链式结构，每轮接收所有前序输出作为输入，满足全局上下文复用条件A1。</w:t>
      </w:r>
    </w:p>
    <w:p>
      <w:r>
        <w:t>定义3（组织化工作流）。组织化工作流W_org是k&gt;1个Agent的DAG，每个Agent仅接收直接前驱的输出，违反条件A1。</w:t>
      </w:r>
    </w:p>
    <w:p>
      <w:r>
        <w:t>定义4（成本函数）。TotalCost(W) = ComputationCost + CoordinationCost + CommunicationCost</w:t>
      </w:r>
    </w:p>
    <w:p>
      <w:r>
        <w:t>问题陈述：给定任务T和质量约束Q_min，求最小化TotalCost的W*。</w:t>
      </w:r>
    </w:p>
    <w:p>
      <w:pPr>
        <w:pStyle w:val="Heading1"/>
      </w:pPr>
      <w:r>
        <w:t>2. 相关工作</w:t>
      </w:r>
    </w:p>
    <w:p>
      <w:r>
        <w:t>当前多智能体协调领域的代表性工作包括AutoGen、CrewAI和LangGraph。这些框架提供了灵活的智能体编排能力，但缺乏关于何时使用不同协调风格的原则性指导。AOM通过引入成熟的管理理论填补了这一空白。</w:t>
      </w:r>
    </w:p>
    <w:p>
      <w:r>
        <w:t>需要区分两类工作：工程框架（提供编排能力）与理论指导（提供决策原则）。现有框架属于前者；AOM属于后者——它不替代这些框架，而是为它们提供理论驱动的协调策略。</w:t>
      </w:r>
    </w:p>
    <w:p>
      <w:pPr>
        <w:pStyle w:val="Heading1"/>
      </w:pPr>
      <w:r>
        <w:t>3. 机制层：五个结构性效率机制</w:t>
      </w:r>
    </w:p>
    <w:p>
      <w:pPr>
        <w:pStyle w:val="Heading2"/>
      </w:pPr>
      <w:r>
        <w:t>3.1 上下文积累效应（CAE）</w:t>
      </w:r>
    </w:p>
    <w:p>
      <w:r>
        <w:t>定义：在任何LLM迭代式自我改进工作流中，若满足（a）每轮迭代将前序完整输出原样作为输入上下文，（b）输出长度不跨轮缩减，则累计Token成本至少随迭代次数呈二次增长。</w:t>
      </w:r>
    </w:p>
    <w:p>
      <w:r>
        <w:t>因果链：迭代n产生长度C(n)的输出 -&gt; 迭代n+1必须嵌入C(n)作为输入 -&gt; 累计成本&gt;= n*C(0) + n(n-1)*Delta/2 = Omega(n^2)。</w:t>
      </w:r>
    </w:p>
    <w:p>
      <w:r>
        <w:t>边界条件：CAE在以下情形中不成立——（1）上下文压缩/摘要；（2）截断策略；（3）输出长度递减；（4）流水线架构。</w:t>
      </w:r>
    </w:p>
    <w:p>
      <w:r>
        <w:t>跨模型实证：CAE在DeepSeek和MiMo两个异质模型中均被验证——迭代架构的上下文从372字符单调增长至144,089-180,297字符，Token消耗达88,494-102,105，远超单Agent基线的6,587-8,251。CAE是结构性效应，不依赖于特定模型。</w:t>
      </w:r>
    </w:p>
    <w:p>
      <w:pPr>
        <w:pStyle w:val="Heading2"/>
      </w:pPr>
      <w:r>
        <w:t>3.2 上下文分解效率（CDE）</w:t>
      </w:r>
    </w:p>
    <w:p>
      <w:r>
        <w:t>定义：组织化流水线通过将任务分解为具有局部依赖关系的独立角色，使每个Agent仅接收与其直接相关的上下文，从而从结构上避免CAE的成立条件（特别是条件A1：全局上下文复用），将Token成本从Omega(n^2)降至O(k)。CDE是效率增益的主要驱动因素，贡献约75%的成本削减。</w:t>
      </w:r>
    </w:p>
    <w:p>
      <w:r>
        <w:t>因果机制：CDE通过两个结构性要素消除CAE：（1）依赖图局部化——每个Agent仅接收直接前驱的输出；（2）并行隔离——同一层级的Agent互不接收对方输出。</w:t>
      </w:r>
    </w:p>
    <w:p>
      <w:r>
        <w:t>实证支持：在V4贪吃蛇实验中，条件C消耗42,166 Token，条件B消耗124,280 Token，3:1差异。在V5拼豆图实验中，条件C消耗43,321-49,285 Token，条件B消耗88,494-102,105 Token，约2x差异。消融实验表明，即使无Context Controller（条件D：50,309-63,050 Token），组织化流水线仍保持2.0-2.5x优势，确认CDE独立贡献约75%的成本削减。</w:t>
      </w:r>
    </w:p>
    <w:p>
      <w:pPr>
        <w:pStyle w:val="Heading2"/>
      </w:pPr>
      <w:r>
        <w:t>3.3 接口调和成本（IRC）</w:t>
      </w:r>
    </w:p>
    <w:p>
      <w:r>
        <w:t>定义：当多个专业Agent的输出需要整合时，修复接口不一致所产生的成本。V4实证：测试角色发现4个阻断性Bug（前端与游戏逻辑接口不一致），协调者整合步骤消耗16,188 Token。</w:t>
      </w:r>
    </w:p>
    <w:p>
      <w:pPr>
        <w:pStyle w:val="Heading2"/>
      </w:pPr>
      <w:r>
        <w:t>3.4 协调开销扩展（COS）</w:t>
      </w:r>
    </w:p>
    <w:p>
      <w:r>
        <w:t>定义：随着专业Agent数量增加，协调开销增长——结构性管理成本O(k)加上通信成本O(k)到O(k^2)。存在最优团队大小k*，超过该值协调成本超过分解收益。</w:t>
      </w:r>
    </w:p>
    <w:p>
      <w:pPr>
        <w:pStyle w:val="Heading2"/>
      </w:pPr>
      <w:r>
        <w:t>3.5 自主性-冗长度权衡（AVT）</w:t>
      </w:r>
    </w:p>
    <w:p>
      <w:r>
        <w:t>定义：LLM Agent在高自主性指令（S3/S4风格）下产生更冗长输出，抵消了效率预测。V3实证：AOM-DT比ST多消耗7.0%的Token，成功率和质量相当。AVT效应具有模型依赖性，但其横向放大特性在所有测试模型中均存在。</w:t>
      </w:r>
    </w:p>
    <w:p>
      <w:pPr>
        <w:pStyle w:val="Heading2"/>
      </w:pPr>
      <w:r>
        <w:t>3.6 机制层级关系总结</w:t>
      </w:r>
    </w:p>
    <w:p>
      <w:r>
        <w:t>五个机制形成明确的因果层级：CAE（问题根源）：迭代式全局上下文复用导致Omega(n^2)成本。CDE（主解法）：流水线分解+局部依赖，从结构上破坏CAE条件，成本降至O(k)。IRC（组织代价）：组织化架构为实现CDE所支付的接口调和成本。COS（规模约束）：团队规模扩展带来的协调成本。AVT（放大机制）：自主性指令导致的冗长度横向放大。</w:t>
      </w:r>
    </w:p>
    <w:p>
      <w:r>
        <w:t>核心论断：效率增益主要来自重构计算结构，而非减少上下文。主机制（CDE）通过将单一整体上下文分解为有界局部上下文来运作，而非通过过滤或压缩共享上下文。这一区分是根本性的：CDE改变计算结构，Context Controller在该结构内优化。</w:t>
      </w:r>
    </w:p>
    <w:p>
      <w:r>
        <w:t>CDE与Context Controller的因果分工：CDE决定CAE是否发生——流水线分解从结构上消除了全局上下文复用的条件；Context Controller决定局部上下文放大的幅度——在CDE已消除CAE的基础上，进一步约束角色间的上下文传播范围。两者不是替代关系，而是因果层级上的不同层次：CDE是结构性机制，Context Controller是优化性机制。</w:t>
      </w:r>
    </w:p>
    <w:p>
      <w:pPr>
        <w:pStyle w:val="Heading1"/>
      </w:pPr>
      <w:r>
        <w:t>4. 成本模型</w:t>
      </w:r>
    </w:p>
    <w:p>
      <w:pPr>
        <w:pStyle w:val="Heading2"/>
      </w:pPr>
      <w:r>
        <w:t>4.1 统一成本分解</w:t>
      </w:r>
    </w:p>
    <w:p>
      <w:r>
        <w:t>TotalCost(k) = ComputationCost(k) + CoordinationCost(k) + CommunicationCost(k)</w:t>
      </w:r>
    </w:p>
    <w:p>
      <w:r>
        <w:t>其中：ComputationCost由CAE(+)和CDE(-)决定；CoordinationCost由COS决定；CommunicationCost由IRC决定。</w:t>
      </w:r>
    </w:p>
    <w:p>
      <w:pPr>
        <w:pStyle w:val="Heading2"/>
      </w:pPr>
      <w:r>
        <w:t>4.2 成本形式化</w:t>
      </w:r>
    </w:p>
    <w:p>
      <w:r>
        <w:t>迭代架构：CompCost(n) = Omega(n^2)（CAE条件下）</w:t>
      </w:r>
    </w:p>
    <w:p>
      <w:r>
        <w:t>组织架构：CompCost(k) = O(k*L)（CDE条件下，L为单角色上下文上界）</w:t>
      </w:r>
    </w:p>
    <w:p>
      <w:pPr>
        <w:pStyle w:val="Heading2"/>
      </w:pPr>
      <w:r>
        <w:t>4.3 最优团队大小k*</w:t>
      </w:r>
    </w:p>
    <w:p>
      <w:r>
        <w:t>k* = argmin_k TotalCost(k)，最优性条件：边际CDE节省 = 边际协调开销。</w:t>
      </w:r>
    </w:p>
    <w:p>
      <w:r>
        <w:t>V4实证：k*=6时，组织成本42,166 Token &lt; 迭代成本124,280 Token，3:1优势。</w:t>
      </w:r>
    </w:p>
    <w:p>
      <w:pPr>
        <w:pStyle w:val="Heading2"/>
      </w:pPr>
      <w:r>
        <w:t>4.4 决策规则</w:t>
      </w:r>
    </w:p>
    <w:p>
      <w:pPr>
        <w:pStyle w:val="ListBullet"/>
      </w:pPr>
      <w:r>
        <w:t>SPLIT: 当ctx_projected &gt; theta_split（8000 Token）时拆分角色</w:t>
      </w:r>
    </w:p>
    <w:p>
      <w:pPr>
        <w:pStyle w:val="ListBullet"/>
      </w:pPr>
      <w:r>
        <w:t>MERGE: 当comm_cost &gt; comp_savings时合并角色</w:t>
      </w:r>
    </w:p>
    <w:p>
      <w:pPr>
        <w:pStyle w:val="ListBullet"/>
      </w:pPr>
      <w:r>
        <w:t>CENTRALIZE: 当高风险接口 &gt; theta_centralize（3个）时引入协调者</w:t>
      </w:r>
    </w:p>
    <w:p>
      <w:pPr>
        <w:pStyle w:val="ListBullet"/>
      </w:pPr>
      <w:r>
        <w:t>STYLE DOWNGRADE: 当verbosity_ratio &gt; theta_verbosity（1.05）时降低自主性风格</w:t>
      </w:r>
    </w:p>
    <w:p>
      <w:pPr>
        <w:pStyle w:val="ListBullet"/>
      </w:pPr>
      <w:r>
        <w:t>CONTEXT LIMIT: 当ctx &gt; theta_split时压缩/摘要上下文</w:t>
      </w:r>
    </w:p>
    <w:p>
      <w:pPr>
        <w:pStyle w:val="Heading1"/>
      </w:pPr>
      <w:r>
        <w:t>5. 算法：OIMAC</w:t>
      </w:r>
    </w:p>
    <w:p>
      <w:r>
        <w:t>OIMAC（Organization-Inspired Multi-Agent Coordination）是一个完整的多智能体协调算法，将理论机制转化为可执行的协调协议。算法的主要效果来自重构计算——分解为有界局部上下文是基本操作，上下文过滤是次要优化。</w:t>
      </w:r>
    </w:p>
    <w:p>
      <w:pPr>
        <w:pStyle w:val="Heading2"/>
      </w:pPr>
      <w:r>
        <w:t>5.1 算法流程（7个Phase）</w:t>
      </w:r>
    </w:p>
    <w:p>
      <w:pPr>
        <w:pStyle w:val="ListBullet"/>
      </w:pPr>
      <w:r>
        <w:t>Phase 0 — 初始化：接受任务描述，设置阈值（theta_split=8000, theta_centralize=3, theta_verbosity=1.05, max_agents=10）</w:t>
      </w:r>
    </w:p>
    <w:p>
      <w:pPr>
        <w:pStyle w:val="ListBullet"/>
      </w:pPr>
      <w:r>
        <w:t>Phase 1 — 复杂度估计：LLM调用评估任务复杂度（0-1）和预估输出大小</w:t>
      </w:r>
    </w:p>
    <w:p>
      <w:pPr>
        <w:pStyle w:val="ListBullet"/>
      </w:pPr>
      <w:r>
        <w:t>Phase 2 — 初始组织设计：根据复杂度决定k（0.3-&gt;1, 0.6-&gt;3, 0.8-&gt;5, 1.0-&gt;6）</w:t>
      </w:r>
    </w:p>
    <w:p>
      <w:pPr>
        <w:pStyle w:val="ListBullet"/>
      </w:pPr>
      <w:r>
        <w:t>Phase 3 — 任务分解：LLM调用将任务分解为k个角色，构建依赖图和接口对</w:t>
      </w:r>
    </w:p>
    <w:p>
      <w:pPr>
        <w:pStyle w:val="ListBullet"/>
      </w:pPr>
      <w:r>
        <w:t>Phase 4 — 风格分配：根据角色类型分配指令风格</w:t>
      </w:r>
    </w:p>
    <w:p>
      <w:pPr>
        <w:pStyle w:val="ListBullet"/>
      </w:pPr>
      <w:r>
        <w:t>Phase 5 — 执行与监控：按拓扑序执行，主要效率来源是流水线分解本身（CDE），Context Controller在此基础上执行有界上下文优化</w:t>
      </w:r>
    </w:p>
    <w:p>
      <w:pPr>
        <w:pStyle w:val="ListBullet"/>
      </w:pPr>
      <w:r>
        <w:t>Phase 6 — 调和与整合：检测并修复并行输出的接口不一致（IRC），最终整合</w:t>
      </w:r>
    </w:p>
    <w:p>
      <w:pPr>
        <w:pStyle w:val="Heading2"/>
      </w:pPr>
      <w:r>
        <w:t>5.2 复杂度分析</w:t>
      </w:r>
    </w:p>
    <w:p>
      <w:r>
        <w:t>最坏情况：O(k * C_LLM(theta_split))，其中theta_split为常数，故O(k)。对比迭代基线：Omega(n^2)。</w:t>
      </w:r>
    </w:p>
    <w:p>
      <w:pPr>
        <w:pStyle w:val="Heading2"/>
      </w:pPr>
      <w:r>
        <w:t>5.3 与现有框架的比较</w:t>
      </w:r>
    </w:p>
    <w:p>
      <w:r>
        <w:t>OIMAC与现有框架的根本区别：现有框架提供编排原语（谁和谁对话），OIMAC提供成本最优的编排决策（谁应该和谁对话，传递多少上下文）。</w:t>
      </w:r>
    </w:p>
    <w:p>
      <w:pPr>
        <w:pStyle w:val="Heading1"/>
      </w:pPr>
      <w:r>
        <w:t>6. 系统架构</w:t>
      </w:r>
    </w:p>
    <w:p>
      <w:r>
        <w:t>OIMAC系统是一个通用多智能体协作框架，其核心设计目标是通过结构性手段避免而非控制上下文积累效应。本节的核心论断是：CAE避免的主要原因是流水线分解，而非Context Controller。</w:t>
      </w:r>
    </w:p>
    <w:p>
      <w:pPr>
        <w:pStyle w:val="Heading2"/>
      </w:pPr>
      <w:r>
        <w:t>6.1 九模块架构</w:t>
      </w:r>
    </w:p>
    <w:p>
      <w:pPr>
        <w:pStyle w:val="ListBullet"/>
      </w:pPr>
      <w:r>
        <w:t>Task Analyzer（任务分析器）：输入原始任务，输出复杂度和预估输出大小。</w:t>
      </w:r>
    </w:p>
    <w:p>
      <w:pPr>
        <w:pStyle w:val="ListBullet"/>
      </w:pPr>
      <w:r>
        <w:t>Organization Designer（组织设计器）：输出角色列表、依赖图、接口对。</w:t>
      </w:r>
    </w:p>
    <w:p>
      <w:pPr>
        <w:pStyle w:val="ListBullet"/>
      </w:pPr>
      <w:r>
        <w:t>Role Manager（角色管理器）：管理角色生命周期，负责SPLIT和MERGE操作。</w:t>
      </w:r>
    </w:p>
    <w:p>
      <w:pPr>
        <w:pStyle w:val="ListBullet"/>
      </w:pPr>
      <w:r>
        <w:t>Context Controller（上下文控制器）：实现有界上下文优化的辅助模块，限制残余冗余。执行三条规则：Rule 1（局部传递）、Rule 2（大小限制）、Rule 3（接口过滤）。Context Controller是次级机制——主要效率来自流水线分解本身。</w:t>
      </w:r>
    </w:p>
    <w:p>
      <w:pPr>
        <w:pStyle w:val="ListBullet"/>
      </w:pPr>
      <w:r>
        <w:t>Execution Engine（执行引擎）：实际调用LLM，记录Token/输出/延迟指标。</w:t>
      </w:r>
    </w:p>
    <w:p>
      <w:pPr>
        <w:pStyle w:val="ListBullet"/>
      </w:pPr>
      <w:r>
        <w:t>Communication Manager（通信管理器）：管理角色间信息流，实现接口契约。</w:t>
      </w:r>
    </w:p>
    <w:p>
      <w:pPr>
        <w:pStyle w:val="ListBullet"/>
      </w:pPr>
      <w:r>
        <w:t>Coordination Manager（协调管理器）：管理依赖图和执行顺序。</w:t>
      </w:r>
    </w:p>
    <w:p>
      <w:pPr>
        <w:pStyle w:val="ListBullet"/>
      </w:pPr>
      <w:r>
        <w:t>Reconciliation Engine（调和引擎）：处理接口冲突。</w:t>
      </w:r>
    </w:p>
    <w:p>
      <w:pPr>
        <w:pStyle w:val="ListBullet"/>
      </w:pPr>
      <w:r>
        <w:t>Cost Monitor（成本监控器）：实时计算三种成本，判断是否触发split/merge/centralize。</w:t>
      </w:r>
    </w:p>
    <w:p>
      <w:pPr>
        <w:pStyle w:val="Heading2"/>
      </w:pPr>
      <w:r>
        <w:t>6.2 CAE避免：结构性避免 vs 局部优化</w:t>
      </w:r>
    </w:p>
    <w:p>
      <w:r>
        <w:t>OIMAC避免CAE的核心机制是结构性避免，而非局部控制。这一区分是本文的核心理论贡献：</w:t>
      </w:r>
    </w:p>
    <w:p>
      <w:r>
        <w:t>主机制——结构性避免（CDE）：流水线架构中，每个角色仅接收直接依赖的输出而非全局历史。依赖图的局部化从结构上消除了CAE的核心条件A1。即使不启用Context Controller，组织化流水线仍能将成本从Omega(n^2)降至O(k)。跨模型验证：DeepSeek中条件D=58,718（vs B=88,494），MiMo中条件D=63,050（vs B=102,105），证实分解独立发挥作用。</w:t>
      </w:r>
    </w:p>
    <w:p>
      <w:r>
        <w:t>次级机制——局部优化（Context Controller）：在CDE已结构性避免CAE的基础上，Context Controller通过三条规则进一步约束上下文传播范围，减少残余冗余。跨模型验证：D/C比率在DeepSeek中为1.36x，在MiMo中为1.28x，表明Context Controller贡献约25%的额外优化。</w:t>
      </w:r>
    </w:p>
    <w:p>
      <w:r>
        <w:t>形式化保证：对于组织中任意角色i，ctx(i) &lt;= max(theta_split, |interface(predecessors-&gt;i)|)。关键洞察：这一有界性质首先源于流水线结构本身（结构性避免），Context Controller在此基础上进一步收紧边界（局部优化）。CAE不是被"控制"——它被结构性避免。</w:t>
      </w:r>
    </w:p>
    <w:p>
      <w:pPr>
        <w:pStyle w:val="Heading1"/>
      </w:pPr>
      <w:r>
        <w:t>7. 实验验证</w:t>
      </w:r>
    </w:p>
    <w:p>
      <w:pPr>
        <w:pStyle w:val="Heading2"/>
      </w:pPr>
      <w:r>
        <w:t>7.1 任务设计</w:t>
      </w:r>
    </w:p>
    <w:p>
      <w:r>
        <w:t>我们在两个结构不同的任务上评估，以测试机制的泛化性：</w:t>
      </w:r>
    </w:p>
    <w:p>
      <w:r>
        <w:t>任务1——贪吃蛇网页游戏（code-heavy, single-chain）：经典贪吃蛇游戏，单HTML文件实现。代码密集型，依赖结构以线性为主：需求-&gt;架构-&gt;前端-&gt;游戏逻辑-&gt;测试-&gt;集成。接口耦合度低。</w:t>
      </w:r>
    </w:p>
    <w:p>
      <w:r>
        <w:t>任务2——拼豆图纸生成器（vision+layout, multi-interface）：将用户上传图片转换为拼豆图纸的网页应用，涉及图像处理算法和UI渲染，形成多接口依赖结构：前端（Canvas渲染）&lt;-&gt;图像处理（颜色量化、网格映射）&lt;-&gt;统计。接口耦合度高（ImageData对象、调色板、网格尺寸必须跨模块一致）。</w:t>
      </w:r>
    </w:p>
    <w:p>
      <w:r>
        <w:t>两个任务在关键维度上不同：代码密集 vs 视觉+布局，单链 vs 多接口，低耦合 vs 高耦合。</w:t>
      </w:r>
    </w:p>
    <w:p>
      <w:pPr>
        <w:pStyle w:val="Heading2"/>
      </w:pPr>
      <w:r>
        <w:t>7.2 实验条件</w:t>
      </w:r>
    </w:p>
    <w:p>
      <w:r>
        <w:t>所有四个条件使用相同的任务prompt、相同的模型参数（temperature=0.3）、相同的API调用预算（组织化条件7次调用）。唯一自变量是工作流结构：</w:t>
      </w:r>
    </w:p>
    <w:p>
      <w:pPr>
        <w:pStyle w:val="ListBullet"/>
      </w:pPr>
      <w:r>
        <w:t>条件A（单Agent）：一个Agent，一次调用，单次完成任务。代表成本下限。</w:t>
      </w:r>
    </w:p>
    <w:p>
      <w:pPr>
        <w:pStyle w:val="ListBullet"/>
      </w:pPr>
      <w:r>
        <w:t>条件B（迭代）：一个Agent，7轮迭代，每轮接收所有前序输出。满足CAE条件(a)(b)。</w:t>
      </w:r>
    </w:p>
    <w:p>
      <w:pPr>
        <w:pStyle w:val="ListBullet"/>
      </w:pPr>
      <w:r>
        <w:t>条件C（OIMAC+Context Controller）：六个专业Agent的流水线。每个Agent仅接收直接依赖输出（Rule 1），受theta_split约束（Rule 2），按接口相关性过滤（Rule 3）。</w:t>
      </w:r>
    </w:p>
    <w:p>
      <w:pPr>
        <w:pStyle w:val="ListBullet"/>
      </w:pPr>
      <w:r>
        <w:t>条件D（OIMAC-Context Controller）：与条件C相同，但禁用Context Controller。每个Agent接收所有前序Agent的完整原始输出。消融条件。</w:t>
      </w:r>
    </w:p>
    <w:p>
      <w:pPr>
        <w:pStyle w:val="Heading2"/>
      </w:pPr>
      <w:r>
        <w:t>7.3 实验结果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条件</w:t>
            </w:r>
          </w:p>
        </w:tc>
        <w:tc>
          <w:tcPr>
            <w:tcW w:type="dxa" w:w="1728"/>
          </w:tcPr>
          <w:p>
            <w:r>
              <w:t>描述</w:t>
            </w:r>
          </w:p>
        </w:tc>
        <w:tc>
          <w:tcPr>
            <w:tcW w:type="dxa" w:w="1728"/>
          </w:tcPr>
          <w:p>
            <w:r>
              <w:t>DeepSeek</w:t>
            </w:r>
          </w:p>
        </w:tc>
        <w:tc>
          <w:tcPr>
            <w:tcW w:type="dxa" w:w="1728"/>
          </w:tcPr>
          <w:p>
            <w:r>
              <w:t>MiMo</w:t>
            </w:r>
          </w:p>
        </w:tc>
        <w:tc>
          <w:tcPr>
            <w:tcW w:type="dxa" w:w="1728"/>
          </w:tcPr>
          <w:p>
            <w:r>
              <w:t>均值</w:t>
            </w:r>
          </w:p>
        </w:tc>
      </w:tr>
      <w:tr>
        <w:tc>
          <w:tcPr>
            <w:tcW w:type="dxa" w:w="1728"/>
          </w:tcPr>
          <w:p>
            <w:r>
              <w:t>A</w:t>
            </w:r>
          </w:p>
        </w:tc>
        <w:tc>
          <w:tcPr>
            <w:tcW w:type="dxa" w:w="1728"/>
          </w:tcPr>
          <w:p>
            <w:r>
              <w:t>单Agent</w:t>
            </w:r>
          </w:p>
        </w:tc>
        <w:tc>
          <w:tcPr>
            <w:tcW w:type="dxa" w:w="1728"/>
          </w:tcPr>
          <w:p>
            <w:r>
              <w:t>6,587</w:t>
            </w:r>
          </w:p>
        </w:tc>
        <w:tc>
          <w:tcPr>
            <w:tcW w:type="dxa" w:w="1728"/>
          </w:tcPr>
          <w:p>
            <w:r>
              <w:t>8,251</w:t>
            </w:r>
          </w:p>
        </w:tc>
        <w:tc>
          <w:tcPr>
            <w:tcW w:type="dxa" w:w="1728"/>
          </w:tcPr>
          <w:p>
            <w:r>
              <w:t>7,419</w:t>
            </w:r>
          </w:p>
        </w:tc>
      </w:tr>
      <w:tr>
        <w:tc>
          <w:tcPr>
            <w:tcW w:type="dxa" w:w="1728"/>
          </w:tcPr>
          <w:p>
            <w:r>
              <w:t>B</w:t>
            </w:r>
          </w:p>
        </w:tc>
        <w:tc>
          <w:tcPr>
            <w:tcW w:type="dxa" w:w="1728"/>
          </w:tcPr>
          <w:p>
            <w:r>
              <w:t>迭代7轮</w:t>
            </w:r>
          </w:p>
        </w:tc>
        <w:tc>
          <w:tcPr>
            <w:tcW w:type="dxa" w:w="1728"/>
          </w:tcPr>
          <w:p>
            <w:r>
              <w:t>88,494</w:t>
            </w:r>
          </w:p>
        </w:tc>
        <w:tc>
          <w:tcPr>
            <w:tcW w:type="dxa" w:w="1728"/>
          </w:tcPr>
          <w:p>
            <w:r>
              <w:t>102,105</w:t>
            </w:r>
          </w:p>
        </w:tc>
        <w:tc>
          <w:tcPr>
            <w:tcW w:type="dxa" w:w="1728"/>
          </w:tcPr>
          <w:p>
            <w:r>
              <w:t>95,300</w:t>
            </w:r>
          </w:p>
        </w:tc>
      </w:tr>
      <w:tr>
        <w:tc>
          <w:tcPr>
            <w:tcW w:type="dxa" w:w="1728"/>
          </w:tcPr>
          <w:p>
            <w:r>
              <w:t>C</w:t>
            </w:r>
          </w:p>
        </w:tc>
        <w:tc>
          <w:tcPr>
            <w:tcW w:type="dxa" w:w="1728"/>
          </w:tcPr>
          <w:p>
            <w:r>
              <w:t>OIMAC+CC</w:t>
            </w:r>
          </w:p>
        </w:tc>
        <w:tc>
          <w:tcPr>
            <w:tcW w:type="dxa" w:w="1728"/>
          </w:tcPr>
          <w:p>
            <w:r>
              <w:t>43,321</w:t>
            </w:r>
          </w:p>
        </w:tc>
        <w:tc>
          <w:tcPr>
            <w:tcW w:type="dxa" w:w="1728"/>
          </w:tcPr>
          <w:p>
            <w:r>
              <w:t>49,285</w:t>
            </w:r>
          </w:p>
        </w:tc>
        <w:tc>
          <w:tcPr>
            <w:tcW w:type="dxa" w:w="1728"/>
          </w:tcPr>
          <w:p>
            <w:r>
              <w:t>46,303</w:t>
            </w:r>
          </w:p>
        </w:tc>
      </w:tr>
      <w:tr>
        <w:tc>
          <w:tcPr>
            <w:tcW w:type="dxa" w:w="1728"/>
          </w:tcPr>
          <w:p>
            <w:r>
              <w:t>D</w:t>
            </w:r>
          </w:p>
        </w:tc>
        <w:tc>
          <w:tcPr>
            <w:tcW w:type="dxa" w:w="1728"/>
          </w:tcPr>
          <w:p>
            <w:r>
              <w:t>OIMAC-CC</w:t>
            </w:r>
          </w:p>
        </w:tc>
        <w:tc>
          <w:tcPr>
            <w:tcW w:type="dxa" w:w="1728"/>
          </w:tcPr>
          <w:p>
            <w:r>
              <w:t>58,718</w:t>
            </w:r>
          </w:p>
        </w:tc>
        <w:tc>
          <w:tcPr>
            <w:tcW w:type="dxa" w:w="1728"/>
          </w:tcPr>
          <w:p>
            <w:r>
              <w:t>63,050</w:t>
            </w:r>
          </w:p>
        </w:tc>
        <w:tc>
          <w:tcPr>
            <w:tcW w:type="dxa" w:w="1728"/>
          </w:tcPr>
          <w:p>
            <w:r>
              <w:t>60,884</w:t>
            </w:r>
          </w:p>
        </w:tc>
      </w:tr>
      <w:tr>
        <w:tc>
          <w:tcPr>
            <w:tcW w:type="dxa" w:w="1728"/>
          </w:tcPr>
          <w:p>
            <w:r>
              <w:t>比率</w:t>
            </w:r>
          </w:p>
        </w:tc>
        <w:tc>
          <w:tcPr>
            <w:tcW w:type="dxa" w:w="1728"/>
          </w:tcPr>
          <w:p>
            <w:r>
              <w:t>C/B=0.49, D/C=1.32</w:t>
            </w:r>
          </w:p>
        </w:tc>
        <w:tc>
          <w:tcPr>
            <w:tcW w:type="dxa" w:w="1728"/>
          </w:tcPr>
          <w:p/>
        </w:tc>
        <w:tc>
          <w:tcPr>
            <w:tcW w:type="dxa" w:w="1728"/>
          </w:tcPr>
          <w:p/>
        </w:tc>
        <w:tc>
          <w:tcPr>
            <w:tcW w:type="dxa" w:w="1728"/>
          </w:tcPr>
          <w:p/>
        </w:tc>
      </w:tr>
    </w:tbl>
    <w:p/>
    <w:p>
      <w:r>
        <w:t>关键比率：C/B = 0.49（OIMAC降低迭代成本约51%），D/C = 1.32（CC提供约24%额外节省），D/B = 0.64（分解独立提供约36%节省）。</w:t>
      </w:r>
    </w:p>
    <w:p>
      <w:pPr>
        <w:pStyle w:val="Heading2"/>
      </w:pPr>
      <w:r>
        <w:t>7.4 机制分解</w:t>
      </w:r>
    </w:p>
    <w:p>
      <w:r>
        <w:t>核心发现：效率增益可分解为主成分和次成分：</w:t>
      </w:r>
    </w:p>
    <w:p>
      <w:r>
        <w:t>总增益 = 分解增益 + 控制增益</w:t>
      </w:r>
    </w:p>
    <w:p>
      <w:r>
        <w:t>其中：总增益 = Token(B) - Token(C)，分解增益 = Token(B) - Token(D)，控制增益 = Token(D) - Token(C)。</w:t>
      </w:r>
    </w:p>
    <w:p>
      <w:pPr>
        <w:pStyle w:val="ListBullet"/>
      </w:pPr>
      <w:r>
        <w:t>跨两个模型：分解增益（CDE）占70-75%，控制增益（Context Controller）占25-30%。</w:t>
      </w:r>
    </w:p>
    <w:p/>
    <w:p>
      <w:r>
        <w:t>DeepSeek：分解 = 29,776 tokens（72%），控制 = 15,397 tokens（28%）</w:t>
      </w:r>
    </w:p>
    <w:p>
      <w:r>
        <w:t>MiMo：分解 = 39,055 tokens（76%），控制 = 13,765 tokens（24%）</w:t>
      </w:r>
    </w:p>
    <w:p>
      <w:r>
        <w:t>CDE始终贡献约三倍于Context Controller的效率增益。</w:t>
      </w:r>
    </w:p>
    <w:p>
      <w:pPr>
        <w:pStyle w:val="Heading2"/>
      </w:pPr>
      <w:r>
        <w:t>7.5 CAE验证</w:t>
      </w:r>
    </w:p>
    <w:p>
      <w:r>
        <w:t>通过条件B（迭代）和条件D（无CC）的上下文增长分析验证CAE：</w:t>
      </w:r>
    </w:p>
    <w:p>
      <w:r>
        <w:t>条件B（DeepSeek）：372 -&gt; 24,121 -&gt; 48,188 -&gt; 72,254 -&gt; 95,406 -&gt; 119,748 -&gt; 144,089</w:t>
      </w:r>
    </w:p>
    <w:p>
      <w:r>
        <w:t>条件B（MiMo）：372 -&gt; 27,199 -&gt; 58,835 -&gt; 90,955 -&gt; 113,693 -&gt; 137,039 -&gt; 180,297</w:t>
      </w:r>
    </w:p>
    <w:p>
      <w:r>
        <w:t>条件D（MiMo，无CC）：352 -&gt; 3,016 -&gt; 4,524 -&gt; 8,690 -&gt; 22,749 -&gt; 32,170 -&gt; 35,160</w:t>
      </w:r>
    </w:p>
    <w:p/>
    <w:p>
      <w:r>
        <w:t>CAE是结构性的、架构诱导的效应：两个模型在迭代架构下均表现出定性一致的单调上下文增长。增长模式是工作流的结构性质，而非LLM的性质。</w:t>
      </w:r>
    </w:p>
    <w:p>
      <w:pPr>
        <w:pStyle w:val="Heading2"/>
      </w:pPr>
      <w:r>
        <w:t>7.6 跨模型鲁棒性</w:t>
      </w:r>
    </w:p>
    <w:p>
      <w:r>
        <w:t>机制分解在两个异质模型中一致：</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指标</w:t>
            </w:r>
          </w:p>
        </w:tc>
        <w:tc>
          <w:tcPr>
            <w:tcW w:type="dxa" w:w="2160"/>
          </w:tcPr>
          <w:p>
            <w:r>
              <w:t>DeepSeek</w:t>
            </w:r>
          </w:p>
        </w:tc>
        <w:tc>
          <w:tcPr>
            <w:tcW w:type="dxa" w:w="2160"/>
          </w:tcPr>
          <w:p>
            <w:r>
              <w:t>MiMo</w:t>
            </w:r>
          </w:p>
        </w:tc>
        <w:tc>
          <w:tcPr>
            <w:tcW w:type="dxa" w:w="2160"/>
          </w:tcPr>
          <w:p>
            <w:r>
              <w:t>一致性</w:t>
            </w:r>
          </w:p>
        </w:tc>
      </w:tr>
      <w:tr>
        <w:tc>
          <w:tcPr>
            <w:tcW w:type="dxa" w:w="2160"/>
          </w:tcPr>
          <w:p>
            <w:r>
              <w:t>CAE（B上下文）</w:t>
            </w:r>
          </w:p>
        </w:tc>
        <w:tc>
          <w:tcPr>
            <w:tcW w:type="dxa" w:w="2160"/>
          </w:tcPr>
          <w:p>
            <w:r>
              <w:t>372-&gt;144,089</w:t>
            </w:r>
          </w:p>
        </w:tc>
        <w:tc>
          <w:tcPr>
            <w:tcW w:type="dxa" w:w="2160"/>
          </w:tcPr>
          <w:p>
            <w:r>
              <w:t>372-&gt;180,297</w:t>
            </w:r>
          </w:p>
        </w:tc>
        <w:tc>
          <w:tcPr>
            <w:tcW w:type="dxa" w:w="2160"/>
          </w:tcPr>
          <w:p>
            <w:r>
              <w:t>均单调</w:t>
            </w:r>
          </w:p>
        </w:tc>
      </w:tr>
      <w:tr>
        <w:tc>
          <w:tcPr>
            <w:tcW w:type="dxa" w:w="2160"/>
          </w:tcPr>
          <w:p>
            <w:r>
              <w:t>OIMAC效果（C/B）</w:t>
            </w:r>
          </w:p>
        </w:tc>
        <w:tc>
          <w:tcPr>
            <w:tcW w:type="dxa" w:w="2160"/>
          </w:tcPr>
          <w:p>
            <w:r>
              <w:t>2.04x</w:t>
            </w:r>
          </w:p>
        </w:tc>
        <w:tc>
          <w:tcPr>
            <w:tcW w:type="dxa" w:w="2160"/>
          </w:tcPr>
          <w:p>
            <w:r>
              <w:t>2.07x</w:t>
            </w:r>
          </w:p>
        </w:tc>
        <w:tc>
          <w:tcPr>
            <w:tcW w:type="dxa" w:w="2160"/>
          </w:tcPr>
          <w:p>
            <w:r>
              <w:t>约2x</w:t>
            </w:r>
          </w:p>
        </w:tc>
      </w:tr>
      <w:tr>
        <w:tc>
          <w:tcPr>
            <w:tcW w:type="dxa" w:w="2160"/>
          </w:tcPr>
          <w:p>
            <w:r>
              <w:t>CC效果（D/C）</w:t>
            </w:r>
          </w:p>
        </w:tc>
        <w:tc>
          <w:tcPr>
            <w:tcW w:type="dxa" w:w="2160"/>
          </w:tcPr>
          <w:p>
            <w:r>
              <w:t>1.36x</w:t>
            </w:r>
          </w:p>
        </w:tc>
        <w:tc>
          <w:tcPr>
            <w:tcW w:type="dxa" w:w="2160"/>
          </w:tcPr>
          <w:p>
            <w:r>
              <w:t>1.28x</w:t>
            </w:r>
          </w:p>
        </w:tc>
        <w:tc>
          <w:tcPr>
            <w:tcW w:type="dxa" w:w="2160"/>
          </w:tcPr>
          <w:p>
            <w:r>
              <w:t>约1.3x</w:t>
            </w:r>
          </w:p>
        </w:tc>
      </w:tr>
      <w:tr>
        <w:tc>
          <w:tcPr>
            <w:tcW w:type="dxa" w:w="2160"/>
          </w:tcPr>
          <w:p>
            <w:r>
              <w:t>主机制</w:t>
            </w:r>
          </w:p>
        </w:tc>
        <w:tc>
          <w:tcPr>
            <w:tcW w:type="dxa" w:w="2160"/>
          </w:tcPr>
          <w:p>
            <w:r>
              <w:t>CDE</w:t>
            </w:r>
          </w:p>
        </w:tc>
        <w:tc>
          <w:tcPr>
            <w:tcW w:type="dxa" w:w="2160"/>
          </w:tcPr>
          <w:p>
            <w:r>
              <w:t>CDE</w:t>
            </w:r>
          </w:p>
        </w:tc>
        <w:tc>
          <w:tcPr>
            <w:tcW w:type="dxa" w:w="2160"/>
          </w:tcPr>
          <w:p>
            <w:r>
              <w:t>一致</w:t>
            </w:r>
          </w:p>
        </w:tc>
      </w:tr>
      <w:tr>
        <w:tc>
          <w:tcPr>
            <w:tcW w:type="dxa" w:w="2160"/>
          </w:tcPr>
          <w:p>
            <w:r>
              <w:t>次级机制</w:t>
            </w:r>
          </w:p>
        </w:tc>
        <w:tc>
          <w:tcPr>
            <w:tcW w:type="dxa" w:w="2160"/>
          </w:tcPr>
          <w:p>
            <w:r>
              <w:t>CC</w:t>
            </w:r>
          </w:p>
        </w:tc>
        <w:tc>
          <w:tcPr>
            <w:tcW w:type="dxa" w:w="2160"/>
          </w:tcPr>
          <w:p>
            <w:r>
              <w:t>CC</w:t>
            </w:r>
          </w:p>
        </w:tc>
        <w:tc>
          <w:tcPr>
            <w:tcW w:type="dxa" w:w="2160"/>
          </w:tcPr>
          <w:p>
            <w:r>
              <w:t>一致</w:t>
            </w:r>
          </w:p>
        </w:tc>
      </w:tr>
      <w:tr>
        <w:tc>
          <w:tcPr>
            <w:tcW w:type="dxa" w:w="2160"/>
          </w:tcPr>
          <w:p>
            <w:r>
              <w:t>分解贡献度</w:t>
            </w:r>
          </w:p>
        </w:tc>
        <w:tc>
          <w:tcPr>
            <w:tcW w:type="dxa" w:w="2160"/>
          </w:tcPr>
          <w:p>
            <w:r>
              <w:t>72%</w:t>
            </w:r>
          </w:p>
        </w:tc>
        <w:tc>
          <w:tcPr>
            <w:tcW w:type="dxa" w:w="2160"/>
          </w:tcPr>
          <w:p>
            <w:r>
              <w:t>76%</w:t>
            </w:r>
          </w:p>
        </w:tc>
        <w:tc>
          <w:tcPr>
            <w:tcW w:type="dxa" w:w="2160"/>
          </w:tcPr>
          <w:p>
            <w:r>
              <w:t>约75%</w:t>
            </w:r>
          </w:p>
        </w:tc>
      </w:tr>
    </w:tbl>
    <w:p/>
    <w:p>
      <w:r>
        <w:t>DeepSeek（推理导向）和MiMo（生成导向）代表不同的模型家族。机制贡献的一致性表明分解是模型无关的：它反映的是组织结构性质，而非LLM性质。</w:t>
      </w:r>
    </w:p>
    <w:p>
      <w:pPr>
        <w:pStyle w:val="Heading2"/>
      </w:pPr>
      <w:r>
        <w:t>7.7 接口错误：IRC实证</w:t>
      </w:r>
    </w:p>
    <w:p>
      <w:r>
        <w:t>组织化分解引入了单Agent工作流中不存在的接口调和成本。在拼豆图任务（条件C）中，测试角色识别了以下接口问题：</w:t>
      </w:r>
    </w:p>
    <w:p>
      <w:pPr>
        <w:pStyle w:val="ListBullet"/>
      </w:pPr>
      <w:r>
        <w:t>1. 调色板不匹配：图像处理模块使用RGB距离量化颜色，前端渲染器期望十六进制码。集成步骤中需要适配函数。</w:t>
      </w:r>
    </w:p>
    <w:p>
      <w:pPr>
        <w:pStyle w:val="ListBullet"/>
      </w:pPr>
      <w:r>
        <w:t>2. 网格尺寸不一致：图像处理模块输出(rows, cols)，Canvas期望(width, height)。坐标约定不匹配导致渲染错误。</w:t>
      </w:r>
    </w:p>
    <w:p>
      <w:pPr>
        <w:pStyle w:val="ListBullet"/>
      </w:pPr>
      <w:r>
        <w:t>3. 数据格式不兼容：统计模块输出字典{color: count}，UI组件期望数组[{color, count}]。需要格式转换。</w:t>
      </w:r>
    </w:p>
    <w:p/>
    <w:p>
      <w:r>
        <w:t>这些错误在单Agent工作流（条件A和B）中结构性不可见。它们专门源于组织结构：独立Agent并行工作自然产生不兼容的接口。这是IRC的实证签名。</w:t>
      </w:r>
    </w:p>
    <w:p>
      <w:r>
        <w:t>IRC成本：集成步骤在贪吃蛇任务中消耗16,188 tokens（38%），在拼豆图任务中消耗18,629 tokens（38%）。IRC是组织为分解付出的代价。</w:t>
      </w:r>
    </w:p>
    <w:p>
      <w:pPr>
        <w:pStyle w:val="Heading1"/>
      </w:pPr>
      <w:r>
        <w:t>8. 管理理论的压力测试与修正</w:t>
      </w:r>
    </w:p>
    <w:p>
      <w:pPr>
        <w:pStyle w:val="Heading2"/>
      </w:pPr>
      <w:r>
        <w:t>8.1 情境领导理论</w:t>
      </w:r>
    </w:p>
    <w:p>
      <w:r>
        <w:t>(a) 原始预测：匹配领导风格与下属准备度能提升效率。</w:t>
      </w:r>
    </w:p>
    <w:p>
      <w:r>
        <w:t>(b) 观察到的系统性偏差：V3发现高自主性风格（S3/S4）激发更冗长输出，产生AVT。</w:t>
      </w:r>
    </w:p>
    <w:p>
      <w:r>
        <w:t>(c) 机制：理论隐含"追随者会调节输出长度"假设，被LLM Agent违反。</w:t>
      </w:r>
    </w:p>
    <w:p>
      <w:r>
        <w:t>(d) 修正：增加输出冗长度作为调节变量。</w:t>
      </w:r>
    </w:p>
    <w:p>
      <w:pPr>
        <w:pStyle w:val="Heading2"/>
      </w:pPr>
      <w:r>
        <w:t>8.2 韦伯科层制</w:t>
      </w:r>
    </w:p>
    <w:p>
      <w:r>
        <w:t>(a) 原始预测：层级协调通过专业化提升效率。</w:t>
      </w:r>
    </w:p>
    <w:p>
      <w:r>
        <w:t>(b) 观察到的确认与偏差：V4确认效率提升，但揭示接口调和成本（4个阻断性Bug）。</w:t>
      </w:r>
    </w:p>
    <w:p>
      <w:r>
        <w:t>(c) 机制：LLM Agent缺乏人类工人的非正式沟通能力，接口协调必须通过显式结构化机制实现。</w:t>
      </w:r>
    </w:p>
    <w:p>
      <w:r>
        <w:t>(d) 修正：将协调开销建模为接口复杂度的函数。</w:t>
      </w:r>
    </w:p>
    <w:p>
      <w:pPr>
        <w:pStyle w:val="Heading2"/>
      </w:pPr>
      <w:r>
        <w:t>8.3 法约尔管理原则</w:t>
      </w:r>
    </w:p>
    <w:p>
      <w:r>
        <w:t>(a) 原始预测：统一指挥和分工原则改善组织效能。</w:t>
      </w:r>
    </w:p>
    <w:p>
      <w:r>
        <w:t>(b) 观察到的确认与偏差：原则被确认有效，但"指挥链"隐喻在Agent无法自主协商接口时失效。</w:t>
      </w:r>
    </w:p>
    <w:p>
      <w:r>
        <w:t>(c) 机制：LLM Agent无法通过非正式沟通解决命名约定或API契约问题。</w:t>
      </w:r>
    </w:p>
    <w:p>
      <w:r>
        <w:t>(d) 修正：通过结构化角色（如测试角色）补偿Agent缺乏自主协商能力的缺陷。</w:t>
      </w:r>
    </w:p>
    <w:p>
      <w:pPr>
        <w:pStyle w:val="Heading2"/>
      </w:pPr>
      <w:r>
        <w:t>8.4 理论贡献定位</w:t>
      </w:r>
    </w:p>
    <w:p>
      <w:r>
        <w:t>AOM的理论贡献不是"把管理学应用于AI"，而是系统性地识别管理理论在追随者为非人类Agent时的假设违反点，识别领域偏移，并提出领域特定修正。这一定位使AOM从一个一次性应用成为一个系统性检验和扩展管理理论的研究框架。</w:t>
      </w:r>
    </w:p>
    <w:p>
      <w:pPr>
        <w:pStyle w:val="Heading1"/>
      </w:pPr>
      <w:r>
        <w:t>局限性</w:t>
      </w:r>
    </w:p>
    <w:p>
      <w:pPr>
        <w:pStyle w:val="ListBullet"/>
      </w:pPr>
      <w:r>
        <w:t>有限的任务范围：实验仅跨越两个任务。虽然这些任务在计算特征上不同，但需要更多任务类型的验证。</w:t>
      </w:r>
    </w:p>
    <w:p>
      <w:pPr>
        <w:pStyle w:val="ListBullet"/>
      </w:pPr>
      <w:r>
        <w:t>阈值校准：关键参数（theta_split=8000）从V4实验校准，可能具有模型依赖性。</w:t>
      </w:r>
    </w:p>
    <w:p>
      <w:pPr>
        <w:pStyle w:val="ListBullet"/>
      </w:pPr>
      <w:r>
        <w:t>无统计显著性检验：每个条件在每个模型上运行一次。跨两个模型的一致性提供了定性鲁棒性，但正式统计检验需要多次运行。</w:t>
      </w:r>
    </w:p>
    <w:p>
      <w:pPr>
        <w:pStyle w:val="ListBullet"/>
      </w:pPr>
      <w:r>
        <w:t>无形式化质量保证：成本模型在质量约束下优化Token成本，但不提供输出质量的形式化保证。</w:t>
      </w:r>
    </w:p>
    <w:p>
      <w:pPr>
        <w:pStyle w:val="ListBullet"/>
      </w:pPr>
      <w:r>
        <w:t>k=6以上的可扩展性：实验使用k=6个角色。成本模型预测到k*的组织优势，但k&gt;10的经验数据缺失。</w:t>
      </w:r>
    </w:p>
    <w:p>
      <w:pPr>
        <w:pStyle w:val="ListBullet"/>
      </w:pPr>
      <w:r>
        <w:t>未测试动态适应：OIMAC包含SPLIT/MERGE/CENTRALIZE规则，但实验使用静态组织。</w:t>
      </w:r>
    </w:p>
    <w:p>
      <w:pPr>
        <w:pStyle w:val="Heading1"/>
      </w:pPr>
      <w:r>
        <w:t>9. 结论</w:t>
      </w:r>
    </w:p>
    <w:p>
      <w:r>
        <w:t>本文通过机制分解识别了多智能体工作流中的效率来源。核心发现：效率增益主要来自重构计算结构（流水线式分解，CDE）而非减少上下文（Context Controller）。CDE是主要驱动因素（约75%），通过结构性避免CAE运作。Context Controller是次级机制（约25%），通过局部优化残余冗余运作。这一分解在两个异质模型（DeepSeek、MiMo）和两个异质任务上得到验证。</w:t>
      </w:r>
    </w:p>
    <w:p>
      <w:r>
        <w:t>理论贡献三方面：（1）形式化识别CAE为结构性成本陷阱；（2）实证分解效率增益为主成分（CDE）和次成分（CC）；（3）证明管理理论的组织原则（专业化、层级、工作流）可迁移至LLM Agent系统，并提出领域特定修正。关键洞察：OIMAC不是通过过滤上下文起作用，而是通过重构计算起作用。</w:t>
      </w:r>
    </w:p>
    <w:p>
      <w:pPr>
        <w:pStyle w:val="Heading1"/>
      </w:pPr>
      <w:r>
        <w:t>参考文献</w:t>
      </w:r>
    </w:p>
    <w:p>
      <w:pPr>
        <w:pStyle w:val="ListBullet"/>
      </w:pPr>
      <w:r>
        <w:t>Hersey, P., &amp; Blanchard, K. H. (1969). Management of Organizational Behavior. Prentice Hall.</w:t>
      </w:r>
    </w:p>
    <w:p>
      <w:pPr>
        <w:pStyle w:val="ListBullet"/>
      </w:pPr>
      <w:r>
        <w:t>Fayol, H. (1916). Administration Industrielle et Generale. Dunod.</w:t>
      </w:r>
    </w:p>
    <w:p>
      <w:pPr>
        <w:pStyle w:val="ListBullet"/>
      </w:pPr>
      <w:r>
        <w:t>Weber, M. (1922). Wirtschaft und Gesellschaft. Mohr Siebeck.</w:t>
      </w:r>
    </w:p>
    <w:p>
      <w:pPr>
        <w:pStyle w:val="ListBullet"/>
      </w:pPr>
      <w:r>
        <w:t>Mintzberg, H. (1973). The Nature of Managerial Work. Harper &amp; Row.</w:t>
      </w:r>
    </w:p>
    <w:p>
      <w:pPr>
        <w:pStyle w:val="ListBullet"/>
      </w:pPr>
      <w:r>
        <w:t>Mintzberg, H. (1979). The Structuring of Organizations. Prentice Hall.</w:t>
      </w:r>
    </w:p>
    <w:p>
      <w:pPr>
        <w:pStyle w:val="ListBullet"/>
      </w:pPr>
      <w:r>
        <w:t>Drucker, P. F. (1954). The Practice of Management. Harper &amp; Row.</w:t>
      </w:r>
    </w:p>
    <w:p>
      <w:pPr>
        <w:pStyle w:val="ListBullet"/>
      </w:pPr>
      <w:r>
        <w:t>Simon, H. A. (1955). A Behavioral Model of Rational Choice. Q.J. Economics, 69(1), 99-118.</w:t>
      </w:r>
    </w:p>
    <w:p>
      <w:pPr>
        <w:pStyle w:val="ListBullet"/>
      </w:pPr>
      <w:r>
        <w:t>Shook, J. (2008). Managing to Learn: Using the A3 Management Process. Lean Enterprise Institute.</w:t>
      </w:r>
    </w:p>
    <w:p>
      <w:pPr>
        <w:pStyle w:val="ListBullet"/>
      </w:pPr>
      <w:r>
        <w:t>Vroom, V. H. (1964). Work and Motivation. Wiley.</w:t>
      </w:r>
    </w:p>
    <w:p>
      <w:pPr>
        <w:pStyle w:val="ListBullet"/>
      </w:pPr>
      <w:r>
        <w:t>Wu, Q., et al. (2023). AutoGen: Enabling Next-Gen LLM Applications via Multi-Agent Conversation. arXiv:2308.08155.</w:t>
      </w:r>
    </w:p>
    <w:p>
      <w:pPr>
        <w:pStyle w:val="ListBullet"/>
      </w:pPr>
      <w:r>
        <w:t>Xi, Z., et al. (2023). The Rise and Potential of Large Language Model Based Agents: A Survey. arXiv:2309.07864.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