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 Organizational Management: From Management Theory to Multi-Agent System Design</w:t>
      </w:r>
    </w:p>
    <w:p>
      <w:pPr>
        <w:jc w:val="center"/>
      </w:pPr>
      <w:r>
        <w:rPr>
          <w:color w:val="666666"/>
          <w:sz w:val="28"/>
        </w:rPr>
        <w:t>V3.0 — Large-Scale Efficiency-Focused Experiment</w:t>
      </w:r>
    </w:p>
    <w:p>
      <w:pPr>
        <w:jc w:val="center"/>
      </w:pPr>
      <w:r>
        <w:rPr>
          <w:sz w:val="22"/>
        </w:rPr>
        <w:t>Jiang Haoran</w:t>
        <w:br/>
        <w:t>2026-06-01</w:t>
      </w:r>
    </w:p>
    <w:p>
      <w:r>
        <w:br w:type="page"/>
      </w:r>
    </w:p>
    <w:p>
      <w:pPr>
        <w:pStyle w:val="Heading1"/>
      </w:pPr>
      <w:r>
        <w:t>Abstract</w:t>
      </w:r>
    </w:p>
    <w:p>
      <w:r>
        <w:t>This paper presents a large-scale empirical study (N=90) comparing Agent Organizational Management with Dynamic Topology (AOM-DT) against Static Topology (ST) in multi-agent task execution. Using 4 heterogeneous agents (readiness 0.24–0.95), 9 tasks across 3 uncertainty levels, and 5 repetitions per condition, we focus on efficiency metrics—token consumption and completion time. Results show that both conditions achieve 100% success rates with comparable quality (~3.9/5). However, AOM-DT consumes 7.0% more tokens and takes 6.4% longer than ST. We attribute this to the autonomy-verbosity trade-off: higher-autonomy styles (S3/S4) elicit more exploratory, verbose outputs from capable agents, increasing both worker and synthesis token costs. This finding reveals a fundamental tension in multi-agent coordination: matching instruction style to agent capability improves adaptability but may reduce token efficiency when the LLM's output verbosity correlates with autonomy level.</w:t>
      </w:r>
    </w:p>
    <w:p>
      <w:pPr>
        <w:pStyle w:val="Heading1"/>
      </w:pPr>
      <w:r>
        <w:t>1. Introduction</w:t>
      </w:r>
    </w:p>
    <w:p>
      <w:r>
        <w:t>Multi-agent systems (MAS) have become a dominant paradigm for tackling complex, decomposed tasks. However, most existing frameworks adopt a "one-size-fits-all" coordination strategy—typically a fixed topology where all agents receive identical instruction styles regardless of their capability levels. This paper applies management science's Situational Leadership Theory (Hersey &amp; Blanchard, 1969) to multi-agent system design, proposing AOM-DT (Dynamic Topology) as an adaptive alternative.</w:t>
      </w:r>
    </w:p>
    <w:p>
      <w:r>
        <w:t>While our V2 experiment (N=60) demonstrated preliminary feasibility with a single agent configuration, this V3 study addresses three critical limitations: (1) agent heterogeneity—we test 4 agents spanning the full readiness spectrum (0.24–0.95); (2) statistical power—5 repetitions per condition instead of 2; (3) efficiency focus—we systematically measure token consumption, completion time, and coordination overhead as primary metrics.</w:t>
      </w:r>
    </w:p>
    <w:p>
      <w:pPr>
        <w:pStyle w:val="Heading1"/>
      </w:pPr>
      <w:r>
        <w:t>2. Related Work</w:t>
      </w:r>
    </w:p>
    <w:p>
      <w:r>
        <w:t>Hersey and Blanchard's Situational Leadership Model (SLM) posits that effective leadership depends on follower readiness—their ability and willingness to perform a specific task. The model defines four leadership styles: S1 (Telling), S2 (Selling), S3 (Participating), and S4 (Delegating), mapped to four readiness levels R1–R4.</w:t>
      </w:r>
    </w:p>
    <w:p>
      <w:r>
        <w:t>Recent work on multi-agent coordination includes AutoGen (Wu et al., 2023), CrewAI, and LangGraph. These frameworks provide flexible agent orchestration but lack principled guidance on when to use different coordination styles. AOM fills this gap by importing established management theory.</w:t>
      </w:r>
    </w:p>
    <w:p>
      <w:pPr>
        <w:pStyle w:val="Heading1"/>
      </w:pPr>
      <w:r>
        <w:t>3. Methodology</w:t>
      </w:r>
    </w:p>
    <w:p>
      <w:pPr>
        <w:pStyle w:val="Heading2"/>
      </w:pPr>
      <w:r>
        <w:t>3.1 Agent Configuration</w:t>
      </w:r>
    </w:p>
    <w:p>
      <w:r>
        <w:t>We designed 4 heterogeneous agents spanning the full readiness spectrum: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Agent</w:t>
            </w:r>
          </w:p>
        </w:tc>
        <w:tc>
          <w:tcPr>
            <w:tcW w:type="dxa" w:w="1728"/>
          </w:tcPr>
          <w:p>
            <w:r>
              <w:t>HTSR</w:t>
            </w:r>
          </w:p>
        </w:tc>
        <w:tc>
          <w:tcPr>
            <w:tcW w:type="dxa" w:w="1728"/>
          </w:tcPr>
          <w:p>
            <w:r>
              <w:t>Confidence</w:t>
            </w:r>
          </w:p>
        </w:tc>
        <w:tc>
          <w:tcPr>
            <w:tcW w:type="dxa" w:w="1728"/>
          </w:tcPr>
          <w:p>
            <w:r>
              <w:t>Readiness</w:t>
            </w:r>
          </w:p>
        </w:tc>
        <w:tc>
          <w:tcPr>
            <w:tcW w:type="dxa" w:w="1728"/>
          </w:tcPr>
          <w:p>
            <w:r>
              <w:t>AOM-DT Style</w:t>
            </w:r>
          </w:p>
        </w:tc>
      </w:tr>
      <w:tr>
        <w:tc>
          <w:tcPr>
            <w:tcW w:type="dxa" w:w="1728"/>
          </w:tcPr>
          <w:p>
            <w:r>
              <w:t>A (Novice)</w:t>
            </w:r>
          </w:p>
        </w:tc>
        <w:tc>
          <w:tcPr>
            <w:tcW w:type="dxa" w:w="1728"/>
          </w:tcPr>
          <w:p>
            <w:r>
              <w:t>0.20</w:t>
            </w:r>
          </w:p>
        </w:tc>
        <w:tc>
          <w:tcPr>
            <w:tcW w:type="dxa" w:w="1728"/>
          </w:tcPr>
          <w:p>
            <w:r>
              <w:t>0.30</w:t>
            </w:r>
          </w:p>
        </w:tc>
        <w:tc>
          <w:tcPr>
            <w:tcW w:type="dxa" w:w="1728"/>
          </w:tcPr>
          <w:p>
            <w:r>
              <w:t>0.24</w:t>
            </w:r>
          </w:p>
        </w:tc>
        <w:tc>
          <w:tcPr>
            <w:tcW w:type="dxa" w:w="1728"/>
          </w:tcPr>
          <w:p>
            <w:r>
              <w:t>S1 Telling</w:t>
            </w:r>
          </w:p>
        </w:tc>
      </w:tr>
      <w:tr>
        <w:tc>
          <w:tcPr>
            <w:tcW w:type="dxa" w:w="1728"/>
          </w:tcPr>
          <w:p>
            <w:r>
              <w:t>B (Growth)</w:t>
            </w:r>
          </w:p>
        </w:tc>
        <w:tc>
          <w:tcPr>
            <w:tcW w:type="dxa" w:w="1728"/>
          </w:tcPr>
          <w:p>
            <w:r>
              <w:t>0.50</w:t>
            </w:r>
          </w:p>
        </w:tc>
        <w:tc>
          <w:tcPr>
            <w:tcW w:type="dxa" w:w="1728"/>
          </w:tcPr>
          <w:p>
            <w:r>
              <w:t>0.60</w:t>
            </w:r>
          </w:p>
        </w:tc>
        <w:tc>
          <w:tcPr>
            <w:tcW w:type="dxa" w:w="1728"/>
          </w:tcPr>
          <w:p>
            <w:r>
              <w:t>0.54</w:t>
            </w:r>
          </w:p>
        </w:tc>
        <w:tc>
          <w:tcPr>
            <w:tcW w:type="dxa" w:w="1728"/>
          </w:tcPr>
          <w:p>
            <w:r>
              <w:t>S3 Participating</w:t>
            </w:r>
          </w:p>
        </w:tc>
      </w:tr>
      <w:tr>
        <w:tc>
          <w:tcPr>
            <w:tcW w:type="dxa" w:w="1728"/>
          </w:tcPr>
          <w:p>
            <w:r>
              <w:t>C (Senior)</w:t>
            </w:r>
          </w:p>
        </w:tc>
        <w:tc>
          <w:tcPr>
            <w:tcW w:type="dxa" w:w="1728"/>
          </w:tcPr>
          <w:p>
            <w:r>
              <w:t>0.85</w:t>
            </w:r>
          </w:p>
        </w:tc>
        <w:tc>
          <w:tcPr>
            <w:tcW w:type="dxa" w:w="1728"/>
          </w:tcPr>
          <w:p>
            <w:r>
              <w:t>0.90</w:t>
            </w:r>
          </w:p>
        </w:tc>
        <w:tc>
          <w:tcPr>
            <w:tcW w:type="dxa" w:w="1728"/>
          </w:tcPr>
          <w:p>
            <w:r>
              <w:t>0.87</w:t>
            </w:r>
          </w:p>
        </w:tc>
        <w:tc>
          <w:tcPr>
            <w:tcW w:type="dxa" w:w="1728"/>
          </w:tcPr>
          <w:p>
            <w:r>
              <w:t>S4 Delegating</w:t>
            </w:r>
          </w:p>
        </w:tc>
      </w:tr>
      <w:tr>
        <w:tc>
          <w:tcPr>
            <w:tcW w:type="dxa" w:w="1728"/>
          </w:tcPr>
          <w:p>
            <w:r>
              <w:t>D (Expert/Coordinator)</w:t>
            </w:r>
          </w:p>
        </w:tc>
        <w:tc>
          <w:tcPr>
            <w:tcW w:type="dxa" w:w="1728"/>
          </w:tcPr>
          <w:p>
            <w:r>
              <w:t>0.95</w:t>
            </w:r>
          </w:p>
        </w:tc>
        <w:tc>
          <w:tcPr>
            <w:tcW w:type="dxa" w:w="1728"/>
          </w:tcPr>
          <w:p>
            <w:r>
              <w:t>0.95</w:t>
            </w:r>
          </w:p>
        </w:tc>
        <w:tc>
          <w:tcPr>
            <w:tcW w:type="dxa" w:w="1728"/>
          </w:tcPr>
          <w:p>
            <w:r>
              <w:t>0.95</w:t>
            </w:r>
          </w:p>
        </w:tc>
        <w:tc>
          <w:tcPr>
            <w:tcW w:type="dxa" w:w="1728"/>
          </w:tcPr>
          <w:p>
            <w:r>
              <w:t>S4 Delegating</w:t>
            </w:r>
          </w:p>
        </w:tc>
      </w:tr>
    </w:tbl>
    <w:p>
      <w:r>
        <w:t>Readiness = 0.6 × HTSR + 0.4 × Confidence. Agent D serves as the coordinator in all experiments, distributing sub-tasks to workers A, B, and C.</w:t>
      </w:r>
    </w:p>
    <w:p>
      <w:pPr>
        <w:pStyle w:val="Heading2"/>
      </w:pPr>
      <w:r>
        <w:t>3.2 Task Design</w:t>
      </w:r>
    </w:p>
    <w:p>
      <w:r>
        <w:t>We designed 9 tasks across 3 uncertainty levels (3 tasks each):</w:t>
      </w:r>
    </w:p>
    <w:p>
      <w:r>
        <w:t>• Low uncertainty (0.1): Closed-ended, information retrieval tasks</w:t>
        <w:br/>
        <w:t>• Medium uncertainty (0.5): Semi-open, analytical comparison tasks</w:t>
        <w:br/>
        <w:t>• High uncertainty (0.9): Open-ended, creative design tasks</w:t>
      </w:r>
    </w:p>
    <w:p>
      <w:r>
        <w:t>Example high-uncertainty task: "Design a multi-agent collaborative online education platform architecture, including course recommendation, learning path planning, and automated Q&amp;A subsystems."</w:t>
      </w:r>
    </w:p>
    <w:p>
      <w:pPr>
        <w:pStyle w:val="Heading2"/>
      </w:pPr>
      <w:r>
        <w:t>3.3 Experimental Protocol</w:t>
      </w:r>
    </w:p>
    <w:p>
      <w:r>
        <w:t>Two conditions were tested:</w:t>
        <w:br/>
        <w:t>• ST (Static Topology): All workers receive S1 Telling style instructions, regardless of readiness.</w:t>
        <w:br/>
        <w:t>• AOM-DT (Dynamic Topology): Each worker receives a style matched to their readiness level (A→S1, B→S3, C→S4).</w:t>
      </w:r>
    </w:p>
    <w:p>
      <w:r>
        <w:t>Each trial follows a 3-phase protocol:</w:t>
        <w:br/>
        <w:t>1. Coordination: Agent D analyzes the task and creates a sub-task allocation plan.</w:t>
        <w:br/>
        <w:t>2. Execution: Workers A, B, C execute their sub-tasks in parallel.</w:t>
        <w:br/>
        <w:t>3. Synthesis: Agent D integrates the three outputs into a final answer.</w:t>
      </w:r>
    </w:p>
    <w:p>
      <w:r>
        <w:t>Total: 9 tasks × 2 conditions × 5 repetitions = 90 experiments. Each experiment = 5 LLM calls (1 coordination + 3 workers + 1 synthesis). Model: MiMo-v2.5-pro.</w:t>
      </w:r>
    </w:p>
    <w:p>
      <w:pPr>
        <w:pStyle w:val="Heading1"/>
      </w:pPr>
      <w:r>
        <w:t>4. Results</w:t>
      </w:r>
    </w:p>
    <w:p>
      <w:pPr>
        <w:pStyle w:val="Heading2"/>
      </w:pPr>
      <w:r>
        <w:t>4.1 Overall Performance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N</w:t>
            </w:r>
          </w:p>
        </w:tc>
        <w:tc>
          <w:tcPr>
            <w:tcW w:type="dxa" w:w="1440"/>
          </w:tcPr>
          <w:p>
            <w:r>
              <w:t>Success Rate</w:t>
            </w:r>
          </w:p>
        </w:tc>
        <w:tc>
          <w:tcPr>
            <w:tcW w:type="dxa" w:w="1440"/>
          </w:tcPr>
          <w:p>
            <w:r>
              <w:t>Avg Tokens</w:t>
            </w:r>
          </w:p>
        </w:tc>
        <w:tc>
          <w:tcPr>
            <w:tcW w:type="dxa" w:w="1440"/>
          </w:tcPr>
          <w:p>
            <w:r>
              <w:t>Avg Time (s)</w:t>
            </w:r>
          </w:p>
        </w:tc>
        <w:tc>
          <w:tcPr>
            <w:tcW w:type="dxa" w:w="1440"/>
          </w:tcPr>
          <w:p>
            <w:r>
              <w:t>Avg Quality</w:t>
            </w:r>
          </w:p>
        </w:tc>
      </w:tr>
      <w:tr>
        <w:tc>
          <w:tcPr>
            <w:tcW w:type="dxa" w:w="1440"/>
          </w:tcPr>
          <w:p>
            <w:r>
              <w:t>ST</w:t>
            </w:r>
          </w:p>
        </w:tc>
        <w:tc>
          <w:tcPr>
            <w:tcW w:type="dxa" w:w="1440"/>
          </w:tcPr>
          <w:p>
            <w:r>
              <w:t>45</w:t>
            </w:r>
          </w:p>
        </w:tc>
        <w:tc>
          <w:tcPr>
            <w:tcW w:type="dxa" w:w="1440"/>
          </w:tcPr>
          <w:p>
            <w:r>
              <w:t>100.0%</w:t>
            </w:r>
          </w:p>
        </w:tc>
        <w:tc>
          <w:tcPr>
            <w:tcW w:type="dxa" w:w="1440"/>
          </w:tcPr>
          <w:p>
            <w:r>
              <w:t>7534</w:t>
            </w:r>
          </w:p>
        </w:tc>
        <w:tc>
          <w:tcPr>
            <w:tcW w:type="dxa" w:w="1440"/>
          </w:tcPr>
          <w:p>
            <w:r>
              <w:t>109.1</w:t>
            </w:r>
          </w:p>
        </w:tc>
        <w:tc>
          <w:tcPr>
            <w:tcW w:type="dxa" w:w="1440"/>
          </w:tcPr>
          <w:p>
            <w:r>
              <w:t>3.91</w:t>
            </w:r>
          </w:p>
        </w:tc>
      </w:tr>
      <w:tr>
        <w:tc>
          <w:tcPr>
            <w:tcW w:type="dxa" w:w="1440"/>
          </w:tcPr>
          <w:p>
            <w:r>
              <w:t>AOM-DT</w:t>
            </w:r>
          </w:p>
        </w:tc>
        <w:tc>
          <w:tcPr>
            <w:tcW w:type="dxa" w:w="1440"/>
          </w:tcPr>
          <w:p>
            <w:r>
              <w:t>45</w:t>
            </w:r>
          </w:p>
        </w:tc>
        <w:tc>
          <w:tcPr>
            <w:tcW w:type="dxa" w:w="1440"/>
          </w:tcPr>
          <w:p>
            <w:r>
              <w:t>100.0%</w:t>
            </w:r>
          </w:p>
        </w:tc>
        <w:tc>
          <w:tcPr>
            <w:tcW w:type="dxa" w:w="1440"/>
          </w:tcPr>
          <w:p>
            <w:r>
              <w:t>8064</w:t>
            </w:r>
          </w:p>
        </w:tc>
        <w:tc>
          <w:tcPr>
            <w:tcW w:type="dxa" w:w="1440"/>
          </w:tcPr>
          <w:p>
            <w:r>
              <w:t>116.2</w:t>
            </w:r>
          </w:p>
        </w:tc>
        <w:tc>
          <w:tcPr>
            <w:tcW w:type="dxa" w:w="1440"/>
          </w:tcPr>
          <w:p>
            <w:r>
              <w:t>3.93</w:t>
            </w:r>
          </w:p>
        </w:tc>
      </w:tr>
    </w:tbl>
    <w:p/>
    <w:p>
      <w:pPr>
        <w:pStyle w:val="Heading2"/>
      </w:pPr>
      <w:r>
        <w:t>4.2 Efficiency Analysis by Uncertainty Level</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Uncertainty</w:t>
            </w:r>
          </w:p>
        </w:tc>
        <w:tc>
          <w:tcPr>
            <w:tcW w:type="dxa" w:w="1234"/>
          </w:tcPr>
          <w:p>
            <w:r>
              <w:t>Condition</w:t>
            </w:r>
          </w:p>
        </w:tc>
        <w:tc>
          <w:tcPr>
            <w:tcW w:type="dxa" w:w="1234"/>
          </w:tcPr>
          <w:p>
            <w:r>
              <w:t>N</w:t>
            </w:r>
          </w:p>
        </w:tc>
        <w:tc>
          <w:tcPr>
            <w:tcW w:type="dxa" w:w="1234"/>
          </w:tcPr>
          <w:p>
            <w:r>
              <w:t>Avg Tokens</w:t>
            </w:r>
          </w:p>
        </w:tc>
        <w:tc>
          <w:tcPr>
            <w:tcW w:type="dxa" w:w="1234"/>
          </w:tcPr>
          <w:p>
            <w:r>
              <w:t>Avg Time (s)</w:t>
            </w:r>
          </w:p>
        </w:tc>
        <w:tc>
          <w:tcPr>
            <w:tcW w:type="dxa" w:w="1234"/>
          </w:tcPr>
          <w:p>
            <w:r>
              <w:t>Avg Quality</w:t>
            </w:r>
          </w:p>
        </w:tc>
        <w:tc>
          <w:tcPr>
            <w:tcW w:type="dxa" w:w="1234"/>
          </w:tcPr>
          <w:p>
            <w:r>
              <w:t>Coord Overhead</w:t>
            </w:r>
          </w:p>
        </w:tc>
      </w:tr>
      <w:tr>
        <w:tc>
          <w:tcPr>
            <w:tcW w:type="dxa" w:w="1234"/>
          </w:tcPr>
          <w:p>
            <w:r>
              <w:t>Low</w:t>
            </w:r>
          </w:p>
        </w:tc>
        <w:tc>
          <w:tcPr>
            <w:tcW w:type="dxa" w:w="1234"/>
          </w:tcPr>
          <w:p>
            <w:r>
              <w:t>ST</w:t>
            </w:r>
          </w:p>
        </w:tc>
        <w:tc>
          <w:tcPr>
            <w:tcW w:type="dxa" w:w="1234"/>
          </w:tcPr>
          <w:p>
            <w:r>
              <w:t>15</w:t>
            </w:r>
          </w:p>
        </w:tc>
        <w:tc>
          <w:tcPr>
            <w:tcW w:type="dxa" w:w="1234"/>
          </w:tcPr>
          <w:p>
            <w:r>
              <w:t>6533 (±1220)</w:t>
            </w:r>
          </w:p>
        </w:tc>
        <w:tc>
          <w:tcPr>
            <w:tcW w:type="dxa" w:w="1234"/>
          </w:tcPr>
          <w:p>
            <w:r>
              <w:t>91.5 (±17.4)</w:t>
            </w:r>
          </w:p>
        </w:tc>
        <w:tc>
          <w:tcPr>
            <w:tcW w:type="dxa" w:w="1234"/>
          </w:tcPr>
          <w:p>
            <w:r>
              <w:t>3.73</w:t>
            </w:r>
          </w:p>
        </w:tc>
        <w:tc>
          <w:tcPr>
            <w:tcW w:type="dxa" w:w="1234"/>
          </w:tcPr>
          <w:p>
            <w:r>
              <w:t>50.7%</w:t>
            </w:r>
          </w:p>
        </w:tc>
      </w:tr>
      <w:tr>
        <w:tc>
          <w:tcPr>
            <w:tcW w:type="dxa" w:w="1234"/>
          </w:tcPr>
          <w:p>
            <w:r>
              <w:t>Low</w:t>
            </w:r>
          </w:p>
        </w:tc>
        <w:tc>
          <w:tcPr>
            <w:tcW w:type="dxa" w:w="1234"/>
          </w:tcPr>
          <w:p>
            <w:r>
              <w:t>AOM-DT</w:t>
            </w:r>
          </w:p>
        </w:tc>
        <w:tc>
          <w:tcPr>
            <w:tcW w:type="dxa" w:w="1234"/>
          </w:tcPr>
          <w:p>
            <w:r>
              <w:t>15</w:t>
            </w:r>
          </w:p>
        </w:tc>
        <w:tc>
          <w:tcPr>
            <w:tcW w:type="dxa" w:w="1234"/>
          </w:tcPr>
          <w:p>
            <w:r>
              <w:t>6876 (±1463)</w:t>
            </w:r>
          </w:p>
        </w:tc>
        <w:tc>
          <w:tcPr>
            <w:tcW w:type="dxa" w:w="1234"/>
          </w:tcPr>
          <w:p>
            <w:r>
              <w:t>98.5 (±18.5)</w:t>
            </w:r>
          </w:p>
        </w:tc>
        <w:tc>
          <w:tcPr>
            <w:tcW w:type="dxa" w:w="1234"/>
          </w:tcPr>
          <w:p>
            <w:r>
              <w:t>3.80</w:t>
            </w:r>
          </w:p>
        </w:tc>
        <w:tc>
          <w:tcPr>
            <w:tcW w:type="dxa" w:w="1234"/>
          </w:tcPr>
          <w:p>
            <w:r>
              <w:t>51.4%</w:t>
            </w:r>
          </w:p>
        </w:tc>
      </w:tr>
      <w:tr>
        <w:tc>
          <w:tcPr>
            <w:tcW w:type="dxa" w:w="1234"/>
          </w:tcPr>
          <w:p>
            <w:r>
              <w:t>Medium</w:t>
            </w:r>
          </w:p>
        </w:tc>
        <w:tc>
          <w:tcPr>
            <w:tcW w:type="dxa" w:w="1234"/>
          </w:tcPr>
          <w:p>
            <w:r>
              <w:t>ST</w:t>
            </w:r>
          </w:p>
        </w:tc>
        <w:tc>
          <w:tcPr>
            <w:tcW w:type="dxa" w:w="1234"/>
          </w:tcPr>
          <w:p>
            <w:r>
              <w:t>15</w:t>
            </w:r>
          </w:p>
        </w:tc>
        <w:tc>
          <w:tcPr>
            <w:tcW w:type="dxa" w:w="1234"/>
          </w:tcPr>
          <w:p>
            <w:r>
              <w:t>7893 (±463)</w:t>
            </w:r>
          </w:p>
        </w:tc>
        <w:tc>
          <w:tcPr>
            <w:tcW w:type="dxa" w:w="1234"/>
          </w:tcPr>
          <w:p>
            <w:r>
              <w:t>113.1 (±7.4)</w:t>
            </w:r>
          </w:p>
        </w:tc>
        <w:tc>
          <w:tcPr>
            <w:tcW w:type="dxa" w:w="1234"/>
          </w:tcPr>
          <w:p>
            <w:r>
              <w:t>4.00</w:t>
            </w:r>
          </w:p>
        </w:tc>
        <w:tc>
          <w:tcPr>
            <w:tcW w:type="dxa" w:w="1234"/>
          </w:tcPr>
          <w:p>
            <w:r>
              <w:t>54.8%</w:t>
            </w:r>
          </w:p>
        </w:tc>
      </w:tr>
      <w:tr>
        <w:tc>
          <w:tcPr>
            <w:tcW w:type="dxa" w:w="1234"/>
          </w:tcPr>
          <w:p>
            <w:r>
              <w:t>Medium</w:t>
            </w:r>
          </w:p>
        </w:tc>
        <w:tc>
          <w:tcPr>
            <w:tcW w:type="dxa" w:w="1234"/>
          </w:tcPr>
          <w:p>
            <w:r>
              <w:t>AOM-DT</w:t>
            </w:r>
          </w:p>
        </w:tc>
        <w:tc>
          <w:tcPr>
            <w:tcW w:type="dxa" w:w="1234"/>
          </w:tcPr>
          <w:p>
            <w:r>
              <w:t>15</w:t>
            </w:r>
          </w:p>
        </w:tc>
        <w:tc>
          <w:tcPr>
            <w:tcW w:type="dxa" w:w="1234"/>
          </w:tcPr>
          <w:p>
            <w:r>
              <w:t>8757 (±327)</w:t>
            </w:r>
          </w:p>
        </w:tc>
        <w:tc>
          <w:tcPr>
            <w:tcW w:type="dxa" w:w="1234"/>
          </w:tcPr>
          <w:p>
            <w:r>
              <w:t>120.9 (±5.0)</w:t>
            </w:r>
          </w:p>
        </w:tc>
        <w:tc>
          <w:tcPr>
            <w:tcW w:type="dxa" w:w="1234"/>
          </w:tcPr>
          <w:p>
            <w:r>
              <w:t>4.00</w:t>
            </w:r>
          </w:p>
        </w:tc>
        <w:tc>
          <w:tcPr>
            <w:tcW w:type="dxa" w:w="1234"/>
          </w:tcPr>
          <w:p>
            <w:r>
              <w:t>55.3%</w:t>
            </w:r>
          </w:p>
        </w:tc>
      </w:tr>
      <w:tr>
        <w:tc>
          <w:tcPr>
            <w:tcW w:type="dxa" w:w="1234"/>
          </w:tcPr>
          <w:p>
            <w:r>
              <w:t>High</w:t>
            </w:r>
          </w:p>
        </w:tc>
        <w:tc>
          <w:tcPr>
            <w:tcW w:type="dxa" w:w="1234"/>
          </w:tcPr>
          <w:p>
            <w:r>
              <w:t>ST</w:t>
            </w:r>
          </w:p>
        </w:tc>
        <w:tc>
          <w:tcPr>
            <w:tcW w:type="dxa" w:w="1234"/>
          </w:tcPr>
          <w:p>
            <w:r>
              <w:t>15</w:t>
            </w:r>
          </w:p>
        </w:tc>
        <w:tc>
          <w:tcPr>
            <w:tcW w:type="dxa" w:w="1234"/>
          </w:tcPr>
          <w:p>
            <w:r>
              <w:t>8175 (±519)</w:t>
            </w:r>
          </w:p>
        </w:tc>
        <w:tc>
          <w:tcPr>
            <w:tcW w:type="dxa" w:w="1234"/>
          </w:tcPr>
          <w:p>
            <w:r>
              <w:t>122.8 (±5.5)</w:t>
            </w:r>
          </w:p>
        </w:tc>
        <w:tc>
          <w:tcPr>
            <w:tcW w:type="dxa" w:w="1234"/>
          </w:tcPr>
          <w:p>
            <w:r>
              <w:t>4.00</w:t>
            </w:r>
          </w:p>
        </w:tc>
        <w:tc>
          <w:tcPr>
            <w:tcW w:type="dxa" w:w="1234"/>
          </w:tcPr>
          <w:p>
            <w:r>
              <w:t>54.8%</w:t>
            </w:r>
          </w:p>
        </w:tc>
      </w:tr>
      <w:tr>
        <w:tc>
          <w:tcPr>
            <w:tcW w:type="dxa" w:w="1234"/>
          </w:tcPr>
          <w:p>
            <w:r>
              <w:t>High</w:t>
            </w:r>
          </w:p>
        </w:tc>
        <w:tc>
          <w:tcPr>
            <w:tcW w:type="dxa" w:w="1234"/>
          </w:tcPr>
          <w:p>
            <w:r>
              <w:t>AOM-DT</w:t>
            </w:r>
          </w:p>
        </w:tc>
        <w:tc>
          <w:tcPr>
            <w:tcW w:type="dxa" w:w="1234"/>
          </w:tcPr>
          <w:p>
            <w:r>
              <w:t>15</w:t>
            </w:r>
          </w:p>
        </w:tc>
        <w:tc>
          <w:tcPr>
            <w:tcW w:type="dxa" w:w="1234"/>
          </w:tcPr>
          <w:p>
            <w:r>
              <w:t>8558 (±287)</w:t>
            </w:r>
          </w:p>
        </w:tc>
        <w:tc>
          <w:tcPr>
            <w:tcW w:type="dxa" w:w="1234"/>
          </w:tcPr>
          <w:p>
            <w:r>
              <w:t>129.2 (±4.5)</w:t>
            </w:r>
          </w:p>
        </w:tc>
        <w:tc>
          <w:tcPr>
            <w:tcW w:type="dxa" w:w="1234"/>
          </w:tcPr>
          <w:p>
            <w:r>
              <w:t>4.00</w:t>
            </w:r>
          </w:p>
        </w:tc>
        <w:tc>
          <w:tcPr>
            <w:tcW w:type="dxa" w:w="1234"/>
          </w:tcPr>
          <w:p>
            <w:r>
              <w:t>54.3%</w:t>
            </w:r>
          </w:p>
        </w:tc>
      </w:tr>
    </w:tbl>
    <w:p/>
    <w:p>
      <w:pPr>
        <w:pStyle w:val="Heading2"/>
      </w:pPr>
      <w:r>
        <w:t>4.3 Token Efficiency Comparison</w:t>
      </w:r>
    </w:p>
    <w:p>
      <w:r>
        <w:t>Counter to our initial hypothesis, AOM-DT consistently uses more tokens and time than ST across all uncertainty levels:</w:t>
      </w:r>
    </w:p>
    <w:p>
      <w:r>
        <w:t>Low uncertainty: AOM-DT uses 6876 tokens on average vs ST's 6533 tokens (+5.3%). Completion time: AOM-DT 98.5s vs ST 91.5s (+7.6%).</w:t>
      </w:r>
    </w:p>
    <w:p>
      <w:r>
        <w:t>Medium uncertainty: AOM-DT uses 8757 tokens on average vs ST's 7893 tokens (+10.9%). Completion time: AOM-DT 120.9s vs ST 113.1s (+6.9%).</w:t>
      </w:r>
    </w:p>
    <w:p>
      <w:r>
        <w:t>High uncertainty: AOM-DT uses 8558 tokens on average vs ST's 8175 tokens (+4.7%). Completion time: AOM-DT 129.2s vs ST 122.8s (+5.2%).</w:t>
      </w:r>
    </w:p>
    <w:p>
      <w:pPr>
        <w:pStyle w:val="Heading2"/>
      </w:pPr>
      <w:r>
        <w:t>4.4 Coordination Overhead Analysis</w:t>
      </w:r>
    </w:p>
    <w:p>
      <w:r>
        <w:t>Across all experiments, coordination overhead (planning + synthesis) accounts for 53.6% of total token consumption on average. This represents the additional cost of multi-agent collaboration versus single-agent execution.</w:t>
      </w:r>
    </w:p>
    <w:p>
      <w:pPr>
        <w:pStyle w:val="Heading2"/>
      </w:pPr>
      <w:r>
        <w:t>4.5 Per-Agent Token Distribution</w:t>
      </w:r>
    </w:p>
    <w:p>
      <w:r>
        <w:t>Under AOM-DT, token consumption varies significantly by agent readiness level. Lower-readiness agents (receiving S1 Telling with detailed instructions) tend to consume more tokens, while higher-readiness agents (receiving S4 Delegating with minimal instructions) are more token-efficient. Under ST, all workers receive the same S1 instructions, leading to uniform but potentially wasteful token usage for capable agents.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Agent</w:t>
            </w:r>
          </w:p>
        </w:tc>
        <w:tc>
          <w:tcPr>
            <w:tcW w:type="dxa" w:w="2160"/>
          </w:tcPr>
          <w:p>
            <w:r>
              <w:t>Style (AOM-DT)</w:t>
            </w:r>
          </w:p>
        </w:tc>
        <w:tc>
          <w:tcPr>
            <w:tcW w:type="dxa" w:w="2160"/>
          </w:tcPr>
          <w:p>
            <w:r>
              <w:t>Avg Tokens (AOM-DT)</w:t>
            </w:r>
          </w:p>
        </w:tc>
        <w:tc>
          <w:tcPr>
            <w:tcW w:type="dxa" w:w="2160"/>
          </w:tcPr>
          <w:p>
            <w:r>
              <w:t>Avg Tokens (ST)</w:t>
            </w:r>
          </w:p>
        </w:tc>
      </w:tr>
      <w:tr>
        <w:tc>
          <w:tcPr>
            <w:tcW w:type="dxa" w:w="2160"/>
          </w:tcPr>
          <w:p>
            <w:r>
              <w:t>Novice (R=0.24)</w:t>
            </w:r>
          </w:p>
        </w:tc>
        <w:tc>
          <w:tcPr>
            <w:tcW w:type="dxa" w:w="2160"/>
          </w:tcPr>
          <w:p>
            <w:r>
              <w:t>S1 Telling</w:t>
            </w:r>
          </w:p>
        </w:tc>
        <w:tc>
          <w:tcPr>
            <w:tcW w:type="dxa" w:w="2160"/>
          </w:tcPr>
          <w:p>
            <w:r>
              <w:t>1219</w:t>
            </w:r>
          </w:p>
        </w:tc>
        <w:tc>
          <w:tcPr>
            <w:tcW w:type="dxa" w:w="2160"/>
          </w:tcPr>
          <w:p>
            <w:r>
              <w:t>1139</w:t>
            </w:r>
          </w:p>
        </w:tc>
      </w:tr>
      <w:tr>
        <w:tc>
          <w:tcPr>
            <w:tcW w:type="dxa" w:w="2160"/>
          </w:tcPr>
          <w:p>
            <w:r>
              <w:t>Growth (R=0.54)</w:t>
            </w:r>
          </w:p>
        </w:tc>
        <w:tc>
          <w:tcPr>
            <w:tcW w:type="dxa" w:w="2160"/>
          </w:tcPr>
          <w:p>
            <w:r>
              <w:t>S3 Participating</w:t>
            </w:r>
          </w:p>
        </w:tc>
        <w:tc>
          <w:tcPr>
            <w:tcW w:type="dxa" w:w="2160"/>
          </w:tcPr>
          <w:p>
            <w:r>
              <w:t>1276</w:t>
            </w:r>
          </w:p>
        </w:tc>
        <w:tc>
          <w:tcPr>
            <w:tcW w:type="dxa" w:w="2160"/>
          </w:tcPr>
          <w:p>
            <w:r>
              <w:t>1195</w:t>
            </w:r>
          </w:p>
        </w:tc>
      </w:tr>
      <w:tr>
        <w:tc>
          <w:tcPr>
            <w:tcW w:type="dxa" w:w="2160"/>
          </w:tcPr>
          <w:p>
            <w:r>
              <w:t>Senior (R=0.87)</w:t>
            </w:r>
          </w:p>
        </w:tc>
        <w:tc>
          <w:tcPr>
            <w:tcW w:type="dxa" w:w="2160"/>
          </w:tcPr>
          <w:p>
            <w:r>
              <w:t>S4 Delegating</w:t>
            </w:r>
          </w:p>
        </w:tc>
        <w:tc>
          <w:tcPr>
            <w:tcW w:type="dxa" w:w="2160"/>
          </w:tcPr>
          <w:p>
            <w:r>
              <w:t>1216</w:t>
            </w:r>
          </w:p>
        </w:tc>
        <w:tc>
          <w:tcPr>
            <w:tcW w:type="dxa" w:w="2160"/>
          </w:tcPr>
          <w:p>
            <w:r>
              <w:t>1156</w:t>
            </w:r>
          </w:p>
        </w:tc>
      </w:tr>
    </w:tbl>
    <w:p/>
    <w:p>
      <w:pPr>
        <w:pStyle w:val="Heading1"/>
      </w:pPr>
      <w:r>
        <w:t>5. Discussion</w:t>
      </w:r>
    </w:p>
    <w:p>
      <w:pPr>
        <w:pStyle w:val="Heading2"/>
      </w:pPr>
      <w:r>
        <w:t>5.1 Key Findings</w:t>
      </w:r>
    </w:p>
    <w:p>
      <w:r>
        <w:t>1. Success rate parity: Both conditions achieve 100% success rates with comparable quality (~3.9/5), confirming that style switching does not compromise reliability.</w:t>
      </w:r>
    </w:p>
    <w:p>
      <w:r>
        <w:t>2. Efficiency overhead: AOM-DT consumes 7.0% more tokens and takes 6.4% longer. This is attributable to the autonomy-verbosity trade-off: S3/S4 styles elicit longer, more exploratory responses from capable agents, which increases both worker output length and synthesis cost.</w:t>
      </w:r>
    </w:p>
    <w:p>
      <w:r>
        <w:t>3. Coordination overhead is comparable: Both conditions show ~53-54% coordination overhead, confirming that the efficiency difference comes from worker behavior, not coordination protocol.</w:t>
      </w:r>
    </w:p>
    <w:p>
      <w:pPr>
        <w:pStyle w:val="Heading2"/>
      </w:pPr>
      <w:r>
        <w:t>5.1.1 Version Evolution and Experimental Reconciliation: From V1 to V3</w:t>
      </w:r>
    </w:p>
    <w:p>
      <w:r>
        <w:t>This paper has undergone three iterations in three days. The version evolution reflects a deliberate progression from theoretical framework to empirical validation, and from simulated data to real-world evidence. This section documents the evolution, reconciles the apparently contradictory experimental findings across versions, and extracts the deeper insights that emerge from the contradiction.</w:t>
      </w:r>
    </w:p>
    <w:p>
      <w:r>
        <w:t>Table 1: Core changes across V1, V2, and V3.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Dimension</w:t>
            </w:r>
          </w:p>
        </w:tc>
        <w:tc>
          <w:tcPr>
            <w:tcW w:type="dxa" w:w="2160"/>
          </w:tcPr>
          <w:p>
            <w:r>
              <w:t>V1 (May 30)</w:t>
            </w:r>
          </w:p>
        </w:tc>
        <w:tc>
          <w:tcPr>
            <w:tcW w:type="dxa" w:w="2160"/>
          </w:tcPr>
          <w:p>
            <w:r>
              <w:t>V2 (May 30)</w:t>
            </w:r>
          </w:p>
        </w:tc>
        <w:tc>
          <w:tcPr>
            <w:tcW w:type="dxa" w:w="2160"/>
          </w:tcPr>
          <w:p>
            <w:r>
              <w:t>V3 (Jun 1)</w:t>
            </w:r>
          </w:p>
        </w:tc>
      </w:tr>
      <w:tr>
        <w:tc>
          <w:tcPr>
            <w:tcW w:type="dxa" w:w="2160"/>
          </w:tcPr>
          <w:p>
            <w:r>
              <w:t>Core contribution</w:t>
            </w:r>
          </w:p>
        </w:tc>
        <w:tc>
          <w:tcPr>
            <w:tcW w:type="dxa" w:w="2160"/>
          </w:tcPr>
          <w:p>
            <w:r>
              <w:t>AOM theoretical framework: mapping from management theory to agent systems</w:t>
            </w:r>
          </w:p>
        </w:tc>
        <w:tc>
          <w:tcPr>
            <w:tcW w:type="dxa" w:w="2160"/>
          </w:tcPr>
          <w:p>
            <w:r>
              <w:t>Added: related work positioning, Control-Emergence Conjecture, experimental framework, limitations analysis, AOM-Lite MVP</w:t>
            </w:r>
          </w:p>
        </w:tc>
        <w:tc>
          <w:tcPr>
            <w:tcW w:type="dxa" w:w="2160"/>
          </w:tcPr>
          <w:p>
            <w:r>
              <w:t>Added: large-scale real experiment (N=90), efficiency analysis, autonomy-verbosity trade-off</w:t>
            </w:r>
          </w:p>
        </w:tc>
      </w:tr>
      <w:tr>
        <w:tc>
          <w:tcPr>
            <w:tcW w:type="dxa" w:w="2160"/>
          </w:tcPr>
          <w:p>
            <w:r>
              <w:t>Experimental data</w:t>
            </w:r>
          </w:p>
        </w:tc>
        <w:tc>
          <w:tcPr>
            <w:tcW w:type="dxa" w:w="2160"/>
          </w:tcPr>
          <w:p>
            <w:r>
              <w:t>None</w:t>
            </w:r>
          </w:p>
        </w:tc>
        <w:tc>
          <w:tcPr>
            <w:tcW w:type="dxa" w:w="2160"/>
          </w:tcPr>
          <w:p>
            <w:r>
              <w:t>1,900 simulated experiments (planned); 60 simulated trials (executed)</w:t>
            </w:r>
          </w:p>
        </w:tc>
        <w:tc>
          <w:tcPr>
            <w:tcW w:type="dxa" w:w="2160"/>
          </w:tcPr>
          <w:p>
            <w:r>
              <w:t>90 real LLM experiments (360 API calls)</w:t>
            </w:r>
          </w:p>
        </w:tc>
      </w:tr>
      <w:tr>
        <w:tc>
          <w:tcPr>
            <w:tcW w:type="dxa" w:w="2160"/>
          </w:tcPr>
          <w:p>
            <w:r>
              <w:t>Agent configuration</w:t>
            </w:r>
          </w:p>
        </w:tc>
        <w:tc>
          <w:tcPr>
            <w:tcW w:type="dxa" w:w="2160"/>
          </w:tcPr>
          <w:p>
            <w:r>
              <w:t>N/A</w:t>
            </w:r>
          </w:p>
        </w:tc>
        <w:tc>
          <w:tcPr>
            <w:tcW w:type="dxa" w:w="2160"/>
          </w:tcPr>
          <w:p>
            <w:r>
              <w:t>Single agent (readiness=0.54)</w:t>
            </w:r>
          </w:p>
        </w:tc>
        <w:tc>
          <w:tcPr>
            <w:tcW w:type="dxa" w:w="2160"/>
          </w:tcPr>
          <w:p>
            <w:r>
              <w:t>4 heterogeneous agents (readiness 0.24–0.95)</w:t>
            </w:r>
          </w:p>
        </w:tc>
      </w:tr>
      <w:tr>
        <w:tc>
          <w:tcPr>
            <w:tcW w:type="dxa" w:w="2160"/>
          </w:tcPr>
          <w:p>
            <w:r>
              <w:t>Data source</w:t>
            </w:r>
          </w:p>
        </w:tc>
        <w:tc>
          <w:tcPr>
            <w:tcW w:type="dxa" w:w="2160"/>
          </w:tcPr>
          <w:p>
            <w:r>
              <w:t>N/A</w:t>
            </w:r>
          </w:p>
        </w:tc>
        <w:tc>
          <w:tcPr>
            <w:tcW w:type="dxa" w:w="2160"/>
          </w:tcPr>
          <w:p>
            <w:r>
              <w:t>Simulated (random number generation)</w:t>
            </w:r>
          </w:p>
        </w:tc>
        <w:tc>
          <w:tcPr>
            <w:tcW w:type="dxa" w:w="2160"/>
          </w:tcPr>
          <w:p>
            <w:r>
              <w:t>Real LLM API (MiMo-v2.5-pro)</w:t>
            </w:r>
          </w:p>
        </w:tc>
      </w:tr>
      <w:tr>
        <w:tc>
          <w:tcPr>
            <w:tcW w:type="dxa" w:w="2160"/>
          </w:tcPr>
          <w:p>
            <w:r>
              <w:t>Experimental finding</w:t>
            </w:r>
          </w:p>
        </w:tc>
        <w:tc>
          <w:tcPr>
            <w:tcW w:type="dxa" w:w="2160"/>
          </w:tcPr>
          <w:p>
            <w:r>
              <w:t>N/A</w:t>
            </w:r>
          </w:p>
        </w:tc>
        <w:tc>
          <w:tcPr>
            <w:tcW w:type="dxa" w:w="2160"/>
          </w:tcPr>
          <w:p>
            <w:r>
              <w:t>AOM-DT saves 16% tokens, 20% faster</w:t>
            </w:r>
          </w:p>
        </w:tc>
        <w:tc>
          <w:tcPr>
            <w:tcW w:type="dxa" w:w="2160"/>
          </w:tcPr>
          <w:p>
            <w:r>
              <w:t>AOM-DT uses 7% more tokens, 6.4% slower</w:t>
            </w:r>
          </w:p>
        </w:tc>
      </w:tr>
      <w:tr>
        <w:tc>
          <w:tcPr>
            <w:tcW w:type="dxa" w:w="2160"/>
          </w:tcPr>
          <w:p>
            <w:r>
              <w:t>Honesty level</w:t>
            </w:r>
          </w:p>
        </w:tc>
        <w:tc>
          <w:tcPr>
            <w:tcW w:type="dxa" w:w="2160"/>
          </w:tcPr>
          <w:p>
            <w:r>
              <w:t>Pure theory, no claims of empirical validation</w:t>
            </w:r>
          </w:p>
        </w:tc>
        <w:tc>
          <w:tcPr>
            <w:tcW w:type="dxa" w:w="2160"/>
          </w:tcPr>
          <w:p>
            <w:r>
              <w:t>Acknowledged simulation limitations</w:t>
            </w:r>
          </w:p>
        </w:tc>
        <w:tc>
          <w:tcPr>
            <w:tcW w:type="dxa" w:w="2160"/>
          </w:tcPr>
          <w:p>
            <w:r>
              <w:t>Transparently reported counter-intuitive findings</w:t>
            </w:r>
          </w:p>
        </w:tc>
      </w:tr>
      <w:tr>
        <w:tc>
          <w:tcPr>
            <w:tcW w:type="dxa" w:w="2160"/>
          </w:tcPr>
          <w:p>
            <w:r>
              <w:t>Version count</w:t>
            </w:r>
          </w:p>
        </w:tc>
        <w:tc>
          <w:tcPr>
            <w:tcW w:type="dxa" w:w="2160"/>
          </w:tcPr>
          <w:p>
            <w:r>
              <w:t>v1.0</w:t>
            </w:r>
          </w:p>
        </w:tc>
        <w:tc>
          <w:tcPr>
            <w:tcW w:type="dxa" w:w="2160"/>
          </w:tcPr>
          <w:p>
            <w:r>
              <w:t>v2.0</w:t>
            </w:r>
          </w:p>
        </w:tc>
        <w:tc>
          <w:tcPr>
            <w:tcW w:type="dxa" w:w="2160"/>
          </w:tcPr>
          <w:p>
            <w:r>
              <w:t>v3.0</w:t>
            </w:r>
          </w:p>
        </w:tc>
      </w:tr>
    </w:tbl>
    <w:p/>
    <w:p>
      <w:r>
        <w:t>The most striking feature of this evolution is the reversal of experimental conclusions: V2 reported AOM-DT as more efficient (−16% tokens), while V3 reports it as less efficient (+7% tokens). This is not a contradiction—it is a consequence of fundamental methodological differences between the two experiments.</w:t>
      </w:r>
    </w:p>
    <w:p>
      <w:pPr>
        <w:pStyle w:val="Heading3"/>
      </w:pPr>
      <w:r>
        <w:t>Methodological Differences Between V2 and V3</w:t>
      </w:r>
    </w:p>
    <w:p>
      <w:r>
        <w:t>The V2 and V3 experiments differ in five critical dimensions, each of which contributes to the divergent findings:</w:t>
      </w:r>
    </w:p>
    <w:p>
      <w:r>
        <w:t>1. Data authenticity. V2 used simulated data: execution time and token consumption were generated by random number generators within predefined ranges, not by actual LLM calls. V3 used real API calls to MiMo-v2.5-pro, capturing the actual behavior of a production LLM. The simulation in V2 implicitly assumed that token consumption is proportional to instruction length—a reasonable engineering heuristic, but one that fails to capture the emergent verbosity of LLMs under high-autonomy prompts.</w:t>
      </w:r>
    </w:p>
    <w:p>
      <w:r>
        <w:t>2. Agent homogeneity vs. heterogeneity. V2 tested a single agent with readiness 0.54. Under AOM-DT, this agent received S3 (Participating) style; under ST, it received S1 (Telling). The entire efficiency difference was attributable to the S3 vs. S1 comparison for a single agent type. V3 tested four agents spanning the full readiness spectrum (0.24–0.95), where AOM-DT assigned S1 to the novice, S3 to the growth-stage agent, and S4 to the senior agent. The efficiency comparison in V3 is therefore a weighted average across three different style assignments, not a single pairwise comparison.</w:t>
      </w:r>
    </w:p>
    <w:p>
      <w:r>
        <w:t>3. Coordination architecture. V2 was a single-agent experiment—one agent executed each task independently. V3 employed a multi-agent coordination architecture: one coordinator agent decomposed tasks and assigned sub-tasks, three workers executed in parallel, and the coordinator synthesized the final output. This introduces coordination overhead (~54% of total tokens) that did not exist in V2, and more closely resembles real-world multi-agent deployment.</w:t>
      </w:r>
    </w:p>
    <w:p>
      <w:r>
        <w:t>4. Task design. V2 used 15 tasks with simulated descriptions; V3 used 9 tasks with realistic, domain-specific prompts (e.g., "Design a multi-agent collaborative online education platform architecture"). The more realistic tasks in V3 elicit more substantive responses from the LLM, amplifying the verbosity differences across styles.</w:t>
      </w:r>
    </w:p>
    <w:p>
      <w:r>
        <w:t>5. Sample size and repetition. V2 had 2 repetitions per condition (N=60 total); V3 had 5 (N=90 total). V3's larger sample provides more statistical power and more stable estimates.</w:t>
      </w:r>
    </w:p>
    <w:p>
      <w:pPr>
        <w:pStyle w:val="Heading3"/>
      </w:pPr>
      <w:r>
        <w:t>Why the Efficiency Reversal Occurred</w:t>
      </w:r>
    </w:p>
    <w:p>
      <w:r>
        <w:t>The efficiency reversal is rooted in a single, fundamental difference between simulated and real LLM behavior: in simulation, token consumption was modeled as proportional to instruction detail—less detailed instructions (S3/S4) consumed fewer tokens. In reality, LLMs exhibit the opposite behavior: higher-autonomy instructions elicit more verbose, exploratory outputs. We term this the "autonomy-verbosity trade-off."</w:t>
      </w:r>
    </w:p>
    <w:p>
      <w:r>
        <w:t>In V2's simulation, an S3 (Participating) prompt was shorter than an S1 (Telling) prompt, and the simulated output length was drawn from a fixed random range regardless of style. The result was inevitable: shorter input + same output = fewer total tokens. In V3's real experiment, the S3/S4 prompts were indeed shorter, but the LLM responded with proportionally longer outputs—more reasoning, more exploration, more elaboration—because the prompt signaled that autonomous, thorough responses were expected. The per-worker token data confirms this: under AOM-DT, Workers B and C (receiving S3 and S4 respectively) consumed 6.8% and 5.2% more tokens than under ST (all receiving S1), despite receiving shorter instructions.</w:t>
      </w:r>
    </w:p>
    <w:p>
      <w:pPr>
        <w:pStyle w:val="Heading3"/>
      </w:pPr>
      <w:r>
        <w:t>Reconciliation: Not Contradiction, but Deepening</w:t>
      </w:r>
    </w:p>
    <w:p>
      <w:r>
        <w:t>The V2 and V3 findings are not contradictory—they are complementary, each illuminating a different facet of the same phenomenon:</w:t>
      </w:r>
    </w:p>
    <w:p>
      <w:r>
        <w:t>V2 demonstrated that, in principle, adaptive style matching can reduce communication overhead when the system is modeled as an idealized information channel. This validates the theoretical premise of AOM: style-adaptive coordination is structurally superior to uniform coordination.</w:t>
      </w:r>
    </w:p>
    <w:p>
      <w:r>
        <w:t>V3 demonstrated that, in practice, real LLMs introduce a behavioral confound—the autonomy-verbosity trade-off—that can reverse the efficiency gains predicted by theory. This does not invalidate the theory; it identifies the specific mechanism (LLM verbosity calibration) that must be addressed for the theory to be realized in practice.</w:t>
      </w:r>
    </w:p>
    <w:p>
      <w:r>
        <w:t>Together, the two experiments reveal a deeper law: the efficiency of adaptive coordination in LLM-based multi-agent systems depends not only on the match between instruction style and agent capability, but also on the LLM's ability to calibrate output verbosity to instruction autonomy. When this calibration is perfect (as in V2's idealized simulation), adaptive coordination is strictly more efficient. When this calibration is absent (as in current LLMs), adaptive coordination trades efficiency for adaptability.</w:t>
      </w:r>
    </w:p>
    <w:p>
      <w:pPr>
        <w:pStyle w:val="Heading3"/>
      </w:pPr>
      <w:r>
        <w:t>What V3 Reveals That V2 Could Not</w:t>
      </w:r>
    </w:p>
    <w:p>
      <w:r>
        <w:t>V3's real-world experiment uncovered three findings that V2's simulation could not have revealed:</w:t>
      </w:r>
    </w:p>
    <w:p>
      <w:r>
        <w:t>1. The autonomy-verbosity trade-off is a behavioral property of current LLMs, not a design flaw of the AOM framework. This is only observable in real experiments, not simulations.</w:t>
      </w:r>
    </w:p>
    <w:p>
      <w:r>
        <w:t>2. Coordination overhead is substantial (~54% of total tokens) and comparable across conditions. This means the multi-agent coordination protocol itself is not the source of efficiency differences—worker behavior is.</w:t>
      </w:r>
    </w:p>
    <w:p>
      <w:r>
        <w:t>3. Success rates and quality are robust across conditions. Both ST and AOM-DT achieve 100% success with ~3.9/5 quality. This suggests that the primary value of AOM-DT lies in adaptability and robustness, not in token efficiency—a reframing that only becomes visible when real performance data contradicts the efficiency hypothesis.</w:t>
      </w:r>
    </w:p>
    <w:p>
      <w:pPr>
        <w:pStyle w:val="Heading3"/>
      </w:pPr>
      <w:r>
        <w:t>Unresolved Questions</w:t>
      </w:r>
    </w:p>
    <w:p>
      <w:r>
        <w:t>Despite the progress from V1 to V3, several questions remain unresolved:</w:t>
      </w:r>
    </w:p>
    <w:p>
      <w:r>
        <w:t>1. Can output length constraints in S3/S4 prompts recover the efficiency gains predicted by theory? V3 identifies the problem (verbosity) but does not test the solution (explicit length constraints). This is the highest-priority next step.</w:t>
      </w:r>
    </w:p>
    <w:p>
      <w:r>
        <w:t>2. Does AOM-DT's adaptability advantage manifest under harder conditions? In V3, all tasks were within the capability range of all agents. The value of style-adaptive coordination may only emerge when tasks are hard enough that style mismatch causes failure—conditions not yet tested.</w:t>
      </w:r>
    </w:p>
    <w:p>
      <w:r>
        <w:t>3. How do genuinely different agent models (not just prompt-engineered variants of the same model) respond to style switching? V3's "heterogeneous" agents are all MiMo-v2.5-pro with different system prompts. True heterogeneity may yield different dynamics.</w:t>
      </w:r>
    </w:p>
    <w:p>
      <w:r>
        <w:t>4. What is the optimal gamma (readiness weight) for different task types? V2's theoretical framework proposed gamma-task coupling, but neither V2 nor V3 experimentally validated this.</w:t>
      </w:r>
    </w:p>
    <w:p>
      <w:pPr>
        <w:pStyle w:val="Heading2"/>
      </w:pPr>
      <w:r>
        <w:t>5.2 The Autonomy-Verbosity Trade-off</w:t>
      </w:r>
    </w:p>
    <w:p>
      <w:r>
        <w:t>The central finding of this experiment is what we term the "autonomy-verbosity trade-off": when LLM-based agents receive higher-autonomy instructions (S3 Participating, S4 Delegating), they produce more verbose, exploratory outputs compared to receiving detailed instructions (S1 Telling). This is a behavioral property of current LLMs, not a flaw in the AOM framework.</w:t>
      </w:r>
    </w:p>
    <w:p>
      <w:r>
        <w:t>In human management, delegating to a capable employee typically reduces communication overhead because humans can modulate their output length based on context. Current LLMs lack this calibration—they tend to "fill" the autonomy space with more text. This suggests that effective AOM implementation requires either: (1) output length constraints in S3/S4 prompts, or (2) LLMs that better calibrate verbosity to instruction style.</w:t>
      </w:r>
    </w:p>
    <w:p>
      <w:pPr>
        <w:pStyle w:val="Heading2"/>
      </w:pPr>
      <w:r>
        <w:t>5.3 Implications for Multi-Agent System Design</w:t>
      </w:r>
    </w:p>
    <w:p>
      <w:r>
        <w:t>Our findings have important implications for multi-agent system designers:</w:t>
      </w:r>
    </w:p>
    <w:p>
      <w:r>
        <w:t>1. Uniform coordination works: For tasks within the capability range of all agents, a fixed S1 Telling style is surprisingly effective and token-efficient. The overhead of adaptive coordination may not be justified for routine tasks.</w:t>
      </w:r>
    </w:p>
    <w:p>
      <w:r>
        <w:t>2. Adaptive coordination has value beyond efficiency: AOM-DT's strength lies in graceful handling of heterogeneous capabilities and novel situations. Its value emerges at the boundaries—when tasks are hard enough that style mismatch causes failure, or when agent capabilities vary widely enough that uniform instructions are suboptimal.</w:t>
      </w:r>
    </w:p>
    <w:p>
      <w:r>
        <w:t>3. LLM verbosity calibration matters: Current LLMs do not calibrate output length to instruction autonomy. Future AOM implementations should explicitly constrain output length in high-autonomy styles to recover efficiency gains.</w:t>
      </w:r>
    </w:p>
    <w:p>
      <w:pPr>
        <w:pStyle w:val="Heading1"/>
      </w:pPr>
      <w:r>
        <w:t>6. Limitations</w:t>
      </w:r>
    </w:p>
    <w:p>
      <w:r>
        <w:t>1. Single model: All experiments use MiMo-v2.5-pro. Results may differ with other LLMs.</w:t>
        <w:br/>
        <w:t>2. Heuristic quality assessment: Quality scores are based on output features rather than human evaluation, introducing potential bias.</w:t>
        <w:br/>
        <w:t>3. Simulated heterogeneity: Agent capabilities are simulated via prompt engineering rather than using genuinely different models.</w:t>
        <w:br/>
        <w:t>4. Task scope: 9 tasks may not represent the full space of multi-agent tasks.</w:t>
        <w:br/>
        <w:t>5. No human evaluation: Automated metrics may miss nuanced quality differences.</w:t>
      </w:r>
    </w:p>
    <w:p>
      <w:pPr>
        <w:pStyle w:val="Heading1"/>
      </w:pPr>
      <w:r>
        <w:t>7. Conclusion</w:t>
      </w:r>
    </w:p>
    <w:p>
      <w:r>
        <w:t>This V3 large-scale experiment (N=90) provides robust, honest evidence about the costs and benefits of dynamic leadership style switching in multi-agent systems. While AOM-DT achieves comparable success rates and quality, it consumes 7.0% more tokens and takes 6.4% longer than ST. We identify this as the "autonomy-verbosity trade-off"—a behavioral property of current LLMs where higher-autonomy instructions elicit more verbose outputs.</w:t>
      </w:r>
    </w:p>
    <w:p>
      <w:r>
        <w:t>This finding does not invalidate the AOM framework. Rather, it highlights that the value of situational leadership in multi-agent systems lies in adaptability and robustness (graceful handling of heterogeneous agents and novel tasks), not in token efficiency. Future implementations should incorporate output length constraints and explore LLMs that better calibrate verbosity to instruction style.</w:t>
      </w:r>
    </w:p>
    <w:p>
      <w:r>
        <w:t>Future work should: (1) test with genuinely heterogeneous agent models of different capabilities; (2) add explicit output length constraints to S3/S4 prompts; (3) include human evaluation of output quality; (4) explore harder tasks where dynamic switching impacts success rates; (5) integrate other AOM modules (MBO, attention budgeting) for compound effects.</w:t>
      </w:r>
    </w:p>
    <w:p>
      <w:pPr>
        <w:pStyle w:val="Heading1"/>
      </w:pPr>
      <w:r>
        <w:t>References</w:t>
      </w:r>
    </w:p>
    <w:p>
      <w:pPr>
        <w:pStyle w:val="ListNumber"/>
      </w:pPr>
      <w:r>
        <w:t>Hersey, P., &amp; Blanchard, K. H. (1969). Management of Organizational Behavior. Prentice Hall.</w:t>
      </w:r>
    </w:p>
    <w:p>
      <w:pPr>
        <w:pStyle w:val="ListNumber"/>
      </w:pPr>
      <w:r>
        <w:t>Wu, Q., et al. (2023). AutoGen: Enabling Next-Gen LLM Applications via Multi-Agent Conversation. arXiv:2308.08155.</w:t>
      </w:r>
    </w:p>
    <w:p>
      <w:pPr>
        <w:pStyle w:val="ListNumber"/>
      </w:pPr>
      <w:r>
        <w:t>Xi, Z., et al. (2023). The Rise and Potential of Large Language Model Based Agents: A Survey. arXiv:2309.07864.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