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智能体组织管理学</w:t>
      </w:r>
    </w:p>
    <w:p>
      <w:pPr>
        <w:jc w:val="center"/>
      </w:pPr>
      <w:r>
        <w:rPr>
          <w:b/>
          <w:sz w:val="32"/>
        </w:rPr>
        <w:t>从管理理论到多智能体系统设计</w:t>
      </w:r>
    </w:p>
    <w:p>
      <w:pPr>
        <w:jc w:val="center"/>
      </w:pPr>
      <w:r>
        <w:rPr>
          <w:color w:val="666666"/>
          <w:sz w:val="26"/>
        </w:rPr>
        <w:t>V3.0 — 大规模效率实验与诚实发现</w:t>
      </w:r>
    </w:p>
    <w:p>
      <w:pPr>
        <w:jc w:val="center"/>
      </w:pPr>
      <w:r>
        <w:rPr>
          <w:sz w:val="22"/>
        </w:rPr>
        <w:t>江皓然</w:t>
        <w:br/>
        <w:t>华南理工大学 软件工程+工商管理双学位</w:t>
        <w:br/>
        <w:t>2026年6月1日</w:t>
      </w:r>
    </w:p>
    <w:p>
      <w:r>
        <w:br w:type="page"/>
      </w:r>
    </w:p>
    <w:p>
      <w:pPr>
        <w:pStyle w:val="Heading1"/>
      </w:pPr>
      <w:r>
        <w:t>摘要</w:t>
      </w:r>
    </w:p>
    <w:p>
      <w:r>
        <w:t>本文报告了一项大规模实证研究（N=90），系统比较了基于智能体组织管理学的动态拓扑方案（AOM-DT）与静态拓扑方案（ST）在多智能体任务执行中的表现。实验采用4个异质智能体（准备度0.24-0.95）、9个跨3个不确定性水平的任务、每条件5次重复，聚焦于效率指标——Token消耗与完成时间。</w:t>
      </w:r>
    </w:p>
    <w:p>
      <w:r>
        <w:t>结果显示，两种条件均达到100%成功率，输出质量相当（约3.9/5分）。然而，AOM-DT比ST多消耗7.0%的Token，完成时间增加6.4%。我们将此归因于"自主性-冗长度权衡"：高自主性风格（S3/S4）会激发有能力的智能体产生更长、更具探索性的输出，从而增加了工作者和整合阶段的Token成本。</w:t>
      </w:r>
    </w:p>
    <w:p>
      <w:pPr>
        <w:pStyle w:val="Heading1"/>
      </w:pPr>
      <w:r>
        <w:t>1. 引言</w:t>
      </w:r>
    </w:p>
    <w:p>
      <w:pPr>
        <w:pStyle w:val="Heading2"/>
      </w:pPr>
      <w:r>
        <w:t>1.1 研究背景</w:t>
      </w:r>
    </w:p>
    <w:p>
      <w:r>
        <w:t>当人工智能代理（AI Agent）从孤立的工具演化为"数字员工"时，管理它们的最优解不再是编程，而是管理学本身。当前主流的多智能体框架（如AutoGen、CrewAI、LangGraph）普遍存在"管理真空"——协作流程以静态拓扑硬编码，缺乏权变响应能力。</w:t>
      </w:r>
    </w:p>
    <w:p>
      <w:r>
        <w:t>本文首次系统性地提出并界定一个全新的交叉学科领域——智能体组织管理学（Agent Organizational Management, AOM）。核心主张是：管理学百年来关于组织结构、领导力、激励机制的智慧，能被精确地"编译"为多智能体系统的原生协作协议。</w:t>
      </w:r>
    </w:p>
    <w:p>
      <w:pPr>
        <w:pStyle w:val="Heading2"/>
      </w:pPr>
      <w:r>
        <w:t>1.2 本文贡献</w:t>
      </w:r>
    </w:p>
    <w:p>
      <w:r>
        <w:t>（1）首次提出智能体组织管理学（AOM）的完整概念与研究纲领；（2）将经典管理理论精确映射为Agent拓扑设计、动态控制逻辑和目标函数；（3）提出双向赋能路径：用Agent仿真作为管理学的"粒子对撞机"；（4）通过大规模真实实验（N=90）提供诚实的实证证据。</w:t>
      </w:r>
    </w:p>
    <w:p>
      <w:pPr>
        <w:pStyle w:val="Heading1"/>
      </w:pPr>
      <w:r>
        <w:t>2. 相关工作</w:t>
      </w:r>
    </w:p>
    <w:p>
      <w:r>
        <w:t>赫塞-布兰查德的情境领导模型认为，有效的领导风格取决于下属的准备度——能力和意愿的组合。该模型定义了四种领导风格：S1（告知式）、S2（推销式）、S3（参与式）、S4（授权式），分别对应四个准备度等级R1-R4。</w:t>
      </w:r>
    </w:p>
    <w:p>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pPr>
        <w:pStyle w:val="Heading2"/>
      </w:pPr>
      <w:r>
        <w:t>2.1 智能体组织治理</w:t>
      </w:r>
    </w:p>
    <w:p>
      <w:r>
        <w:t>2026年4月，清华大学发布了《智能体管理学：从模型能力到组织操作系统》报告，提出了涵盖战略层、流程层、权限层、监督层等八层的智能体管理框架，并引入了"编排债"和"监督带宽"等原创概念。同月，CSDN产业观察专栏发表了《当AI成为组织的一线员工》，从组织运营视角讨论了智能体的部署、监控、审计和ROI评估。这些工作标志着"智能体需要被管理"这一共识正在形成。</w:t>
      </w:r>
    </w:p>
    <w:p>
      <w:r>
        <w:t>然而，现有工作聚焦于组织治理层——制度设计、权限控制和绩效评估。本文的AOM框架聚焦于协作工程层——任务分解、结构设计、领导风格和激励机制。两者互补：治理层回答"AI员工怎么管"的制度问题，AOM回答"AI团队内部怎么配合最高效"的算法问题。</w:t>
      </w:r>
    </w:p>
    <w:p>
      <w:pPr>
        <w:pStyle w:val="Heading1"/>
      </w:pPr>
      <w:r>
        <w:t>3. 实验设计</w:t>
      </w:r>
    </w:p>
    <w:p>
      <w:pPr>
        <w:pStyle w:val="Heading2"/>
      </w:pPr>
      <w:r>
        <w:t>3.1 智能体配置</w:t>
      </w:r>
    </w:p>
    <w:p>
      <w:r>
        <w:t>我们设计了4个异质智能体，覆盖完整的准备度谱系：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智能体</w:t>
            </w:r>
          </w:p>
        </w:tc>
        <w:tc>
          <w:tcPr>
            <w:tcW w:type="dxa" w:w="1728"/>
          </w:tcPr>
          <w:p>
            <w:r>
              <w:t>历史成功率</w:t>
            </w:r>
          </w:p>
        </w:tc>
        <w:tc>
          <w:tcPr>
            <w:tcW w:type="dxa" w:w="1728"/>
          </w:tcPr>
          <w:p>
            <w:r>
              <w:t>置信度</w:t>
            </w:r>
          </w:p>
        </w:tc>
        <w:tc>
          <w:tcPr>
            <w:tcW w:type="dxa" w:w="1728"/>
          </w:tcPr>
          <w:p>
            <w:r>
              <w:t>准备度</w:t>
            </w:r>
          </w:p>
        </w:tc>
        <w:tc>
          <w:tcPr>
            <w:tcW w:type="dxa" w:w="1728"/>
          </w:tcPr>
          <w:p>
            <w:r>
              <w:t>AOM-DT风格</w:t>
            </w:r>
          </w:p>
        </w:tc>
      </w:tr>
      <w:tr>
        <w:tc>
          <w:tcPr>
            <w:tcW w:type="dxa" w:w="1728"/>
          </w:tcPr>
          <w:p>
            <w:r>
              <w:t>A（新手）</w:t>
            </w:r>
          </w:p>
        </w:tc>
        <w:tc>
          <w:tcPr>
            <w:tcW w:type="dxa" w:w="1728"/>
          </w:tcPr>
          <w:p>
            <w:r>
              <w:t>0.20</w:t>
            </w:r>
          </w:p>
        </w:tc>
        <w:tc>
          <w:tcPr>
            <w:tcW w:type="dxa" w:w="1728"/>
          </w:tcPr>
          <w:p>
            <w:r>
              <w:t>0.30</w:t>
            </w:r>
          </w:p>
        </w:tc>
        <w:tc>
          <w:tcPr>
            <w:tcW w:type="dxa" w:w="1728"/>
          </w:tcPr>
          <w:p>
            <w:r>
              <w:t>0.24</w:t>
            </w:r>
          </w:p>
        </w:tc>
        <w:tc>
          <w:tcPr>
            <w:tcW w:type="dxa" w:w="1728"/>
          </w:tcPr>
          <w:p>
            <w:r>
              <w:t>S1 告知式</w:t>
            </w:r>
          </w:p>
        </w:tc>
      </w:tr>
      <w:tr>
        <w:tc>
          <w:tcPr>
            <w:tcW w:type="dxa" w:w="1728"/>
          </w:tcPr>
          <w:p>
            <w:r>
              <w:t>B（成长期）</w:t>
            </w:r>
          </w:p>
        </w:tc>
        <w:tc>
          <w:tcPr>
            <w:tcW w:type="dxa" w:w="1728"/>
          </w:tcPr>
          <w:p>
            <w:r>
              <w:t>0.50</w:t>
            </w:r>
          </w:p>
        </w:tc>
        <w:tc>
          <w:tcPr>
            <w:tcW w:type="dxa" w:w="1728"/>
          </w:tcPr>
          <w:p>
            <w:r>
              <w:t>0.60</w:t>
            </w:r>
          </w:p>
        </w:tc>
        <w:tc>
          <w:tcPr>
            <w:tcW w:type="dxa" w:w="1728"/>
          </w:tcPr>
          <w:p>
            <w:r>
              <w:t>0.54</w:t>
            </w:r>
          </w:p>
        </w:tc>
        <w:tc>
          <w:tcPr>
            <w:tcW w:type="dxa" w:w="1728"/>
          </w:tcPr>
          <w:p>
            <w:r>
              <w:t>S3 参与式</w:t>
            </w:r>
          </w:p>
        </w:tc>
      </w:tr>
      <w:tr>
        <w:tc>
          <w:tcPr>
            <w:tcW w:type="dxa" w:w="1728"/>
          </w:tcPr>
          <w:p>
            <w:r>
              <w:t>C（资深）</w:t>
            </w:r>
          </w:p>
        </w:tc>
        <w:tc>
          <w:tcPr>
            <w:tcW w:type="dxa" w:w="1728"/>
          </w:tcPr>
          <w:p>
            <w:r>
              <w:t>0.85</w:t>
            </w:r>
          </w:p>
        </w:tc>
        <w:tc>
          <w:tcPr>
            <w:tcW w:type="dxa" w:w="1728"/>
          </w:tcPr>
          <w:p>
            <w:r>
              <w:t>0.90</w:t>
            </w:r>
          </w:p>
        </w:tc>
        <w:tc>
          <w:tcPr>
            <w:tcW w:type="dxa" w:w="1728"/>
          </w:tcPr>
          <w:p>
            <w:r>
              <w:t>0.87</w:t>
            </w:r>
          </w:p>
        </w:tc>
        <w:tc>
          <w:tcPr>
            <w:tcW w:type="dxa" w:w="1728"/>
          </w:tcPr>
          <w:p>
            <w:r>
              <w:t>S4 授权式</w:t>
            </w:r>
          </w:p>
        </w:tc>
      </w:tr>
      <w:tr>
        <w:tc>
          <w:tcPr>
            <w:tcW w:type="dxa" w:w="1728"/>
          </w:tcPr>
          <w:p>
            <w:r>
              <w:t>D（专家/协调者）</w:t>
            </w:r>
          </w:p>
        </w:tc>
        <w:tc>
          <w:tcPr>
            <w:tcW w:type="dxa" w:w="1728"/>
          </w:tcPr>
          <w:p>
            <w:r>
              <w:t>0.95</w:t>
            </w:r>
          </w:p>
        </w:tc>
        <w:tc>
          <w:tcPr>
            <w:tcW w:type="dxa" w:w="1728"/>
          </w:tcPr>
          <w:p>
            <w:r>
              <w:t>0.95</w:t>
            </w:r>
          </w:p>
        </w:tc>
        <w:tc>
          <w:tcPr>
            <w:tcW w:type="dxa" w:w="1728"/>
          </w:tcPr>
          <w:p>
            <w:r>
              <w:t>0.95</w:t>
            </w:r>
          </w:p>
        </w:tc>
        <w:tc>
          <w:tcPr>
            <w:tcW w:type="dxa" w:w="1728"/>
          </w:tcPr>
          <w:p>
            <w:r>
              <w:t>S4 授权式</w:t>
            </w:r>
          </w:p>
        </w:tc>
      </w:tr>
    </w:tbl>
    <w:p>
      <w:r>
        <w:t>准备度 = 0.6 x HTSR + 0.4 x Confidence。Agent D在所有实验中担任协调者。</w:t>
      </w:r>
    </w:p>
    <w:p>
      <w:pPr>
        <w:pStyle w:val="Heading2"/>
      </w:pPr>
      <w:r>
        <w:t>3.2 任务设计</w:t>
      </w:r>
    </w:p>
    <w:p>
      <w:r>
        <w:t>我们设计了9个任务，覆盖3个不确定性水平（每个水平3个任务）：</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编号</w:t>
            </w:r>
          </w:p>
        </w:tc>
        <w:tc>
          <w:tcPr>
            <w:tcW w:type="dxa" w:w="2880"/>
          </w:tcPr>
          <w:p>
            <w:r>
              <w:t>不确定性</w:t>
            </w:r>
          </w:p>
        </w:tc>
        <w:tc>
          <w:tcPr>
            <w:tcW w:type="dxa" w:w="2880"/>
          </w:tcPr>
          <w:p>
            <w:r>
              <w:t>任务描述</w:t>
            </w:r>
          </w:p>
        </w:tc>
      </w:tr>
      <w:tr>
        <w:tc>
          <w:tcPr>
            <w:tcW w:type="dxa" w:w="2880"/>
          </w:tcPr>
          <w:p>
            <w:r>
              <w:t>L1</w:t>
            </w:r>
          </w:p>
        </w:tc>
        <w:tc>
          <w:tcPr>
            <w:tcW w:type="dxa" w:w="2880"/>
          </w:tcPr>
          <w:p>
            <w:r>
              <w:t>低(0.1)</w:t>
            </w:r>
          </w:p>
        </w:tc>
        <w:tc>
          <w:tcPr>
            <w:tcW w:type="dxa" w:w="2880"/>
          </w:tcPr>
          <w:p>
            <w:r>
              <w:t>2025年获得A轮融资的中国AI Agent公司有哪些？</w:t>
            </w:r>
          </w:p>
        </w:tc>
      </w:tr>
      <w:tr>
        <w:tc>
          <w:tcPr>
            <w:tcW w:type="dxa" w:w="2880"/>
          </w:tcPr>
          <w:p>
            <w:r>
              <w:t>L2</w:t>
            </w:r>
          </w:p>
        </w:tc>
        <w:tc>
          <w:tcPr>
            <w:tcW w:type="dxa" w:w="2880"/>
          </w:tcPr>
          <w:p>
            <w:r>
              <w:t>低(0.1)</w:t>
            </w:r>
          </w:p>
        </w:tc>
        <w:tc>
          <w:tcPr>
            <w:tcW w:type="dxa" w:w="2880"/>
          </w:tcPr>
          <w:p>
            <w:r>
              <w:t>Python 3.12中新增的type语句的具体语法是什么？</w:t>
            </w:r>
          </w:p>
        </w:tc>
      </w:tr>
      <w:tr>
        <w:tc>
          <w:tcPr>
            <w:tcW w:type="dxa" w:w="2880"/>
          </w:tcPr>
          <w:p>
            <w:r>
              <w:t>L3</w:t>
            </w:r>
          </w:p>
        </w:tc>
        <w:tc>
          <w:tcPr>
            <w:tcW w:type="dxa" w:w="2880"/>
          </w:tcPr>
          <w:p>
            <w:r>
              <w:t>低(0.1)</w:t>
            </w:r>
          </w:p>
        </w:tc>
        <w:tc>
          <w:tcPr>
            <w:tcW w:type="dxa" w:w="2880"/>
          </w:tcPr>
          <w:p>
            <w:r>
              <w:t>Docker和Kubernetes的区别是什么？</w:t>
            </w:r>
          </w:p>
        </w:tc>
      </w:tr>
      <w:tr>
        <w:tc>
          <w:tcPr>
            <w:tcW w:type="dxa" w:w="2880"/>
          </w:tcPr>
          <w:p>
            <w:r>
              <w:t>M1</w:t>
            </w:r>
          </w:p>
        </w:tc>
        <w:tc>
          <w:tcPr>
            <w:tcW w:type="dxa" w:w="2880"/>
          </w:tcPr>
          <w:p>
            <w:r>
              <w:t>中(0.5)</w:t>
            </w:r>
          </w:p>
        </w:tc>
        <w:tc>
          <w:tcPr>
            <w:tcW w:type="dxa" w:w="2880"/>
          </w:tcPr>
          <w:p>
            <w:r>
              <w:t>比较AutoGen和CrewAI在Agent协作设计上的主要区别</w:t>
            </w:r>
          </w:p>
        </w:tc>
      </w:tr>
      <w:tr>
        <w:tc>
          <w:tcPr>
            <w:tcW w:type="dxa" w:w="2880"/>
          </w:tcPr>
          <w:p>
            <w:r>
              <w:t>M2</w:t>
            </w:r>
          </w:p>
        </w:tc>
        <w:tc>
          <w:tcPr>
            <w:tcW w:type="dxa" w:w="2880"/>
          </w:tcPr>
          <w:p>
            <w:r>
              <w:t>中(0.5)</w:t>
            </w:r>
          </w:p>
        </w:tc>
        <w:tc>
          <w:tcPr>
            <w:tcW w:type="dxa" w:w="2880"/>
          </w:tcPr>
          <w:p>
            <w:r>
              <w:t>分析RAG技术的优缺点及其在企业知识管理中的适用场景</w:t>
            </w:r>
          </w:p>
        </w:tc>
      </w:tr>
      <w:tr>
        <w:tc>
          <w:tcPr>
            <w:tcW w:type="dxa" w:w="2880"/>
          </w:tcPr>
          <w:p>
            <w:r>
              <w:t>M3</w:t>
            </w:r>
          </w:p>
        </w:tc>
        <w:tc>
          <w:tcPr>
            <w:tcW w:type="dxa" w:w="2880"/>
          </w:tcPr>
          <w:p>
            <w:r>
              <w:t>中(0.5)</w:t>
            </w:r>
          </w:p>
        </w:tc>
        <w:tc>
          <w:tcPr>
            <w:tcW w:type="dxa" w:w="2880"/>
          </w:tcPr>
          <w:p>
            <w:r>
              <w:t>评估当前AI代码生成工具的成熟度</w:t>
            </w:r>
          </w:p>
        </w:tc>
      </w:tr>
      <w:tr>
        <w:tc>
          <w:tcPr>
            <w:tcW w:type="dxa" w:w="2880"/>
          </w:tcPr>
          <w:p>
            <w:r>
              <w:t>H1</w:t>
            </w:r>
          </w:p>
        </w:tc>
        <w:tc>
          <w:tcPr>
            <w:tcW w:type="dxa" w:w="2880"/>
          </w:tcPr>
          <w:p>
            <w:r>
              <w:t>高(0.9)</w:t>
            </w:r>
          </w:p>
        </w:tc>
        <w:tc>
          <w:tcPr>
            <w:tcW w:type="dxa" w:w="2880"/>
          </w:tcPr>
          <w:p>
            <w:r>
              <w:t>设计一套基于多Agent协作的在线教育平台架构</w:t>
            </w:r>
          </w:p>
        </w:tc>
      </w:tr>
      <w:tr>
        <w:tc>
          <w:tcPr>
            <w:tcW w:type="dxa" w:w="2880"/>
          </w:tcPr>
          <w:p>
            <w:r>
              <w:t>H2</w:t>
            </w:r>
          </w:p>
        </w:tc>
        <w:tc>
          <w:tcPr>
            <w:tcW w:type="dxa" w:w="2880"/>
          </w:tcPr>
          <w:p>
            <w:r>
              <w:t>高(0.9)</w:t>
            </w:r>
          </w:p>
        </w:tc>
        <w:tc>
          <w:tcPr>
            <w:tcW w:type="dxa" w:w="2880"/>
          </w:tcPr>
          <w:p>
            <w:r>
              <w:t>设计一个基于多Agent协作的智慧城市交通管理系统</w:t>
            </w:r>
          </w:p>
        </w:tc>
      </w:tr>
      <w:tr>
        <w:tc>
          <w:tcPr>
            <w:tcW w:type="dxa" w:w="2880"/>
          </w:tcPr>
          <w:p>
            <w:r>
              <w:t>H3</w:t>
            </w:r>
          </w:p>
        </w:tc>
        <w:tc>
          <w:tcPr>
            <w:tcW w:type="dxa" w:w="2880"/>
          </w:tcPr>
          <w:p>
            <w:r>
              <w:t>高(0.9)</w:t>
            </w:r>
          </w:p>
        </w:tc>
        <w:tc>
          <w:tcPr>
            <w:tcW w:type="dxa" w:w="2880"/>
          </w:tcPr>
          <w:p>
            <w:r>
              <w:t>提出一个AI Agent伦理治理框架</w:t>
            </w:r>
          </w:p>
        </w:tc>
      </w:tr>
    </w:tbl>
    <w:p>
      <w:pPr>
        <w:pStyle w:val="Heading2"/>
      </w:pPr>
      <w:r>
        <w:t>3.3 实验协议</w:t>
      </w:r>
    </w:p>
    <w:p>
      <w:r>
        <w:t>测试两种条件：</w:t>
        <w:br/>
        <w:t>ST（静态拓扑）：所有工作者统一接收S1告知式风格指令。</w:t>
        <w:br/>
        <w:t>AOM-DT（动态拓扑）：每个工作者接收与其准备度匹配的风格（A-&gt;S1, B-&gt;S3, C-&gt;S4）。</w:t>
      </w:r>
    </w:p>
    <w:p>
      <w:r>
        <w:t>实验规模：9任务 x 2条件 x 5次重复 = 90次实验，总计450次API调用。基础模型：MiMo-v2.5-pro。</w:t>
      </w:r>
    </w:p>
    <w:p>
      <w:pPr>
        <w:pStyle w:val="Heading1"/>
      </w:pPr>
      <w:r>
        <w:t>4. 实验结果</w:t>
      </w:r>
    </w:p>
    <w:p>
      <w:pPr>
        <w:pStyle w:val="Heading2"/>
      </w:pPr>
      <w:r>
        <w:t>4.1 总体性能</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条件</w:t>
            </w:r>
          </w:p>
        </w:tc>
        <w:tc>
          <w:tcPr>
            <w:tcW w:type="dxa" w:w="1440"/>
          </w:tcPr>
          <w:p>
            <w:r>
              <w:t>样本数</w:t>
            </w:r>
          </w:p>
        </w:tc>
        <w:tc>
          <w:tcPr>
            <w:tcW w:type="dxa" w:w="1440"/>
          </w:tcPr>
          <w:p>
            <w:r>
              <w:t>成功率</w:t>
            </w:r>
          </w:p>
        </w:tc>
        <w:tc>
          <w:tcPr>
            <w:tcW w:type="dxa" w:w="1440"/>
          </w:tcPr>
          <w:p>
            <w:r>
              <w:t>平均Token</w:t>
            </w:r>
          </w:p>
        </w:tc>
        <w:tc>
          <w:tcPr>
            <w:tcW w:type="dxa" w:w="1440"/>
          </w:tcPr>
          <w:p>
            <w:r>
              <w:t>平均时间(秒)</w:t>
            </w:r>
          </w:p>
        </w:tc>
        <w:tc>
          <w:tcPr>
            <w:tcW w:type="dxa" w:w="1440"/>
          </w:tcPr>
          <w:p>
            <w:r>
              <w:t>平均质量</w:t>
            </w:r>
          </w:p>
        </w:tc>
      </w:tr>
      <w:tr>
        <w:tc>
          <w:tcPr>
            <w:tcW w:type="dxa" w:w="1440"/>
          </w:tcPr>
          <w:p>
            <w:r>
              <w:t>ST</w:t>
            </w:r>
          </w:p>
        </w:tc>
        <w:tc>
          <w:tcPr>
            <w:tcW w:type="dxa" w:w="1440"/>
          </w:tcPr>
          <w:p>
            <w:r>
              <w:t>45</w:t>
            </w:r>
          </w:p>
        </w:tc>
        <w:tc>
          <w:tcPr>
            <w:tcW w:type="dxa" w:w="1440"/>
          </w:tcPr>
          <w:p>
            <w:r>
              <w:t>100.0%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100.0%</w:t>
            </w:r>
          </w:p>
        </w:tc>
        <w:tc>
          <w:tcPr>
            <w:tcW w:type="dxa" w:w="1440"/>
          </w:tcPr>
          <w:p>
            <w:r>
              <w:t>8064</w:t>
            </w:r>
          </w:p>
        </w:tc>
        <w:tc>
          <w:tcPr>
            <w:tcW w:type="dxa" w:w="1440"/>
          </w:tcPr>
          <w:p>
            <w:r>
              <w:t>116.2</w:t>
            </w:r>
          </w:p>
        </w:tc>
        <w:tc>
          <w:tcPr>
            <w:tcW w:type="dxa" w:w="1440"/>
          </w:tcPr>
          <w:p>
            <w:r>
              <w:t>3.93</w:t>
            </w:r>
          </w:p>
        </w:tc>
      </w:tr>
    </w:tbl>
    <w:p/>
    <w:p>
      <w:pPr>
        <w:pStyle w:val="Heading2"/>
      </w:pPr>
      <w:r>
        <w:t>4.2 分不确定性水平效率分析</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不确定性</w:t>
            </w:r>
          </w:p>
        </w:tc>
        <w:tc>
          <w:tcPr>
            <w:tcW w:type="dxa" w:w="1234"/>
          </w:tcPr>
          <w:p>
            <w:r>
              <w:t>条件</w:t>
            </w:r>
          </w:p>
        </w:tc>
        <w:tc>
          <w:tcPr>
            <w:tcW w:type="dxa" w:w="1234"/>
          </w:tcPr>
          <w:p>
            <w:r>
              <w:t>样本数</w:t>
            </w:r>
          </w:p>
        </w:tc>
        <w:tc>
          <w:tcPr>
            <w:tcW w:type="dxa" w:w="1234"/>
          </w:tcPr>
          <w:p>
            <w:r>
              <w:t>平均Token</w:t>
            </w:r>
          </w:p>
        </w:tc>
        <w:tc>
          <w:tcPr>
            <w:tcW w:type="dxa" w:w="1234"/>
          </w:tcPr>
          <w:p>
            <w:r>
              <w:t>平均时间(秒)</w:t>
            </w:r>
          </w:p>
        </w:tc>
        <w:tc>
          <w:tcPr>
            <w:tcW w:type="dxa" w:w="1234"/>
          </w:tcPr>
          <w:p>
            <w:r>
              <w:t>平均质量</w:t>
            </w:r>
          </w:p>
        </w:tc>
        <w:tc>
          <w:tcPr>
            <w:tcW w:type="dxa" w:w="1234"/>
          </w:tcPr>
          <w:p>
            <w:r>
              <w:t>协调开销</w:t>
            </w:r>
          </w:p>
        </w:tc>
      </w:tr>
      <w:tr>
        <w:tc>
          <w:tcPr>
            <w:tcW w:type="dxa" w:w="1234"/>
          </w:tcPr>
          <w:p>
            <w:r>
              <w:t>低</w:t>
            </w:r>
          </w:p>
        </w:tc>
        <w:tc>
          <w:tcPr>
            <w:tcW w:type="dxa" w:w="1234"/>
          </w:tcPr>
          <w:p>
            <w:r>
              <w:t>ST</w:t>
            </w:r>
          </w:p>
        </w:tc>
        <w:tc>
          <w:tcPr>
            <w:tcW w:type="dxa" w:w="1234"/>
          </w:tcPr>
          <w:p>
            <w:r>
              <w:t>15</w:t>
            </w:r>
          </w:p>
        </w:tc>
        <w:tc>
          <w:tcPr>
            <w:tcW w:type="dxa" w:w="1234"/>
          </w:tcPr>
          <w:p>
            <w:r>
              <w:t>6533 (+-1220)</w:t>
            </w:r>
          </w:p>
        </w:tc>
        <w:tc>
          <w:tcPr>
            <w:tcW w:type="dxa" w:w="1234"/>
          </w:tcPr>
          <w:p>
            <w:r>
              <w:t>91.5 (+-17.4)</w:t>
            </w:r>
          </w:p>
        </w:tc>
        <w:tc>
          <w:tcPr>
            <w:tcW w:type="dxa" w:w="1234"/>
          </w:tcPr>
          <w:p>
            <w:r>
              <w:t>3.73</w:t>
            </w:r>
          </w:p>
        </w:tc>
        <w:tc>
          <w:tcPr>
            <w:tcW w:type="dxa" w:w="1234"/>
          </w:tcPr>
          <w:p>
            <w:r>
              <w:t>50.7%</w:t>
            </w:r>
          </w:p>
        </w:tc>
      </w:tr>
      <w:tr>
        <w:tc>
          <w:tcPr>
            <w:tcW w:type="dxa" w:w="1234"/>
          </w:tcPr>
          <w:p>
            <w:r>
              <w:t>低</w:t>
            </w:r>
          </w:p>
        </w:tc>
        <w:tc>
          <w:tcPr>
            <w:tcW w:type="dxa" w:w="1234"/>
          </w:tcPr>
          <w:p>
            <w:r>
              <w:t>AOM-DT</w:t>
            </w:r>
          </w:p>
        </w:tc>
        <w:tc>
          <w:tcPr>
            <w:tcW w:type="dxa" w:w="1234"/>
          </w:tcPr>
          <w:p>
            <w:r>
              <w:t>15</w:t>
            </w:r>
          </w:p>
        </w:tc>
        <w:tc>
          <w:tcPr>
            <w:tcW w:type="dxa" w:w="1234"/>
          </w:tcPr>
          <w:p>
            <w:r>
              <w:t>6876 (+-1463)</w:t>
            </w:r>
          </w:p>
        </w:tc>
        <w:tc>
          <w:tcPr>
            <w:tcW w:type="dxa" w:w="1234"/>
          </w:tcPr>
          <w:p>
            <w:r>
              <w:t>98.5 (+-18.5)</w:t>
            </w:r>
          </w:p>
        </w:tc>
        <w:tc>
          <w:tcPr>
            <w:tcW w:type="dxa" w:w="1234"/>
          </w:tcPr>
          <w:p>
            <w:r>
              <w:t>3.80</w:t>
            </w:r>
          </w:p>
        </w:tc>
        <w:tc>
          <w:tcPr>
            <w:tcW w:type="dxa" w:w="1234"/>
          </w:tcPr>
          <w:p>
            <w:r>
              <w:t>51.4%</w:t>
            </w:r>
          </w:p>
        </w:tc>
      </w:tr>
      <w:tr>
        <w:tc>
          <w:tcPr>
            <w:tcW w:type="dxa" w:w="1234"/>
          </w:tcPr>
          <w:p>
            <w:r>
              <w:t>中</w:t>
            </w:r>
          </w:p>
        </w:tc>
        <w:tc>
          <w:tcPr>
            <w:tcW w:type="dxa" w:w="1234"/>
          </w:tcPr>
          <w:p>
            <w:r>
              <w:t>ST</w:t>
            </w:r>
          </w:p>
        </w:tc>
        <w:tc>
          <w:tcPr>
            <w:tcW w:type="dxa" w:w="1234"/>
          </w:tcPr>
          <w:p>
            <w:r>
              <w:t>15</w:t>
            </w:r>
          </w:p>
        </w:tc>
        <w:tc>
          <w:tcPr>
            <w:tcW w:type="dxa" w:w="1234"/>
          </w:tcPr>
          <w:p>
            <w:r>
              <w:t>7893 (+-463)</w:t>
            </w:r>
          </w:p>
        </w:tc>
        <w:tc>
          <w:tcPr>
            <w:tcW w:type="dxa" w:w="1234"/>
          </w:tcPr>
          <w:p>
            <w:r>
              <w:t>113.1 (+-7.4)</w:t>
            </w:r>
          </w:p>
        </w:tc>
        <w:tc>
          <w:tcPr>
            <w:tcW w:type="dxa" w:w="1234"/>
          </w:tcPr>
          <w:p>
            <w:r>
              <w:t>4.00</w:t>
            </w:r>
          </w:p>
        </w:tc>
        <w:tc>
          <w:tcPr>
            <w:tcW w:type="dxa" w:w="1234"/>
          </w:tcPr>
          <w:p>
            <w:r>
              <w:t>54.8%</w:t>
            </w:r>
          </w:p>
        </w:tc>
      </w:tr>
      <w:tr>
        <w:tc>
          <w:tcPr>
            <w:tcW w:type="dxa" w:w="1234"/>
          </w:tcPr>
          <w:p>
            <w:r>
              <w:t>中</w:t>
            </w:r>
          </w:p>
        </w:tc>
        <w:tc>
          <w:tcPr>
            <w:tcW w:type="dxa" w:w="1234"/>
          </w:tcPr>
          <w:p>
            <w:r>
              <w:t>AOM-DT</w:t>
            </w:r>
          </w:p>
        </w:tc>
        <w:tc>
          <w:tcPr>
            <w:tcW w:type="dxa" w:w="1234"/>
          </w:tcPr>
          <w:p>
            <w:r>
              <w:t>15</w:t>
            </w:r>
          </w:p>
        </w:tc>
        <w:tc>
          <w:tcPr>
            <w:tcW w:type="dxa" w:w="1234"/>
          </w:tcPr>
          <w:p>
            <w:r>
              <w:t>8757 (+-327)</w:t>
            </w:r>
          </w:p>
        </w:tc>
        <w:tc>
          <w:tcPr>
            <w:tcW w:type="dxa" w:w="1234"/>
          </w:tcPr>
          <w:p>
            <w:r>
              <w:t>120.9 (+-5.0)</w:t>
            </w:r>
          </w:p>
        </w:tc>
        <w:tc>
          <w:tcPr>
            <w:tcW w:type="dxa" w:w="1234"/>
          </w:tcPr>
          <w:p>
            <w:r>
              <w:t>4.00</w:t>
            </w:r>
          </w:p>
        </w:tc>
        <w:tc>
          <w:tcPr>
            <w:tcW w:type="dxa" w:w="1234"/>
          </w:tcPr>
          <w:p>
            <w:r>
              <w:t>55.3%</w:t>
            </w:r>
          </w:p>
        </w:tc>
      </w:tr>
      <w:tr>
        <w:tc>
          <w:tcPr>
            <w:tcW w:type="dxa" w:w="1234"/>
          </w:tcPr>
          <w:p>
            <w:r>
              <w:t>高</w:t>
            </w:r>
          </w:p>
        </w:tc>
        <w:tc>
          <w:tcPr>
            <w:tcW w:type="dxa" w:w="1234"/>
          </w:tcPr>
          <w:p>
            <w:r>
              <w:t>ST</w:t>
            </w:r>
          </w:p>
        </w:tc>
        <w:tc>
          <w:tcPr>
            <w:tcW w:type="dxa" w:w="1234"/>
          </w:tcPr>
          <w:p>
            <w:r>
              <w:t>15</w:t>
            </w:r>
          </w:p>
        </w:tc>
        <w:tc>
          <w:tcPr>
            <w:tcW w:type="dxa" w:w="1234"/>
          </w:tcPr>
          <w:p>
            <w:r>
              <w:t>8175 (+-519)</w:t>
            </w:r>
          </w:p>
        </w:tc>
        <w:tc>
          <w:tcPr>
            <w:tcW w:type="dxa" w:w="1234"/>
          </w:tcPr>
          <w:p>
            <w:r>
              <w:t>122.8 (+-5.5)</w:t>
            </w:r>
          </w:p>
        </w:tc>
        <w:tc>
          <w:tcPr>
            <w:tcW w:type="dxa" w:w="1234"/>
          </w:tcPr>
          <w:p>
            <w:r>
              <w:t>4.00</w:t>
            </w:r>
          </w:p>
        </w:tc>
        <w:tc>
          <w:tcPr>
            <w:tcW w:type="dxa" w:w="1234"/>
          </w:tcPr>
          <w:p>
            <w:r>
              <w:t>54.8%</w:t>
            </w:r>
          </w:p>
        </w:tc>
      </w:tr>
      <w:tr>
        <w:tc>
          <w:tcPr>
            <w:tcW w:type="dxa" w:w="1234"/>
          </w:tcPr>
          <w:p>
            <w:r>
              <w:t>高</w:t>
            </w:r>
          </w:p>
        </w:tc>
        <w:tc>
          <w:tcPr>
            <w:tcW w:type="dxa" w:w="1234"/>
          </w:tcPr>
          <w:p>
            <w:r>
              <w:t>AOM-DT</w:t>
            </w:r>
          </w:p>
        </w:tc>
        <w:tc>
          <w:tcPr>
            <w:tcW w:type="dxa" w:w="1234"/>
          </w:tcPr>
          <w:p>
            <w:r>
              <w:t>15</w:t>
            </w:r>
          </w:p>
        </w:tc>
        <w:tc>
          <w:tcPr>
            <w:tcW w:type="dxa" w:w="1234"/>
          </w:tcPr>
          <w:p>
            <w:r>
              <w:t>8558 (+-287)</w:t>
            </w:r>
          </w:p>
        </w:tc>
        <w:tc>
          <w:tcPr>
            <w:tcW w:type="dxa" w:w="1234"/>
          </w:tcPr>
          <w:p>
            <w:r>
              <w:t>129.2 (+-4.5)</w:t>
            </w:r>
          </w:p>
        </w:tc>
        <w:tc>
          <w:tcPr>
            <w:tcW w:type="dxa" w:w="1234"/>
          </w:tcPr>
          <w:p>
            <w:r>
              <w:t>4.00</w:t>
            </w:r>
          </w:p>
        </w:tc>
        <w:tc>
          <w:tcPr>
            <w:tcW w:type="dxa" w:w="1234"/>
          </w:tcPr>
          <w:p>
            <w:r>
              <w:t>54.3%</w:t>
            </w:r>
          </w:p>
        </w:tc>
      </w:tr>
    </w:tbl>
    <w:p/>
    <w:p>
      <w:pPr>
        <w:pStyle w:val="Heading2"/>
      </w:pPr>
      <w:r>
        <w:t>4.3 Token效率对比</w:t>
      </w:r>
    </w:p>
    <w:p>
      <w:r>
        <w:t>与我们最初的假设相反，AOM-DT在所有不确定性水平上均比ST消耗更多Token和时间：</w:t>
      </w:r>
    </w:p>
    <w:p>
      <w:r>
        <w:t>低不确定性：AOM-DT平均消耗6876 Token，ST平均消耗6533 Token（差异+5.3%）。完成时间：AOM-DT 98.5秒 vs ST 91.5秒（差异+7.6%）。</w:t>
      </w:r>
    </w:p>
    <w:p>
      <w:r>
        <w:t>中不确定性：AOM-DT平均消耗8757 Token，ST平均消耗7893 Token（差异+10.9%）。完成时间：AOM-DT 120.9秒 vs ST 113.1秒（差异+6.9%）。</w:t>
      </w:r>
    </w:p>
    <w:p>
      <w:r>
        <w:t>高不确定性：AOM-DT平均消耗8558 Token，ST平均消耗8175 Token（差异+4.7%）。完成时间：AOM-DT 129.2秒 vs ST 122.8秒（差异+5.2%）。</w:t>
      </w:r>
    </w:p>
    <w:p>
      <w:pPr>
        <w:pStyle w:val="Heading2"/>
      </w:pPr>
      <w:r>
        <w:t>4.4 各智能体Token分布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智能体</w:t>
            </w:r>
          </w:p>
        </w:tc>
        <w:tc>
          <w:tcPr>
            <w:tcW w:type="dxa" w:w="2160"/>
          </w:tcPr>
          <w:p>
            <w:r>
              <w:t>AOM-DT风格</w:t>
            </w:r>
          </w:p>
        </w:tc>
        <w:tc>
          <w:tcPr>
            <w:tcW w:type="dxa" w:w="2160"/>
          </w:tcPr>
          <w:p>
            <w:r>
              <w:t>AOM-DT平均Token</w:t>
            </w:r>
          </w:p>
        </w:tc>
        <w:tc>
          <w:tcPr>
            <w:tcW w:type="dxa" w:w="2160"/>
          </w:tcPr>
          <w:p>
            <w:r>
              <w:t>ST平均Token</w:t>
            </w:r>
          </w:p>
        </w:tc>
      </w:tr>
      <w:tr>
        <w:tc>
          <w:tcPr>
            <w:tcW w:type="dxa" w:w="2160"/>
          </w:tcPr>
          <w:p>
            <w:r>
              <w:t>新手(R=0.24)</w:t>
            </w:r>
          </w:p>
        </w:tc>
        <w:tc>
          <w:tcPr>
            <w:tcW w:type="dxa" w:w="2160"/>
          </w:tcPr>
          <w:p>
            <w:r>
              <w:t>S1 告知式</w:t>
            </w:r>
          </w:p>
        </w:tc>
        <w:tc>
          <w:tcPr>
            <w:tcW w:type="dxa" w:w="2160"/>
          </w:tcPr>
          <w:p>
            <w:r>
              <w:t>1219</w:t>
            </w:r>
          </w:p>
        </w:tc>
        <w:tc>
          <w:tcPr>
            <w:tcW w:type="dxa" w:w="2160"/>
          </w:tcPr>
          <w:p>
            <w:r>
              <w:t>1139</w:t>
            </w:r>
          </w:p>
        </w:tc>
      </w:tr>
      <w:tr>
        <w:tc>
          <w:tcPr>
            <w:tcW w:type="dxa" w:w="2160"/>
          </w:tcPr>
          <w:p>
            <w:r>
              <w:t>成长期(R=0.54)</w:t>
            </w:r>
          </w:p>
        </w:tc>
        <w:tc>
          <w:tcPr>
            <w:tcW w:type="dxa" w:w="2160"/>
          </w:tcPr>
          <w:p>
            <w:r>
              <w:t>S3 参与式</w:t>
            </w:r>
          </w:p>
        </w:tc>
        <w:tc>
          <w:tcPr>
            <w:tcW w:type="dxa" w:w="2160"/>
          </w:tcPr>
          <w:p>
            <w:r>
              <w:t>1276</w:t>
            </w:r>
          </w:p>
        </w:tc>
        <w:tc>
          <w:tcPr>
            <w:tcW w:type="dxa" w:w="2160"/>
          </w:tcPr>
          <w:p>
            <w:r>
              <w:t>1195</w:t>
            </w:r>
          </w:p>
        </w:tc>
      </w:tr>
      <w:tr>
        <w:tc>
          <w:tcPr>
            <w:tcW w:type="dxa" w:w="2160"/>
          </w:tcPr>
          <w:p>
            <w:r>
              <w:t>资深(R=0.87)</w:t>
            </w:r>
          </w:p>
        </w:tc>
        <w:tc>
          <w:tcPr>
            <w:tcW w:type="dxa" w:w="2160"/>
          </w:tcPr>
          <w:p>
            <w:r>
              <w:t>S4 授权式</w:t>
            </w:r>
          </w:p>
        </w:tc>
        <w:tc>
          <w:tcPr>
            <w:tcW w:type="dxa" w:w="2160"/>
          </w:tcPr>
          <w:p>
            <w:r>
              <w:t>1216</w:t>
            </w:r>
          </w:p>
        </w:tc>
        <w:tc>
          <w:tcPr>
            <w:tcW w:type="dxa" w:w="2160"/>
          </w:tcPr>
          <w:p>
            <w:r>
              <w:t>1156</w:t>
            </w:r>
          </w:p>
        </w:tc>
      </w:tr>
    </w:tbl>
    <w:p/>
    <w:p>
      <w:pPr>
        <w:pStyle w:val="Heading1"/>
      </w:pPr>
      <w:r>
        <w:t>5. 讨论</w:t>
      </w:r>
    </w:p>
    <w:p>
      <w:pPr>
        <w:pStyle w:val="Heading2"/>
      </w:pPr>
      <w:r>
        <w:t>5.1 关键发现</w:t>
      </w:r>
    </w:p>
    <w:p>
      <w:r>
        <w:t>1. 成功率持平：两种条件均达到100%成功率，质量相当（约3.9/5分），确认风格切换不会损害可靠性。</w:t>
      </w:r>
    </w:p>
    <w:p>
      <w:r>
        <w:t>2. 效率开销：AOM-DT多消耗7.0%的Token，多花费6.4%的时间。这归因于自主性-冗长度权衡：S3/S4风格激发有能力的智能体产生更长、更具探索性的输出。</w:t>
      </w:r>
    </w:p>
    <w:p>
      <w:r>
        <w:t>3. 协调开销相当：两种条件的协调开销均约为53-54%，确认效率差异来自工作者行为而非协调协议。</w:t>
      </w:r>
    </w:p>
    <w:p>
      <w:pPr>
        <w:pStyle w:val="Heading2"/>
      </w:pPr>
      <w:r>
        <w:t>5.1.1 版本演进与实验调和：从V1到V3</w:t>
      </w:r>
    </w:p>
    <w:p>
      <w:r>
        <w:t>本论文在三天内经历了三个版本的迭代。版本演进反映了从理论框架到实证验证、从模拟数据到真实证据的深思熟虑的推进过程。本节记录这一演进过程，调和各版本之间看似矛盾的实验发现，并从矛盾中提取更深层的洞见。</w:t>
      </w:r>
    </w:p>
    <w:p>
      <w:r>
        <w:t>表1：V1、V2、V3核心变化一览。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V1 (5月30日)</w:t>
            </w:r>
          </w:p>
        </w:tc>
        <w:tc>
          <w:tcPr>
            <w:tcW w:type="dxa" w:w="2160"/>
          </w:tcPr>
          <w:p>
            <w:r>
              <w:t>V2 (5月30日)</w:t>
            </w:r>
          </w:p>
        </w:tc>
        <w:tc>
          <w:tcPr>
            <w:tcW w:type="dxa" w:w="2160"/>
          </w:tcPr>
          <w:p>
            <w:r>
              <w:t>V3 (6月1日)</w:t>
            </w:r>
          </w:p>
        </w:tc>
      </w:tr>
      <w:tr>
        <w:tc>
          <w:tcPr>
            <w:tcW w:type="dxa" w:w="2160"/>
          </w:tcPr>
          <w:p>
            <w:r>
              <w:t>核心贡献</w:t>
            </w:r>
          </w:p>
        </w:tc>
        <w:tc>
          <w:tcPr>
            <w:tcW w:type="dxa" w:w="2160"/>
          </w:tcPr>
          <w:p>
            <w:r>
              <w:t>AOM理论框架：管理理论到Agent系统的映射</w:t>
            </w:r>
          </w:p>
        </w:tc>
        <w:tc>
          <w:tcPr>
            <w:tcW w:type="dxa" w:w="2160"/>
          </w:tcPr>
          <w:p>
            <w:r>
              <w:t>新增：相关工作定位、控制-涌现平衡猜想、实验框架、局限性分析、AOM-Lite MVP</w:t>
            </w:r>
          </w:p>
        </w:tc>
        <w:tc>
          <w:tcPr>
            <w:tcW w:type="dxa" w:w="2160"/>
          </w:tcPr>
          <w:p>
            <w:r>
              <w:t>新增：大规模真实实验(N=90)、效率分析、自主性-冗长度权衡</w:t>
            </w:r>
          </w:p>
        </w:tc>
      </w:tr>
      <w:tr>
        <w:tc>
          <w:tcPr>
            <w:tcW w:type="dxa" w:w="2160"/>
          </w:tcPr>
          <w:p>
            <w:r>
              <w:t>实验数据</w:t>
            </w:r>
          </w:p>
        </w:tc>
        <w:tc>
          <w:tcPr>
            <w:tcW w:type="dxa" w:w="2160"/>
          </w:tcPr>
          <w:p>
            <w:r>
              <w:t>无</w:t>
            </w:r>
          </w:p>
        </w:tc>
        <w:tc>
          <w:tcPr>
            <w:tcW w:type="dxa" w:w="2160"/>
          </w:tcPr>
          <w:p>
            <w:r>
              <w:t>1,900次模拟实验(计划)；60次模拟实验(执行)</w:t>
            </w:r>
          </w:p>
        </w:tc>
        <w:tc>
          <w:tcPr>
            <w:tcW w:type="dxa" w:w="2160"/>
          </w:tcPr>
          <w:p>
            <w:r>
              <w:t>90次真实LLM实验(360次API调用)</w:t>
            </w:r>
          </w:p>
        </w:tc>
      </w:tr>
      <w:tr>
        <w:tc>
          <w:tcPr>
            <w:tcW w:type="dxa" w:w="2160"/>
          </w:tcPr>
          <w:p>
            <w:r>
              <w:t>Agent配置</w:t>
            </w:r>
          </w:p>
        </w:tc>
        <w:tc>
          <w:tcPr>
            <w:tcW w:type="dxa" w:w="2160"/>
          </w:tcPr>
          <w:p>
            <w:r>
              <w:t>不适用</w:t>
            </w:r>
          </w:p>
        </w:tc>
        <w:tc>
          <w:tcPr>
            <w:tcW w:type="dxa" w:w="2160"/>
          </w:tcPr>
          <w:p>
            <w:r>
              <w:t>单一Agent(准备度=0.54)</w:t>
            </w:r>
          </w:p>
        </w:tc>
        <w:tc>
          <w:tcPr>
            <w:tcW w:type="dxa" w:w="2160"/>
          </w:tcPr>
          <w:p>
            <w:r>
              <w:t>4个异质Agent(准备度0.24-0.95)</w:t>
            </w:r>
          </w:p>
        </w:tc>
      </w:tr>
      <w:tr>
        <w:tc>
          <w:tcPr>
            <w:tcW w:type="dxa" w:w="2160"/>
          </w:tcPr>
          <w:p>
            <w:r>
              <w:t>数据来源</w:t>
            </w:r>
          </w:p>
        </w:tc>
        <w:tc>
          <w:tcPr>
            <w:tcW w:type="dxa" w:w="2160"/>
          </w:tcPr>
          <w:p>
            <w:r>
              <w:t>不适用</w:t>
            </w:r>
          </w:p>
        </w:tc>
        <w:tc>
          <w:tcPr>
            <w:tcW w:type="dxa" w:w="2160"/>
          </w:tcPr>
          <w:p>
            <w:r>
              <w:t>模拟数据(随机数生成)</w:t>
            </w:r>
          </w:p>
        </w:tc>
        <w:tc>
          <w:tcPr>
            <w:tcW w:type="dxa" w:w="2160"/>
          </w:tcPr>
          <w:p>
            <w:r>
              <w:t>真实LLM API(MiMo-v2.5-pro)</w:t>
            </w:r>
          </w:p>
        </w:tc>
      </w:tr>
      <w:tr>
        <w:tc>
          <w:tcPr>
            <w:tcW w:type="dxa" w:w="2160"/>
          </w:tcPr>
          <w:p>
            <w:r>
              <w:t>实验发现</w:t>
            </w:r>
          </w:p>
        </w:tc>
        <w:tc>
          <w:tcPr>
            <w:tcW w:type="dxa" w:w="2160"/>
          </w:tcPr>
          <w:p>
            <w:r>
              <w:t>不适用</w:t>
            </w:r>
          </w:p>
        </w:tc>
        <w:tc>
          <w:tcPr>
            <w:tcW w:type="dxa" w:w="2160"/>
          </w:tcPr>
          <w:p>
            <w:r>
              <w:t>AOM-DT节省16% Token，快20%</w:t>
            </w:r>
          </w:p>
        </w:tc>
        <w:tc>
          <w:tcPr>
            <w:tcW w:type="dxa" w:w="2160"/>
          </w:tcPr>
          <w:p>
            <w:r>
              <w:t>AOM-DT多消耗7% Token，慢6.4%</w:t>
            </w:r>
          </w:p>
        </w:tc>
      </w:tr>
      <w:tr>
        <w:tc>
          <w:tcPr>
            <w:tcW w:type="dxa" w:w="2160"/>
          </w:tcPr>
          <w:p>
            <w:r>
              <w:t>诚实程度</w:t>
            </w:r>
          </w:p>
        </w:tc>
        <w:tc>
          <w:tcPr>
            <w:tcW w:type="dxa" w:w="2160"/>
          </w:tcPr>
          <w:p>
            <w:r>
              <w:t>纯理论，未声称实证验证</w:t>
            </w:r>
          </w:p>
        </w:tc>
        <w:tc>
          <w:tcPr>
            <w:tcW w:type="dxa" w:w="2160"/>
          </w:tcPr>
          <w:p>
            <w:r>
              <w:t>承认模拟局限性</w:t>
            </w:r>
          </w:p>
        </w:tc>
        <w:tc>
          <w:tcPr>
            <w:tcW w:type="dxa" w:w="2160"/>
          </w:tcPr>
          <w:p>
            <w:r>
              <w:t>透明报告反直觉发现</w:t>
            </w:r>
          </w:p>
        </w:tc>
      </w:tr>
      <w:tr>
        <w:tc>
          <w:tcPr>
            <w:tcW w:type="dxa" w:w="2160"/>
          </w:tcPr>
          <w:p>
            <w:r>
              <w:t>版本号</w:t>
            </w:r>
          </w:p>
        </w:tc>
        <w:tc>
          <w:tcPr>
            <w:tcW w:type="dxa" w:w="2160"/>
          </w:tcPr>
          <w:p>
            <w:r>
              <w:t>v1.0</w:t>
            </w:r>
          </w:p>
        </w:tc>
        <w:tc>
          <w:tcPr>
            <w:tcW w:type="dxa" w:w="2160"/>
          </w:tcPr>
          <w:p>
            <w:r>
              <w:t>v2.0</w:t>
            </w:r>
          </w:p>
        </w:tc>
        <w:tc>
          <w:tcPr>
            <w:tcW w:type="dxa" w:w="2160"/>
          </w:tcPr>
          <w:p>
            <w:r>
              <w:t>v3.0</w:t>
            </w:r>
          </w:p>
        </w:tc>
      </w:tr>
    </w:tbl>
    <w:p/>
    <w:p>
      <w:r>
        <w:t>这一演进最引人注目的特征是实验结论的反转：V2报告AOM-DT更高效（-16% Token），V3报告其效率更低（+7% Token）。这不是矛盾——而是两个实验之间根本性方法论差异的结果。</w:t>
      </w:r>
    </w:p>
    <w:p>
      <w:pPr>
        <w:pStyle w:val="Heading3"/>
      </w:pPr>
      <w:r>
        <w:t>V2与V3的方法论差异</w:t>
      </w:r>
    </w:p>
    <w:p>
      <w:r>
        <w:t>V2和V3实验在五个关键维度上存在差异，每个差异都对分歧的发现有所贡献：</w:t>
      </w:r>
    </w:p>
    <w:p>
      <w:r>
        <w:t>1. 数据真实性。V2使用模拟数据：执行时间和Token消耗由预定义范围内的随机数生成器产生，而非实际LLM调用。V3使用MiMo-v2.5-pro的真实API调用，捕获了生产级LLM的实际行为。V2的模拟隐含地假设Token消耗与指令长度成正比——这是一个合理的工程启发式，但未能捕获LLM在高自主性提示下涌现出的冗长行为。</w:t>
      </w:r>
    </w:p>
    <w:p>
      <w:r>
        <w:t>2. Agent同质性 vs. 异质性。V2测试了单一Agent（准备度0.54）。在AOM-DT条件下，该Agent接收S3（参与式）风格；在ST条件下，接收S1（告知式）。全部效率差异归因于单一Agent类型的S3 vs. S1比较。V3测试了四个覆盖完整准备度谱系（0.24-0.95）的Agent，AOM-DT为新手分配S1、为成长期Agent分配S3、为资深Agent分配S4。因此V3的效率比较是三种不同风格分配的加权平均，而非单一配对比较。</w:t>
      </w:r>
    </w:p>
    <w:p>
      <w:r>
        <w:t>3. 协调架构。V2是单Agent实验——每个Agent独立执行任务。V3采用多Agent协调架构：一个协调者Agent分解任务并分配子任务，三个工作者并行执行，协调者整合最终输出。这引入了V2中不存在的协调开销（约占总Token的54%），更接近真实世界的多Agent部署场景。</w:t>
      </w:r>
    </w:p>
    <w:p>
      <w:r>
        <w:t>4. 任务设计。V2使用15个带有模拟描述的任务；V3使用9个具有真实领域特征的任务（如"设计一套基于多Agent协作的在线教育平台架构"）。V3中更真实的任务激发LLM产生更实质性的回复，放大了不同风格之间的冗长度差异。</w:t>
      </w:r>
    </w:p>
    <w:p>
      <w:r>
        <w:t>5. 样本量与重复次数。V2每条件重复2次（N=60）；V3每条件重复5次（N=90）。V3更大的样本量提供了更强的统计检验力和更稳定的估计。</w:t>
      </w:r>
    </w:p>
    <w:p>
      <w:pPr>
        <w:pStyle w:val="Heading3"/>
      </w:pPr>
      <w:r>
        <w:t>效率反转的根因</w:t>
      </w:r>
    </w:p>
    <w:p>
      <w:r>
        <w:t>效率反转植根于模拟行为与真实LLM行为之间一个根本性的差异：在模拟中，Token消耗被建模为与指令详细程度成正比——更简要的指令（S3/S4）消耗更少Token。在现实中，LLM表现出相反的行为：高自主性指令会激发更冗长、更具探索性的输出。我们将此称为"自主性-冗长度权衡"。</w:t>
      </w:r>
    </w:p>
    <w:p>
      <w:r>
        <w:t>在V2的模拟中，S3（参与式）提示比S1（告知式）提示更短，且模拟输出长度从固定的随机范围中抽取，与风格无关。结果不可避免：更短的输入 + 相同的输出 = 更少的总Token。在V3的真实实验中，S3/S4提示确实更短，但LLM以成比例的更长输出作为回应——更多推理、更多探索、更多阐述——因为提示信号表明期望自主、深入的回复。各工作者的Token数据证实了这一点：在AOM-DT条件下，接收S3和S4的工作者B和C分别比ST条件下（全部接收S1）多消耗6.8%和5.2%的Token，尽管接收到的指令更短。</w:t>
      </w:r>
    </w:p>
    <w:p>
      <w:pPr>
        <w:pStyle w:val="Heading3"/>
      </w:pPr>
      <w:r>
        <w:t>调和：不是矛盾，而是深化</w:t>
      </w:r>
    </w:p>
    <w:p>
      <w:r>
        <w:t>V2和V3的发现并不矛盾——它们是互补的，各自照亮了同一现象的不同侧面：</w:t>
      </w:r>
    </w:p>
    <w:p>
      <w:r>
        <w:t>V2证明了，原则上，当系统被建模为理想化的信息通道时，自适应风格匹配可以减少沟通开销。这验证了AOM的理论前提：风格自适应协调在结构上优于统一协调。</w:t>
      </w:r>
    </w:p>
    <w:p>
      <w:r>
        <w:t>V3证明了，在实践中，真实LLM引入了一个行为混淆因素——自主性-冗长度权衡——它可以反转理论预测的效率收益。这并不否定理论；它识别出了理论在实践中得以实现所必须解决的具体机制（LLM冗长度校准）。</w:t>
      </w:r>
    </w:p>
    <w:p>
      <w:r>
        <w:t>两个实验共同揭示了一个更深层的规律：基于LLM的多智能体系统中，自适应协调的效率不仅取决于指令风格与Agent能力的匹配程度，还取决于LLM将输出冗长度校准到指令自主性水平的能力。当这种校准完美时（如V2的理想化模拟），自适应协调严格更高效。当这种校准缺失时（如当前LLM），自适应协调以效率换取适应性。</w:t>
      </w:r>
    </w:p>
    <w:p>
      <w:pPr>
        <w:pStyle w:val="Heading3"/>
      </w:pPr>
      <w:r>
        <w:t>V3揭示了V2无法发现的三个事实</w:t>
      </w:r>
    </w:p>
    <w:p>
      <w:r>
        <w:t>1. 自主性-冗长度权衡是当前LLM的行为特性，而非AOM框架的设计缺陷。这只能在真实实验中观察到，模拟无法发现。</w:t>
      </w:r>
    </w:p>
    <w:p>
      <w:r>
        <w:t>2. 协调开销相当可观（约占总Token的54%）且在两种条件间可比。这意味着多Agent协调协议本身不是效率差异的来源——工作者行为才是。</w:t>
      </w:r>
    </w:p>
    <w:p>
      <w:r>
        <w:t>3. 成功率和质量在两种条件下都是稳健的。ST和AOM-DT均达到100%成功率和约3.9/5的质量。这表明AOM-DT的主要价值在于适应性和鲁棒性，而非Token效率——这一重新定位只有在真实性能数据否定了效率假说之后才变得可见。</w:t>
      </w:r>
    </w:p>
    <w:p>
      <w:pPr>
        <w:pStyle w:val="Heading3"/>
      </w:pPr>
      <w:r>
        <w:t>未解决的问题</w:t>
      </w:r>
    </w:p>
    <w:p>
      <w:r>
        <w:t>尽管从V1到V3取得了进展，仍有若干问题未获解决：</w:t>
      </w:r>
    </w:p>
    <w:p>
      <w:r>
        <w:t>1. 在S3/S4提示中加入输出长度约束能否恢复理论预测的效率收益？V3识别了问题（冗长度），但未测试解决方案（显式长度约束）。这是最高优先级的后续工作。</w:t>
      </w:r>
    </w:p>
    <w:p>
      <w:r>
        <w:t>2. AOM-DT的适应性优势是否在更难的条件下显现？V3中所有任务都在所有Agent的能力范围内。风格自适应协调的价值可能只在任务难到风格不匹配会导致失败时才显现——这一条件尚未被测试。</w:t>
      </w:r>
    </w:p>
    <w:p>
      <w:r>
        <w:t>3. 真正不同的Agent模型（而非同一模型的不同提示词变体）对风格切换的响应如何？V3的"异质"Agent全部是使用不同系统提示词的MiMo-v2.5-pro。真正的异质性可能产生不同的动态。</w:t>
      </w:r>
    </w:p>
    <w:p>
      <w:r>
        <w:t>4. 不同任务类型的最优gamma（准备度权重）是多少？V2的理论框架提出了gamma-任务耦合假说，但V2和V3均未实验验证。</w:t>
      </w:r>
    </w:p>
    <w:p>
      <w:pPr>
        <w:pStyle w:val="Heading2"/>
      </w:pPr>
      <w:r>
        <w:t>5.2 自主性-冗长度权衡</w:t>
      </w:r>
    </w:p>
    <w:p>
      <w:r>
        <w:t>本实验的核心发现是"自主性-冗长度权衡"：当基于LLM的智能体接收到高自主性指令（S3参与式、S4授权式）时，相比接收到详细指令（S1告知式），它们会产生更冗长、更具探索性的输出。这是当前LLM的行为特性，而非AOM框架的缺陷。</w:t>
      </w:r>
    </w:p>
    <w:p>
      <w:r>
        <w:t>在人类管理中，授权给有能力的员工通常会减少沟通开销，因为人类可以根据情境调节输出长度。当前的LLM缺乏这种校准能力——它们倾向于用更多文本来"填充"自主性空间。这表明，有效的AOM实现需要：（1）在S3/S4提示词中加入输出长度约束；（2）使用能更好校准冗长度与指令风格关系的LLM。</w:t>
      </w:r>
    </w:p>
    <w:p>
      <w:pPr>
        <w:pStyle w:val="Heading2"/>
      </w:pPr>
      <w:r>
        <w:t>5.3 对多智能体系统设计的启示</w:t>
      </w:r>
    </w:p>
    <w:p>
      <w:r>
        <w:t>1. 统一协调是有效的：对于所有智能体能力范围内的任务，固定的S1告知式风格出人意料地有效且Token高效。对于常规任务，自适应协调的额外开销可能并不合理。</w:t>
      </w:r>
    </w:p>
    <w:p>
      <w:r>
        <w:t>2. 自适应协调的价值超越效率：AOM-DT的优势在于优雅地处理异质能力和新情境。它的价值在边界处显现——当任务足够难以至于风格不匹配导致失败时。</w:t>
      </w:r>
    </w:p>
    <w:p>
      <w:r>
        <w:t>3. LLM冗长度校准很重要：当前LLM不会根据指令自主性调节输出长度。未来的AOM实现应在高自主性风格中显式约束输出长度以恢复效率收益。</w:t>
      </w:r>
    </w:p>
    <w:p>
      <w:pPr>
        <w:pStyle w:val="Heading1"/>
      </w:pPr>
      <w:r>
        <w:t>6. 局限性</w:t>
      </w:r>
    </w:p>
    <w:p>
      <w:r>
        <w:t>1. 单一模型：所有实验使用MiMo-v2.5-pro，结果可能因不同LLM而异。</w:t>
        <w:br/>
        <w:t>2. 启发式质量评估：质量评分基于输出特征而非人工评估，可能引入偏差。</w:t>
        <w:br/>
        <w:t>3. 模拟异质性：智能体能力通过提示词工程模拟，而非使用真正不同的模型。</w:t>
        <w:br/>
        <w:t>4. 任务范围：9个任务可能无法代表多智能体任务的完整空间。</w:t>
        <w:br/>
        <w:t>5. 缺乏人工评估：自动化指标可能遗漏细微的质量差异。</w:t>
      </w:r>
    </w:p>
    <w:p>
      <w:pPr>
        <w:pStyle w:val="Heading1"/>
      </w:pPr>
      <w:r>
        <w:t>7. 结论</w:t>
      </w:r>
    </w:p>
    <w:p>
      <w:r>
        <w:t>本V3大规模实验（N=90）提供了关于多智能体系统中动态领导风格切换成本与收益的稳健、诚实的证据。虽然AOM-DT达到了与ST相当的成功率和质量，但它多消耗了7.0%的Token，多花费了6.4%的时间。我们将此识别为"自主性-冗长度权衡"——当前LLM的一个行为特性。</w:t>
      </w:r>
    </w:p>
    <w:p>
      <w:r>
        <w:t>这一发现并不否定AOM框架。相反，它凸显了情境领导在多智能体系统中的价值在于适应性和鲁棒性，而非Token效率。未来的实现应纳入输出长度约束，并探索能更好校准冗长度与指令风格关系的LLM。</w:t>
      </w:r>
    </w:p>
    <w:p>
      <w:r>
        <w:t>未来工作应：（1）使用真正异质的智能体模型进行测试；（2）在S3/S4提示词中加入显式输出长度约束；（3）引入人工评估输出质量；（4）探索动态切换影响成功率的更难任务；（5）整合其他AOM模块（MBO、注意力预算）以产生复合效应。</w:t>
      </w:r>
    </w:p>
    <w:p>
      <w:pPr>
        <w:pStyle w:val="Heading1"/>
      </w:pPr>
      <w:r>
        <w:t>参考文献</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(1979). The Structuring of Organizations. Prentice Hall.</w:t>
      </w:r>
    </w:p>
    <w:p>
      <w:pPr>
        <w:pStyle w:val="ListNumber"/>
      </w:pPr>
      <w:r>
        <w:t>Drucker, P. F. (1954). The Practice of Management. Harper &amp; Row.</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