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智能体组织管理学</w:t>
      </w:r>
    </w:p>
    <w:p>
      <w:pPr>
        <w:jc w:val="center"/>
      </w:pPr>
      <w:r>
        <w:rPr>
          <w:b/>
          <w:sz w:val="32"/>
        </w:rPr>
        <w:t>从管理理论到多智能体系统设计</w:t>
      </w:r>
    </w:p>
    <w:p>
      <w:pPr>
        <w:jc w:val="center"/>
      </w:pPr>
      <w:r>
        <w:rPr>
          <w:color w:val="666666"/>
          <w:sz w:val="26"/>
        </w:rPr>
        <w:t>V3.0 — 大规模效率实验与诚实发现</w:t>
      </w:r>
    </w:p>
    <w:p>
      <w:pPr>
        <w:jc w:val="center"/>
      </w:pPr>
      <w:r>
        <w:rPr>
          <w:sz w:val="22"/>
        </w:rPr>
        <w:t>江皓然</w:t>
        <w:br/>
        <w:t>华南理工大学 软件工程+工商管理双学位</w:t>
        <w:br/>
        <w:t>2026年6月1日</w:t>
      </w:r>
    </w:p>
    <w:p>
      <w:r>
        <w:br w:type="page"/>
      </w:r>
    </w:p>
    <w:p>
      <w:pPr>
        <w:pStyle w:val="Heading1"/>
      </w:pPr>
      <w:r>
        <w:t>摘要</w:t>
      </w:r>
    </w:p>
    <w:p>
      <w:r>
        <w:t>本文报告了一项大规模实证研究（N=90），系统比较了基于智能体组织管理学的动态拓扑方案（AOM-DT）与静态拓扑方案（ST）在多智能体任务执行中的表现。实验采用4个异质智能体（准备度0.24–0.95）、9个跨3个不确定性水平的任务、每条件5次重复，聚焦于效率指标——Token消耗与完成时间。</w:t>
      </w:r>
    </w:p>
    <w:p>
      <w:r>
        <w:t>结果显示，两种条件均达到100%成功率，输出质量相当（约3.9/5分）。然而，AOM-DT比ST多消耗7.0%的Token，完成时间增加6.4%。我们将此归因于"自主性-冗长度权衡"：高自主性风格（S3/S4）会激发有能力的智能体产生更长、更具探索性的输出，从而增加了工作者和整合阶段的Token成本。</w:t>
      </w:r>
    </w:p>
    <w:p>
      <w:r>
        <w:t>这一发现揭示了多智能体协调中的一个根本性张力：将指令风格与智能体能力相匹配虽然提高了适应性，但当大语言模型的输出冗长度与自主性水平正相关时，可能会降低Token效率。</w:t>
      </w:r>
    </w:p>
    <w:p>
      <w:pPr>
        <w:pStyle w:val="Heading1"/>
      </w:pPr>
      <w:r>
        <w:t>1. 引言</w:t>
      </w:r>
    </w:p>
    <w:p>
      <w:pPr>
        <w:pStyle w:val="Heading2"/>
      </w:pPr>
      <w:r>
        <w:t>1.1 研究背景</w:t>
      </w:r>
    </w:p>
    <w:p>
      <w:r>
        <w:t>当人工智能代理（AI Agent）从孤立的工具演化为"数字员工"时，管理它们的最优解不再是编程，而是管理学本身。当前主流的多智能体框架（如AutoGen、CrewAI、LangGraph）普遍存在"管理真空"——协作流程以静态拓扑硬编码，缺乏权变响应能力。</w:t>
      </w:r>
    </w:p>
    <w:p>
      <w:r>
        <w:t>本文首次系统性地提出并界定一个全新的交叉学科领域——智能体组织管理学（Agent Organizational Management, AOM）。核心主张是：管理学百年来关于组织结构、领导力、激励机制的智慧，能被精确地"编译"为多智能体系统的原生协作协议。</w:t>
      </w:r>
    </w:p>
    <w:p>
      <w:pPr>
        <w:pStyle w:val="Heading2"/>
      </w:pPr>
      <w:r>
        <w:t>1.2 研究动机</w:t>
      </w:r>
    </w:p>
    <w:p>
      <w:r>
        <w:t>管理学长期被视为"无用学科"。然而，当Agent成为我们的"数字员工"时，适用于人类员工的管理学理论——法约尔的14项原则、韦伯的科层制、赫塞-布兰查德的情境领导——是否可以套用在Agent之上？本文给出了肯定的回答，并构建了完整的映射框架。</w:t>
      </w:r>
    </w:p>
    <w:p>
      <w:pPr>
        <w:pStyle w:val="Heading2"/>
      </w:pPr>
      <w:r>
        <w:t>1.3 本文贡献</w:t>
      </w:r>
    </w:p>
    <w:p>
      <w:r>
        <w:t>（1）首次提出智能体组织管理学（AOM）的完整概念与研究纲领；（2）将经典管理理论精确映射为Agent拓扑设计、动态控制逻辑和目标函数；（3）提出双向赋能路径：用Agent仿真作为管理学的"粒子对撞机"；（4）通过大规模真实实验（N=90）提供诚实的实证证据。</w:t>
      </w:r>
    </w:p>
    <w:p>
      <w:pPr>
        <w:pStyle w:val="Heading2"/>
      </w:pPr>
      <w:r>
        <w:t>1.4 相关工作</w:t>
      </w:r>
    </w:p>
    <w:p>
      <w:r>
        <w:t>AOM框架的提出并非凭空而起，而是站在多个相邻领域的肩膀上。本节厘清AOM与这些领域的边界和交叉，以精确界定其学术贡献的生态位。</w:t>
      </w:r>
    </w:p>
    <w:p>
      <w:r>
        <w:t>计算组织理论（COT）使用计算模型模拟和理解组织行为（Carley &amp; Prietula, 1994），是描述性的——解释人类组织"为何如此"；AOM是规范性的——指导Agent组织"应当如何"。MARL中的角色发现研究Agent如何在交互中自动涌现角色分工（Wang et al., 2020），是自下而上的；AOM的角色设计是自上而下的——从管理理论出发预设全局结构。两者互补。AI对齐中的可扩展监督关注安全性（Leike et al., 2018），AOM关注效能。组织网络分析（ONA）分析已存在的网络结构（Borgatti et al., 2009），AOM设计新的网络结构。</w:t>
      </w:r>
    </w:p>
    <w:p>
      <w:pPr>
        <w:pStyle w:val="Heading2"/>
      </w:pPr>
      <w:r>
        <w:t>1.5 智能体组织治理</w:t>
      </w:r>
    </w:p>
    <w:p>
      <w:r>
        <w:t>2026年4月，清华大学发布了《智能体管理学：从模型能力到组织操作系统》报告，提出了涵盖战略层、流程层、权限层、监督层等八层的智能体管理框架，并引入了"编排债"（orchestration debt，指因快速堆叠Agent调用而积累的维护成本）和"监督带宽"（supervision bandwidth，指人类管理者在单位时间内可有效监督的Agent行为量）等原创概念。同月，CSDN产业观察专栏发表了《当AI成为组织的一线员工：智能体管理学是什么，以及为什么重要》，从组织运营视角讨论了智能体的部署、监控、审计和ROI评估。这些工作标志着"智能体需要被管理"这一共识正在产业界和学术界形成。</w:t>
      </w:r>
    </w:p>
    <w:p>
      <w:r>
        <w:t>然而，现有工作聚焦于组织治理层——智能体在业务流程中的制度设计、权限控制和绩效评估。本文的AOM框架聚焦于协作工程层——智能体之间的任务分解、结构设计、领导风格和激励机制。两者互补：组织治理层回答"AI员工怎么管"的制度问题，协作工程层回答"AI团队内部怎么配合最高效"的算法问题。AOM是智能体管理体系中尚未被系统开垦的工程维度。</w:t>
      </w:r>
    </w:p>
    <w:p>
      <w:pPr>
        <w:pStyle w:val="Heading1"/>
      </w:pPr>
      <w:r>
        <w:t>2. 理论框架</w:t>
      </w:r>
    </w:p>
    <w:p>
      <w:pPr>
        <w:pStyle w:val="Heading2"/>
      </w:pPr>
      <w:r>
        <w:t>2.1 组织结构映射</w:t>
      </w:r>
    </w:p>
    <w:p>
      <w:r>
        <w:t>韦伯的科层制理论强调分工、层级和规则的标准化。在多智能体系统中，这对应于固定的角色分配、严格的通信协议和预定义的任务流转规则。明茨伯格的构型理论进一步提供了五种组织形式（简单结构、机器科层制、专业科层制、事业部制、专案制），每种形式适用于不同的任务特征和环境不确定性水平。</w:t>
      </w:r>
    </w:p>
    <w:p>
      <w:r>
        <w:t>本文提出基于明茨伯格构型理论的动态组织切换机制：根据任务不确定性水平，系统自动选择最优的组织构型。具体而言，低不确定性任务采用机器科层制（流水线式协作），中等不确定性任务采用专案制（动态组队），高不确定性任务退化为简单结构（单Agent+工具）。</w:t>
      </w:r>
    </w:p>
    <w:p>
      <w:pPr>
        <w:pStyle w:val="Heading2"/>
      </w:pPr>
      <w:r>
        <w:t>2.2 情境领导动态切换</w:t>
      </w:r>
    </w:p>
    <w:p>
      <w:r>
        <w:t>赫塞-布兰查德的情境领导理论认为，有效的领导风格取决于下属的"准备度"——即能力和意愿的组合。该理论定义了四种领导风格：</w:t>
      </w:r>
    </w:p>
    <w:p>
      <w:r>
        <w:t>S1（告知式）：高任务行为、低关系行为，适用于低准备度的下属；S2（推销式）：高任务行为、高关系行为，适用于中低准备度的下属；S3（参与式）：低任务行为、高关系行为，适用于中高准备度的下属；S4（授权式）：低任务行为、低关系行为，适用于高准备度的下属。</w:t>
      </w:r>
    </w:p>
    <w:p>
      <w:r>
        <w:t>在AOM框架中，我们将Agent准备度操作化为：</w:t>
      </w:r>
    </w:p>
    <w:p>
      <w:r>
        <w:t>RS = γ × HTSR + (1-γ) × Conf</w:t>
      </w:r>
    </w:p>
    <w:p>
      <w:r>
        <w:t>其中HTSR为历史任务成功率（能力代理变量），Conf为模型置信度（意愿代理变量），γ为权重参数（默认0.6）。根据准备度分数和预设阈值，系统自动选择S1-S4领导风格，并动态调整对每个Agent的指令详细程度和自主性水平。</w:t>
      </w:r>
    </w:p>
    <w:p>
      <w:pPr>
        <w:pStyle w:val="Heading2"/>
      </w:pPr>
      <w:r>
        <w:t>2.3 目标管理与激励机制</w:t>
      </w:r>
    </w:p>
    <w:p>
      <w:r>
        <w:t>德鲁克的目标管理（MBO）理论强调目标的SMART原则（具体、可衡量、可达成、相关、有时限）。在AOM框架中，这对应于将高层目标分解为可执行的子目标，每个子目标都有明确的验收标准。弗鲁姆的期望理论则关注激励的力量等于期望值与效价的乘积，在Agent系统中这可以转化为注意力分配机制——为不同任务分配不同的计算资源优先级。</w:t>
      </w:r>
    </w:p>
    <w:p>
      <w:pPr>
        <w:pStyle w:val="Heading2"/>
      </w:pPr>
      <w:r>
        <w:t>2.4 控制-涌现平衡猜想</w:t>
      </w:r>
    </w:p>
    <w:p>
      <w:r>
        <w:t>在将管理理论工程化映射至Agent系统的过程中，我们观察到一个核心张力：过度管理（高MI）会抑制Agent的自组织能力和创造性涌现，而管理不足（低MI）则导致协调混乱和资源浪费。基于此，我们提出"控制-涌现平衡猜想"：</w:t>
      </w:r>
    </w:p>
    <w:p>
      <w:r>
        <w:t>对于给定的任务复杂度C和Agent异质性H，存在最优管理强度MI*(C, H)使得系统效能最大化。MI*具有以下性质：（1）MI*关于C单调递减（复杂任务需要更多涌现空间）；（2）MI*关于H单调递增（异质团队需要更强协调）；（3）MI*始终位于(0,1)区间内，既非完全控制也非完全涌现。</w:t>
      </w:r>
    </w:p>
    <w:p>
      <w:r>
        <w:t>通过数值模拟（50×50网格搜索），我们验证了上述三个性质在假设效能函数下均成立。MI*与C的相关系数为-0.98（强负相关），与H的相关系数为+0.98（强正相关），且MI*的范围为[0.05, 0.95]，始终位于(0,1)开区间内。</w:t>
      </w:r>
    </w:p>
    <w:p>
      <w:pPr>
        <w:pStyle w:val="Heading1"/>
      </w:pPr>
      <w:r>
        <w:t>3. 实验设计</w:t>
      </w:r>
    </w:p>
    <w:p>
      <w:pPr>
        <w:pStyle w:val="Heading2"/>
      </w:pPr>
      <w:r>
        <w:t>3.1 实验目标</w:t>
      </w:r>
    </w:p>
    <w:p>
      <w:r>
        <w:t>本实验旨在对AOM框架的核心主张进行实证检验：基于情境领导理论的动态组织拓扑（AOM-DT）是否优于静态硬编码拓扑（ST）？与V2实验（N=60，单一Agent配置）相比，V3实验解决了三个关键局限：（1）智能体异质性——测试4个跨完整准备度谱系的Agent；（2）统计检验力——每条件5次重复而非2次；（3）效率聚焦——系统性测量Token消耗、完成时间和协调开销。</w:t>
      </w:r>
    </w:p>
    <w:p>
      <w:pPr>
        <w:pStyle w:val="Heading2"/>
      </w:pPr>
      <w:r>
        <w:t>3.2 智能体配置</w:t>
      </w:r>
    </w:p>
    <w:p>
      <w:r>
        <w:t>我们设计了4个异质智能体，覆盖完整的准备度谱系：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智能体</w:t>
            </w:r>
          </w:p>
        </w:tc>
        <w:tc>
          <w:tcPr>
            <w:tcW w:type="dxa" w:w="1728"/>
          </w:tcPr>
          <w:p>
            <w:r>
              <w:t>历史成功率</w:t>
            </w:r>
          </w:p>
        </w:tc>
        <w:tc>
          <w:tcPr>
            <w:tcW w:type="dxa" w:w="1728"/>
          </w:tcPr>
          <w:p>
            <w:r>
              <w:t>置信度</w:t>
            </w:r>
          </w:p>
        </w:tc>
        <w:tc>
          <w:tcPr>
            <w:tcW w:type="dxa" w:w="1728"/>
          </w:tcPr>
          <w:p>
            <w:r>
              <w:t>准备度</w:t>
            </w:r>
          </w:p>
        </w:tc>
        <w:tc>
          <w:tcPr>
            <w:tcW w:type="dxa" w:w="1728"/>
          </w:tcPr>
          <w:p>
            <w:r>
              <w:t>AOM-DT风格</w:t>
            </w:r>
          </w:p>
        </w:tc>
      </w:tr>
      <w:tr>
        <w:tc>
          <w:tcPr>
            <w:tcW w:type="dxa" w:w="1728"/>
          </w:tcPr>
          <w:p>
            <w:r>
              <w:t>A（新手）</w:t>
            </w:r>
          </w:p>
        </w:tc>
        <w:tc>
          <w:tcPr>
            <w:tcW w:type="dxa" w:w="1728"/>
          </w:tcPr>
          <w:p>
            <w:r>
              <w:t>0.20</w:t>
            </w:r>
          </w:p>
        </w:tc>
        <w:tc>
          <w:tcPr>
            <w:tcW w:type="dxa" w:w="1728"/>
          </w:tcPr>
          <w:p>
            <w:r>
              <w:t>0.30</w:t>
            </w:r>
          </w:p>
        </w:tc>
        <w:tc>
          <w:tcPr>
            <w:tcW w:type="dxa" w:w="1728"/>
          </w:tcPr>
          <w:p>
            <w:r>
              <w:t>0.24</w:t>
            </w:r>
          </w:p>
        </w:tc>
        <w:tc>
          <w:tcPr>
            <w:tcW w:type="dxa" w:w="1728"/>
          </w:tcPr>
          <w:p>
            <w:r>
              <w:t>S1 告知式</w:t>
            </w:r>
          </w:p>
        </w:tc>
      </w:tr>
      <w:tr>
        <w:tc>
          <w:tcPr>
            <w:tcW w:type="dxa" w:w="1728"/>
          </w:tcPr>
          <w:p>
            <w:r>
              <w:t>B（成长期）</w:t>
            </w:r>
          </w:p>
        </w:tc>
        <w:tc>
          <w:tcPr>
            <w:tcW w:type="dxa" w:w="1728"/>
          </w:tcPr>
          <w:p>
            <w:r>
              <w:t>0.50</w:t>
            </w:r>
          </w:p>
        </w:tc>
        <w:tc>
          <w:tcPr>
            <w:tcW w:type="dxa" w:w="1728"/>
          </w:tcPr>
          <w:p>
            <w:r>
              <w:t>0.60</w:t>
            </w:r>
          </w:p>
        </w:tc>
        <w:tc>
          <w:tcPr>
            <w:tcW w:type="dxa" w:w="1728"/>
          </w:tcPr>
          <w:p>
            <w:r>
              <w:t>0.54</w:t>
            </w:r>
          </w:p>
        </w:tc>
        <w:tc>
          <w:tcPr>
            <w:tcW w:type="dxa" w:w="1728"/>
          </w:tcPr>
          <w:p>
            <w:r>
              <w:t>S3 参与式</w:t>
            </w:r>
          </w:p>
        </w:tc>
      </w:tr>
      <w:tr>
        <w:tc>
          <w:tcPr>
            <w:tcW w:type="dxa" w:w="1728"/>
          </w:tcPr>
          <w:p>
            <w:r>
              <w:t>C（资深）</w:t>
            </w:r>
          </w:p>
        </w:tc>
        <w:tc>
          <w:tcPr>
            <w:tcW w:type="dxa" w:w="1728"/>
          </w:tcPr>
          <w:p>
            <w:r>
              <w:t>0.85</w:t>
            </w:r>
          </w:p>
        </w:tc>
        <w:tc>
          <w:tcPr>
            <w:tcW w:type="dxa" w:w="1728"/>
          </w:tcPr>
          <w:p>
            <w:r>
              <w:t>0.90</w:t>
            </w:r>
          </w:p>
        </w:tc>
        <w:tc>
          <w:tcPr>
            <w:tcW w:type="dxa" w:w="1728"/>
          </w:tcPr>
          <w:p>
            <w:r>
              <w:t>0.87</w:t>
            </w:r>
          </w:p>
        </w:tc>
        <w:tc>
          <w:tcPr>
            <w:tcW w:type="dxa" w:w="1728"/>
          </w:tcPr>
          <w:p>
            <w:r>
              <w:t>S4 授权式</w:t>
            </w:r>
          </w:p>
        </w:tc>
      </w:tr>
      <w:tr>
        <w:tc>
          <w:tcPr>
            <w:tcW w:type="dxa" w:w="1728"/>
          </w:tcPr>
          <w:p>
            <w:r>
              <w:t>D（专家/协调者）</w:t>
            </w:r>
          </w:p>
        </w:tc>
        <w:tc>
          <w:tcPr>
            <w:tcW w:type="dxa" w:w="1728"/>
          </w:tcPr>
          <w:p>
            <w:r>
              <w:t>0.95</w:t>
            </w:r>
          </w:p>
        </w:tc>
        <w:tc>
          <w:tcPr>
            <w:tcW w:type="dxa" w:w="1728"/>
          </w:tcPr>
          <w:p>
            <w:r>
              <w:t>0.95</w:t>
            </w:r>
          </w:p>
        </w:tc>
        <w:tc>
          <w:tcPr>
            <w:tcW w:type="dxa" w:w="1728"/>
          </w:tcPr>
          <w:p>
            <w:r>
              <w:t>0.95</w:t>
            </w:r>
          </w:p>
        </w:tc>
        <w:tc>
          <w:tcPr>
            <w:tcW w:type="dxa" w:w="1728"/>
          </w:tcPr>
          <w:p>
            <w:r>
              <w:t>S4 授权式</w:t>
            </w:r>
          </w:p>
        </w:tc>
      </w:tr>
    </w:tbl>
    <w:p>
      <w:r>
        <w:t>准备度 = 0.6 × HTSR + 0.4 × Confidence。Agent D在所有实验中担任协调者，负责将主任务分解为子任务并分配给工作者A、B、C。</w:t>
      </w:r>
    </w:p>
    <w:p>
      <w:pPr>
        <w:pStyle w:val="Heading2"/>
      </w:pPr>
      <w:r>
        <w:t>3.3 任务设计</w:t>
      </w:r>
    </w:p>
    <w:p>
      <w:r>
        <w:t>我们设计了9个任务，覆盖3个不确定性水平（每个水平3个任务）：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编号</w:t>
            </w:r>
          </w:p>
        </w:tc>
        <w:tc>
          <w:tcPr>
            <w:tcW w:type="dxa" w:w="2880"/>
          </w:tcPr>
          <w:p>
            <w:r>
              <w:t>不确定性</w:t>
            </w:r>
          </w:p>
        </w:tc>
        <w:tc>
          <w:tcPr>
            <w:tcW w:type="dxa" w:w="2880"/>
          </w:tcPr>
          <w:p>
            <w:r>
              <w:t>任务描述</w:t>
            </w:r>
          </w:p>
        </w:tc>
      </w:tr>
      <w:tr>
        <w:tc>
          <w:tcPr>
            <w:tcW w:type="dxa" w:w="2880"/>
          </w:tcPr>
          <w:p>
            <w:r>
              <w:t>L1</w:t>
            </w:r>
          </w:p>
        </w:tc>
        <w:tc>
          <w:tcPr>
            <w:tcW w:type="dxa" w:w="2880"/>
          </w:tcPr>
          <w:p>
            <w:r>
              <w:t>低(0.1)</w:t>
            </w:r>
          </w:p>
        </w:tc>
        <w:tc>
          <w:tcPr>
            <w:tcW w:type="dxa" w:w="2880"/>
          </w:tcPr>
          <w:p>
            <w:r>
              <w:t>2025年获得A轮融资的中国AI Agent公司有哪些？</w:t>
            </w:r>
          </w:p>
        </w:tc>
      </w:tr>
      <w:tr>
        <w:tc>
          <w:tcPr>
            <w:tcW w:type="dxa" w:w="2880"/>
          </w:tcPr>
          <w:p>
            <w:r>
              <w:t>L2</w:t>
            </w:r>
          </w:p>
        </w:tc>
        <w:tc>
          <w:tcPr>
            <w:tcW w:type="dxa" w:w="2880"/>
          </w:tcPr>
          <w:p>
            <w:r>
              <w:t>低(0.1)</w:t>
            </w:r>
          </w:p>
        </w:tc>
        <w:tc>
          <w:tcPr>
            <w:tcW w:type="dxa" w:w="2880"/>
          </w:tcPr>
          <w:p>
            <w:r>
              <w:t>Python 3.12中新增的type语句的具体语法是什么？</w:t>
            </w:r>
          </w:p>
        </w:tc>
      </w:tr>
      <w:tr>
        <w:tc>
          <w:tcPr>
            <w:tcW w:type="dxa" w:w="2880"/>
          </w:tcPr>
          <w:p>
            <w:r>
              <w:t>L3</w:t>
            </w:r>
          </w:p>
        </w:tc>
        <w:tc>
          <w:tcPr>
            <w:tcW w:type="dxa" w:w="2880"/>
          </w:tcPr>
          <w:p>
            <w:r>
              <w:t>低(0.1)</w:t>
            </w:r>
          </w:p>
        </w:tc>
        <w:tc>
          <w:tcPr>
            <w:tcW w:type="dxa" w:w="2880"/>
          </w:tcPr>
          <w:p>
            <w:r>
              <w:t>Docker和Kubernetes的区别是什么？</w:t>
            </w:r>
          </w:p>
        </w:tc>
      </w:tr>
      <w:tr>
        <w:tc>
          <w:tcPr>
            <w:tcW w:type="dxa" w:w="2880"/>
          </w:tcPr>
          <w:p>
            <w:r>
              <w:t>M1</w:t>
            </w:r>
          </w:p>
        </w:tc>
        <w:tc>
          <w:tcPr>
            <w:tcW w:type="dxa" w:w="2880"/>
          </w:tcPr>
          <w:p>
            <w:r>
              <w:t>中(0.5)</w:t>
            </w:r>
          </w:p>
        </w:tc>
        <w:tc>
          <w:tcPr>
            <w:tcW w:type="dxa" w:w="2880"/>
          </w:tcPr>
          <w:p>
            <w:r>
              <w:t>比较AutoGen和CrewAI在Agent协作设计上的主要区别</w:t>
            </w:r>
          </w:p>
        </w:tc>
      </w:tr>
      <w:tr>
        <w:tc>
          <w:tcPr>
            <w:tcW w:type="dxa" w:w="2880"/>
          </w:tcPr>
          <w:p>
            <w:r>
              <w:t>M2</w:t>
            </w:r>
          </w:p>
        </w:tc>
        <w:tc>
          <w:tcPr>
            <w:tcW w:type="dxa" w:w="2880"/>
          </w:tcPr>
          <w:p>
            <w:r>
              <w:t>中(0.5)</w:t>
            </w:r>
          </w:p>
        </w:tc>
        <w:tc>
          <w:tcPr>
            <w:tcW w:type="dxa" w:w="2880"/>
          </w:tcPr>
          <w:p>
            <w:r>
              <w:t>分析RAG技术的优缺点及其在企业知识管理中的适用场景</w:t>
            </w:r>
          </w:p>
        </w:tc>
      </w:tr>
      <w:tr>
        <w:tc>
          <w:tcPr>
            <w:tcW w:type="dxa" w:w="2880"/>
          </w:tcPr>
          <w:p>
            <w:r>
              <w:t>M3</w:t>
            </w:r>
          </w:p>
        </w:tc>
        <w:tc>
          <w:tcPr>
            <w:tcW w:type="dxa" w:w="2880"/>
          </w:tcPr>
          <w:p>
            <w:r>
              <w:t>中(0.5)</w:t>
            </w:r>
          </w:p>
        </w:tc>
        <w:tc>
          <w:tcPr>
            <w:tcW w:type="dxa" w:w="2880"/>
          </w:tcPr>
          <w:p>
            <w:r>
              <w:t>评估当前AI代码生成工具的成熟度</w:t>
            </w:r>
          </w:p>
        </w:tc>
      </w:tr>
      <w:tr>
        <w:tc>
          <w:tcPr>
            <w:tcW w:type="dxa" w:w="2880"/>
          </w:tcPr>
          <w:p>
            <w:r>
              <w:t>H1</w:t>
            </w:r>
          </w:p>
        </w:tc>
        <w:tc>
          <w:tcPr>
            <w:tcW w:type="dxa" w:w="2880"/>
          </w:tcPr>
          <w:p>
            <w:r>
              <w:t>高(0.9)</w:t>
            </w:r>
          </w:p>
        </w:tc>
        <w:tc>
          <w:tcPr>
            <w:tcW w:type="dxa" w:w="2880"/>
          </w:tcPr>
          <w:p>
            <w:r>
              <w:t>设计一套基于多Agent协作的在线教育平台架构</w:t>
            </w:r>
          </w:p>
        </w:tc>
      </w:tr>
      <w:tr>
        <w:tc>
          <w:tcPr>
            <w:tcW w:type="dxa" w:w="2880"/>
          </w:tcPr>
          <w:p>
            <w:r>
              <w:t>H2</w:t>
            </w:r>
          </w:p>
        </w:tc>
        <w:tc>
          <w:tcPr>
            <w:tcW w:type="dxa" w:w="2880"/>
          </w:tcPr>
          <w:p>
            <w:r>
              <w:t>高(0.9)</w:t>
            </w:r>
          </w:p>
        </w:tc>
        <w:tc>
          <w:tcPr>
            <w:tcW w:type="dxa" w:w="2880"/>
          </w:tcPr>
          <w:p>
            <w:r>
              <w:t>设计一个基于多Agent协作的智慧城市交通管理系统</w:t>
            </w:r>
          </w:p>
        </w:tc>
      </w:tr>
      <w:tr>
        <w:tc>
          <w:tcPr>
            <w:tcW w:type="dxa" w:w="2880"/>
          </w:tcPr>
          <w:p>
            <w:r>
              <w:t>H3</w:t>
            </w:r>
          </w:p>
        </w:tc>
        <w:tc>
          <w:tcPr>
            <w:tcW w:type="dxa" w:w="2880"/>
          </w:tcPr>
          <w:p>
            <w:r>
              <w:t>高(0.9)</w:t>
            </w:r>
          </w:p>
        </w:tc>
        <w:tc>
          <w:tcPr>
            <w:tcW w:type="dxa" w:w="2880"/>
          </w:tcPr>
          <w:p>
            <w:r>
              <w:t>提出一个AI Agent伦理治理框架</w:t>
            </w:r>
          </w:p>
        </w:tc>
      </w:tr>
    </w:tbl>
    <w:p>
      <w:pPr>
        <w:pStyle w:val="Heading2"/>
      </w:pPr>
      <w:r>
        <w:t>3.4 实验协议</w:t>
      </w:r>
    </w:p>
    <w:p>
      <w:r>
        <w:t>测试两种条件：</w:t>
        <w:br/>
        <w:t>• ST（静态拓扑）：所有工作者统一接收S1告知式风格指令，不考虑准备度差异。</w:t>
        <w:br/>
        <w:t>• AOM-DT（动态拓扑）：每个工作者接收与其准备度匹配的风格（A→S1, B→S3, C→S4）。</w:t>
      </w:r>
    </w:p>
    <w:p>
      <w:r>
        <w:t>每次实验遵循三阶段协议：</w:t>
        <w:br/>
        <w:t>1. 协调阶段：Agent D分析任务并制定子任务分配计划。</w:t>
        <w:br/>
        <w:t>2. 执行阶段：工作者A、B、C并行执行各自的子任务。</w:t>
        <w:br/>
        <w:t>3. 整合阶段：Agent D将三个工作者的输出整合为最终答案。</w:t>
      </w:r>
    </w:p>
    <w:p>
      <w:r>
        <w:t>实验规模：9任务 × 2条件 × 5次重复 = 90次实验。每次实验 = 5次LLM调用（1次协调 + 3次执行 + 1次整合），总计450次API调用。基础模型：MiMo-v2.5-pro。</w:t>
      </w:r>
    </w:p>
    <w:p>
      <w:pPr>
        <w:pStyle w:val="Heading1"/>
      </w:pPr>
      <w:r>
        <w:t>4. 实验结果</w:t>
      </w:r>
    </w:p>
    <w:p>
      <w:pPr>
        <w:pStyle w:val="Heading2"/>
      </w:pPr>
      <w:r>
        <w:t>4.1 总体性能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条件</w:t>
            </w:r>
          </w:p>
        </w:tc>
        <w:tc>
          <w:tcPr>
            <w:tcW w:type="dxa" w:w="1440"/>
          </w:tcPr>
          <w:p>
            <w:r>
              <w:t>样本数</w:t>
            </w:r>
          </w:p>
        </w:tc>
        <w:tc>
          <w:tcPr>
            <w:tcW w:type="dxa" w:w="1440"/>
          </w:tcPr>
          <w:p>
            <w:r>
              <w:t>成功率</w:t>
            </w:r>
          </w:p>
        </w:tc>
        <w:tc>
          <w:tcPr>
            <w:tcW w:type="dxa" w:w="1440"/>
          </w:tcPr>
          <w:p>
            <w:r>
              <w:t>平均Token</w:t>
            </w:r>
          </w:p>
        </w:tc>
        <w:tc>
          <w:tcPr>
            <w:tcW w:type="dxa" w:w="1440"/>
          </w:tcPr>
          <w:p>
            <w:r>
              <w:t>平均时间(秒)</w:t>
            </w:r>
          </w:p>
        </w:tc>
        <w:tc>
          <w:tcPr>
            <w:tcW w:type="dxa" w:w="1440"/>
          </w:tcPr>
          <w:p>
            <w:r>
              <w:t>平均质量</w:t>
            </w:r>
          </w:p>
        </w:tc>
      </w:tr>
      <w:tr>
        <w:tc>
          <w:tcPr>
            <w:tcW w:type="dxa" w:w="1440"/>
          </w:tcPr>
          <w:p>
            <w:r>
              <w:t>ST</w:t>
            </w:r>
          </w:p>
        </w:tc>
        <w:tc>
          <w:tcPr>
            <w:tcW w:type="dxa" w:w="1440"/>
          </w:tcPr>
          <w:p>
            <w:r>
              <w:t>45</w:t>
            </w:r>
          </w:p>
        </w:tc>
        <w:tc>
          <w:tcPr>
            <w:tcW w:type="dxa" w:w="1440"/>
          </w:tcPr>
          <w:p>
            <w:r>
              <w:t>100.0%</w:t>
            </w:r>
          </w:p>
        </w:tc>
        <w:tc>
          <w:tcPr>
            <w:tcW w:type="dxa" w:w="1440"/>
          </w:tcPr>
          <w:p>
            <w:r>
              <w:t>7534</w:t>
            </w:r>
          </w:p>
        </w:tc>
        <w:tc>
          <w:tcPr>
            <w:tcW w:type="dxa" w:w="1440"/>
          </w:tcPr>
          <w:p>
            <w:r>
              <w:t>109.1</w:t>
            </w:r>
          </w:p>
        </w:tc>
        <w:tc>
          <w:tcPr>
            <w:tcW w:type="dxa" w:w="1440"/>
          </w:tcPr>
          <w:p>
            <w:r>
              <w:t>3.91</w:t>
            </w:r>
          </w:p>
        </w:tc>
      </w:tr>
      <w:tr>
        <w:tc>
          <w:tcPr>
            <w:tcW w:type="dxa" w:w="1440"/>
          </w:tcPr>
          <w:p>
            <w:r>
              <w:t>AOM-DT</w:t>
            </w:r>
          </w:p>
        </w:tc>
        <w:tc>
          <w:tcPr>
            <w:tcW w:type="dxa" w:w="1440"/>
          </w:tcPr>
          <w:p>
            <w:r>
              <w:t>45</w:t>
            </w:r>
          </w:p>
        </w:tc>
        <w:tc>
          <w:tcPr>
            <w:tcW w:type="dxa" w:w="1440"/>
          </w:tcPr>
          <w:p>
            <w:r>
              <w:t>100.0%</w:t>
            </w:r>
          </w:p>
        </w:tc>
        <w:tc>
          <w:tcPr>
            <w:tcW w:type="dxa" w:w="1440"/>
          </w:tcPr>
          <w:p>
            <w:r>
              <w:t>8064</w:t>
            </w:r>
          </w:p>
        </w:tc>
        <w:tc>
          <w:tcPr>
            <w:tcW w:type="dxa" w:w="1440"/>
          </w:tcPr>
          <w:p>
            <w:r>
              <w:t>116.2</w:t>
            </w:r>
          </w:p>
        </w:tc>
        <w:tc>
          <w:tcPr>
            <w:tcW w:type="dxa" w:w="1440"/>
          </w:tcPr>
          <w:p>
            <w:r>
              <w:t>3.93</w:t>
            </w:r>
          </w:p>
        </w:tc>
      </w:tr>
    </w:tbl>
    <w:p/>
    <w:p>
      <w:pPr>
        <w:pStyle w:val="Heading2"/>
      </w:pPr>
      <w:r>
        <w:t>4.2 分不确定性水平效率分析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不确定性</w:t>
            </w:r>
          </w:p>
        </w:tc>
        <w:tc>
          <w:tcPr>
            <w:tcW w:type="dxa" w:w="1234"/>
          </w:tcPr>
          <w:p>
            <w:r>
              <w:t>条件</w:t>
            </w:r>
          </w:p>
        </w:tc>
        <w:tc>
          <w:tcPr>
            <w:tcW w:type="dxa" w:w="1234"/>
          </w:tcPr>
          <w:p>
            <w:r>
              <w:t>样本数</w:t>
            </w:r>
          </w:p>
        </w:tc>
        <w:tc>
          <w:tcPr>
            <w:tcW w:type="dxa" w:w="1234"/>
          </w:tcPr>
          <w:p>
            <w:r>
              <w:t>平均Token</w:t>
            </w:r>
          </w:p>
        </w:tc>
        <w:tc>
          <w:tcPr>
            <w:tcW w:type="dxa" w:w="1234"/>
          </w:tcPr>
          <w:p>
            <w:r>
              <w:t>平均时间(秒)</w:t>
            </w:r>
          </w:p>
        </w:tc>
        <w:tc>
          <w:tcPr>
            <w:tcW w:type="dxa" w:w="1234"/>
          </w:tcPr>
          <w:p>
            <w:r>
              <w:t>平均质量</w:t>
            </w:r>
          </w:p>
        </w:tc>
        <w:tc>
          <w:tcPr>
            <w:tcW w:type="dxa" w:w="1234"/>
          </w:tcPr>
          <w:p>
            <w:r>
              <w:t>协调开销</w:t>
            </w:r>
          </w:p>
        </w:tc>
      </w:tr>
      <w:tr>
        <w:tc>
          <w:tcPr>
            <w:tcW w:type="dxa" w:w="1234"/>
          </w:tcPr>
          <w:p>
            <w:r>
              <w:t>低</w:t>
            </w:r>
          </w:p>
        </w:tc>
        <w:tc>
          <w:tcPr>
            <w:tcW w:type="dxa" w:w="1234"/>
          </w:tcPr>
          <w:p>
            <w:r>
              <w:t>ST</w:t>
            </w:r>
          </w:p>
        </w:tc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>
            <w:r>
              <w:t>6533 (±1220)</w:t>
            </w:r>
          </w:p>
        </w:tc>
        <w:tc>
          <w:tcPr>
            <w:tcW w:type="dxa" w:w="1234"/>
          </w:tcPr>
          <w:p>
            <w:r>
              <w:t>91.5 (±17.4)</w:t>
            </w:r>
          </w:p>
        </w:tc>
        <w:tc>
          <w:tcPr>
            <w:tcW w:type="dxa" w:w="1234"/>
          </w:tcPr>
          <w:p>
            <w:r>
              <w:t>3.73</w:t>
            </w:r>
          </w:p>
        </w:tc>
        <w:tc>
          <w:tcPr>
            <w:tcW w:type="dxa" w:w="1234"/>
          </w:tcPr>
          <w:p>
            <w:r>
              <w:t>50.7%</w:t>
            </w:r>
          </w:p>
        </w:tc>
      </w:tr>
      <w:tr>
        <w:tc>
          <w:tcPr>
            <w:tcW w:type="dxa" w:w="1234"/>
          </w:tcPr>
          <w:p>
            <w:r>
              <w:t>低</w:t>
            </w:r>
          </w:p>
        </w:tc>
        <w:tc>
          <w:tcPr>
            <w:tcW w:type="dxa" w:w="1234"/>
          </w:tcPr>
          <w:p>
            <w:r>
              <w:t>AOM-DT</w:t>
            </w:r>
          </w:p>
        </w:tc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>
            <w:r>
              <w:t>6876 (±1463)</w:t>
            </w:r>
          </w:p>
        </w:tc>
        <w:tc>
          <w:tcPr>
            <w:tcW w:type="dxa" w:w="1234"/>
          </w:tcPr>
          <w:p>
            <w:r>
              <w:t>98.5 (±18.5)</w:t>
            </w:r>
          </w:p>
        </w:tc>
        <w:tc>
          <w:tcPr>
            <w:tcW w:type="dxa" w:w="1234"/>
          </w:tcPr>
          <w:p>
            <w:r>
              <w:t>3.80</w:t>
            </w:r>
          </w:p>
        </w:tc>
        <w:tc>
          <w:tcPr>
            <w:tcW w:type="dxa" w:w="1234"/>
          </w:tcPr>
          <w:p>
            <w:r>
              <w:t>51.4%</w:t>
            </w:r>
          </w:p>
        </w:tc>
      </w:tr>
      <w:tr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ST</w:t>
            </w:r>
          </w:p>
        </w:tc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>
            <w:r>
              <w:t>7893 (±463)</w:t>
            </w:r>
          </w:p>
        </w:tc>
        <w:tc>
          <w:tcPr>
            <w:tcW w:type="dxa" w:w="1234"/>
          </w:tcPr>
          <w:p>
            <w:r>
              <w:t>113.1 (±7.4)</w:t>
            </w:r>
          </w:p>
        </w:tc>
        <w:tc>
          <w:tcPr>
            <w:tcW w:type="dxa" w:w="1234"/>
          </w:tcPr>
          <w:p>
            <w:r>
              <w:t>4.00</w:t>
            </w:r>
          </w:p>
        </w:tc>
        <w:tc>
          <w:tcPr>
            <w:tcW w:type="dxa" w:w="1234"/>
          </w:tcPr>
          <w:p>
            <w:r>
              <w:t>54.8%</w:t>
            </w:r>
          </w:p>
        </w:tc>
      </w:tr>
      <w:tr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AOM-DT</w:t>
            </w:r>
          </w:p>
        </w:tc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>
            <w:r>
              <w:t>8757 (±327)</w:t>
            </w:r>
          </w:p>
        </w:tc>
        <w:tc>
          <w:tcPr>
            <w:tcW w:type="dxa" w:w="1234"/>
          </w:tcPr>
          <w:p>
            <w:r>
              <w:t>120.9 (±5.0)</w:t>
            </w:r>
          </w:p>
        </w:tc>
        <w:tc>
          <w:tcPr>
            <w:tcW w:type="dxa" w:w="1234"/>
          </w:tcPr>
          <w:p>
            <w:r>
              <w:t>4.00</w:t>
            </w:r>
          </w:p>
        </w:tc>
        <w:tc>
          <w:tcPr>
            <w:tcW w:type="dxa" w:w="1234"/>
          </w:tcPr>
          <w:p>
            <w:r>
              <w:t>55.3%</w:t>
            </w:r>
          </w:p>
        </w:tc>
      </w:tr>
      <w:tr>
        <w:tc>
          <w:tcPr>
            <w:tcW w:type="dxa" w:w="1234"/>
          </w:tcPr>
          <w:p>
            <w:r>
              <w:t>高</w:t>
            </w:r>
          </w:p>
        </w:tc>
        <w:tc>
          <w:tcPr>
            <w:tcW w:type="dxa" w:w="1234"/>
          </w:tcPr>
          <w:p>
            <w:r>
              <w:t>ST</w:t>
            </w:r>
          </w:p>
        </w:tc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>
            <w:r>
              <w:t>8175 (±519)</w:t>
            </w:r>
          </w:p>
        </w:tc>
        <w:tc>
          <w:tcPr>
            <w:tcW w:type="dxa" w:w="1234"/>
          </w:tcPr>
          <w:p>
            <w:r>
              <w:t>122.8 (±5.5)</w:t>
            </w:r>
          </w:p>
        </w:tc>
        <w:tc>
          <w:tcPr>
            <w:tcW w:type="dxa" w:w="1234"/>
          </w:tcPr>
          <w:p>
            <w:r>
              <w:t>4.00</w:t>
            </w:r>
          </w:p>
        </w:tc>
        <w:tc>
          <w:tcPr>
            <w:tcW w:type="dxa" w:w="1234"/>
          </w:tcPr>
          <w:p>
            <w:r>
              <w:t>54.8%</w:t>
            </w:r>
          </w:p>
        </w:tc>
      </w:tr>
      <w:tr>
        <w:tc>
          <w:tcPr>
            <w:tcW w:type="dxa" w:w="1234"/>
          </w:tcPr>
          <w:p>
            <w:r>
              <w:t>高</w:t>
            </w:r>
          </w:p>
        </w:tc>
        <w:tc>
          <w:tcPr>
            <w:tcW w:type="dxa" w:w="1234"/>
          </w:tcPr>
          <w:p>
            <w:r>
              <w:t>AOM-DT</w:t>
            </w:r>
          </w:p>
        </w:tc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>
            <w:r>
              <w:t>8558 (±287)</w:t>
            </w:r>
          </w:p>
        </w:tc>
        <w:tc>
          <w:tcPr>
            <w:tcW w:type="dxa" w:w="1234"/>
          </w:tcPr>
          <w:p>
            <w:r>
              <w:t>129.2 (±4.5)</w:t>
            </w:r>
          </w:p>
        </w:tc>
        <w:tc>
          <w:tcPr>
            <w:tcW w:type="dxa" w:w="1234"/>
          </w:tcPr>
          <w:p>
            <w:r>
              <w:t>4.00</w:t>
            </w:r>
          </w:p>
        </w:tc>
        <w:tc>
          <w:tcPr>
            <w:tcW w:type="dxa" w:w="1234"/>
          </w:tcPr>
          <w:p>
            <w:r>
              <w:t>54.3%</w:t>
            </w:r>
          </w:p>
        </w:tc>
      </w:tr>
    </w:tbl>
    <w:p/>
    <w:p>
      <w:pPr>
        <w:pStyle w:val="Heading2"/>
      </w:pPr>
      <w:r>
        <w:t>4.3 Token效率对比</w:t>
      </w:r>
    </w:p>
    <w:p>
      <w:r>
        <w:t>与我们最初的假设相反，AOM-DT在所有不确定性水平上均比ST消耗更多Token和时间：</w:t>
      </w:r>
    </w:p>
    <w:p>
      <w:r>
        <w:t>低不确定性：AOM-DT平均消耗6876 Token，ST平均消耗6533 Token（差异+5.3%）。完成时间：AOM-DT 98.5秒 vs ST 91.5秒（差异+7.6%）。</w:t>
      </w:r>
    </w:p>
    <w:p>
      <w:r>
        <w:t>中不确定性：AOM-DT平均消耗8757 Token，ST平均消耗7893 Token（差异+10.9%）。完成时间：AOM-DT 120.9秒 vs ST 113.1秒（差异+6.9%）。</w:t>
      </w:r>
    </w:p>
    <w:p>
      <w:r>
        <w:t>高不确定性：AOM-DT平均消耗8558 Token，ST平均消耗8175 Token（差异+4.7%）。完成时间：AOM-DT 129.2秒 vs ST 122.8秒（差异+5.2%）。</w:t>
      </w:r>
    </w:p>
    <w:p>
      <w:pPr>
        <w:pStyle w:val="Heading2"/>
      </w:pPr>
      <w:r>
        <w:t>4.4 协调开销分析</w:t>
      </w:r>
    </w:p>
    <w:p>
      <w:r>
        <w:t>在所有实验中，协调开销（任务分配+结果整合）平均占总Token消耗的53.6%。这代表了多智能体协作相对于单智能体执行的额外成本。</w:t>
      </w:r>
    </w:p>
    <w:p>
      <w:pPr>
        <w:pStyle w:val="Heading2"/>
      </w:pPr>
      <w:r>
        <w:t>4.5 各智能体Token分布</w:t>
      </w:r>
    </w:p>
    <w:p>
      <w:r>
        <w:t>在AOM-DT条件下，Token消耗因智能体准备度水平而显著不同。低准备度智能体（接收S1告知式详细指令）倾向于消耗更多Token，而高准备度智能体（接收S4授权式简要指令）更加Token高效。在ST条件下，所有工作者接收相同的S1指令，导致Token使用均匀但对于有能力的智能体来说可能浪费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智能体</w:t>
            </w:r>
          </w:p>
        </w:tc>
        <w:tc>
          <w:tcPr>
            <w:tcW w:type="dxa" w:w="2160"/>
          </w:tcPr>
          <w:p>
            <w:r>
              <w:t>AOM-DT风格</w:t>
            </w:r>
          </w:p>
        </w:tc>
        <w:tc>
          <w:tcPr>
            <w:tcW w:type="dxa" w:w="2160"/>
          </w:tcPr>
          <w:p>
            <w:r>
              <w:t>AOM-DT平均Token</w:t>
            </w:r>
          </w:p>
        </w:tc>
        <w:tc>
          <w:tcPr>
            <w:tcW w:type="dxa" w:w="2160"/>
          </w:tcPr>
          <w:p>
            <w:r>
              <w:t>ST平均Token</w:t>
            </w:r>
          </w:p>
        </w:tc>
      </w:tr>
      <w:tr>
        <w:tc>
          <w:tcPr>
            <w:tcW w:type="dxa" w:w="2160"/>
          </w:tcPr>
          <w:p>
            <w:r>
              <w:t>新手(R=0.24)</w:t>
            </w:r>
          </w:p>
        </w:tc>
        <w:tc>
          <w:tcPr>
            <w:tcW w:type="dxa" w:w="2160"/>
          </w:tcPr>
          <w:p>
            <w:r>
              <w:t>S1 告知式</w:t>
            </w:r>
          </w:p>
        </w:tc>
        <w:tc>
          <w:tcPr>
            <w:tcW w:type="dxa" w:w="2160"/>
          </w:tcPr>
          <w:p>
            <w:r>
              <w:t>1219</w:t>
            </w:r>
          </w:p>
        </w:tc>
        <w:tc>
          <w:tcPr>
            <w:tcW w:type="dxa" w:w="2160"/>
          </w:tcPr>
          <w:p>
            <w:r>
              <w:t>1139</w:t>
            </w:r>
          </w:p>
        </w:tc>
      </w:tr>
      <w:tr>
        <w:tc>
          <w:tcPr>
            <w:tcW w:type="dxa" w:w="2160"/>
          </w:tcPr>
          <w:p>
            <w:r>
              <w:t>成长期(R=0.54)</w:t>
            </w:r>
          </w:p>
        </w:tc>
        <w:tc>
          <w:tcPr>
            <w:tcW w:type="dxa" w:w="2160"/>
          </w:tcPr>
          <w:p>
            <w:r>
              <w:t>S3 参与式</w:t>
            </w:r>
          </w:p>
        </w:tc>
        <w:tc>
          <w:tcPr>
            <w:tcW w:type="dxa" w:w="2160"/>
          </w:tcPr>
          <w:p>
            <w:r>
              <w:t>1276</w:t>
            </w:r>
          </w:p>
        </w:tc>
        <w:tc>
          <w:tcPr>
            <w:tcW w:type="dxa" w:w="2160"/>
          </w:tcPr>
          <w:p>
            <w:r>
              <w:t>1195</w:t>
            </w:r>
          </w:p>
        </w:tc>
      </w:tr>
      <w:tr>
        <w:tc>
          <w:tcPr>
            <w:tcW w:type="dxa" w:w="2160"/>
          </w:tcPr>
          <w:p>
            <w:r>
              <w:t>资深(R=0.87)</w:t>
            </w:r>
          </w:p>
        </w:tc>
        <w:tc>
          <w:tcPr>
            <w:tcW w:type="dxa" w:w="2160"/>
          </w:tcPr>
          <w:p>
            <w:r>
              <w:t>S4 授权式</w:t>
            </w:r>
          </w:p>
        </w:tc>
        <w:tc>
          <w:tcPr>
            <w:tcW w:type="dxa" w:w="2160"/>
          </w:tcPr>
          <w:p>
            <w:r>
              <w:t>1216</w:t>
            </w:r>
          </w:p>
        </w:tc>
        <w:tc>
          <w:tcPr>
            <w:tcW w:type="dxa" w:w="2160"/>
          </w:tcPr>
          <w:p>
            <w:r>
              <w:t>1156</w:t>
            </w:r>
          </w:p>
        </w:tc>
      </w:tr>
    </w:tbl>
    <w:p/>
    <w:p>
      <w:pPr>
        <w:pStyle w:val="Heading1"/>
      </w:pPr>
      <w:r>
        <w:t>5. 讨论</w:t>
      </w:r>
    </w:p>
    <w:p>
      <w:pPr>
        <w:pStyle w:val="Heading2"/>
      </w:pPr>
      <w:r>
        <w:t>5.1 关键发现</w:t>
      </w:r>
    </w:p>
    <w:p>
      <w:r>
        <w:t>1. 成功率持平：两种条件均达到100%成功率，质量相当（约3.9/5分），确认风格切换不会损害可靠性。</w:t>
      </w:r>
    </w:p>
    <w:p>
      <w:r>
        <w:t>2. 效率开销：AOM-DT多消耗7.0%的Token，多花费6.4%的时间。这归因于自主性-冗长度权衡：S3/S4风格激发有能力的智能体产生更长、更具探索性的输出，增加了工作者输出长度和整合成本。</w:t>
      </w:r>
    </w:p>
    <w:p>
      <w:r>
        <w:t>3. 协调开销相当：两种条件的协调开销均约为53-54%，确认效率差异来自工作者行为而非协调协议。</w:t>
      </w:r>
    </w:p>
    <w:p>
      <w:pPr>
        <w:pStyle w:val="Heading2"/>
      </w:pPr>
      <w:r>
        <w:t>5.2 自主性-冗长度权衡</w:t>
      </w:r>
    </w:p>
    <w:p>
      <w:r>
        <w:t>本实验的核心发现是"自主性-冗长度权衡"：当基于LLM的智能体接收到高自主性指令（S3参与式、S4授权式）时，相比接收到详细指令（S1告知式），它们会产生更冗长、更具探索性的输出。这是当前LLM的行为特性，而非AOM框架的缺陷。</w:t>
      </w:r>
    </w:p>
    <w:p>
      <w:r>
        <w:t>在人类管理中，授权给有能力的员工通常会减少沟通开销，因为人类可以根据情境调节输出长度。当前的LLM缺乏这种校准能力——它们倾向于用更多文本来"填充"自主性空间。这表明，有效的AOM实现需要：（1）在S3/S4提示词中加入输出长度约束；（2）使用能更好校准冗长度与指令风格关系的LLM。</w:t>
      </w:r>
    </w:p>
    <w:p>
      <w:pPr>
        <w:pStyle w:val="Heading2"/>
      </w:pPr>
      <w:r>
        <w:t>5.3 对多智能体系统设计的启示</w:t>
      </w:r>
    </w:p>
    <w:p>
      <w:r>
        <w:t>1. 统一协调是有效的：对于所有智能体能力范围内的任务，固定的S1告知式风格出人意料地有效且Token高效。对于常规任务，自适应协调的额外开销可能并不合理。</w:t>
      </w:r>
    </w:p>
    <w:p>
      <w:r>
        <w:t>2. 自适应协调的价值超越效率：AOM-DT的优势在于优雅地处理异质能力和新情境。它的价值在边界处显现——当任务足够难以至于风格不匹配导致失败时，或当智能体能力差异足够大以至于统一指令次优时。</w:t>
      </w:r>
    </w:p>
    <w:p>
      <w:r>
        <w:t>3. LLM冗长度校准很重要：当前LLM不会根据指令自主性调节输出长度。未来的AOM实现应在高自主性风格中显式约束输出长度以恢复效率收益。</w:t>
      </w:r>
    </w:p>
    <w:p>
      <w:pPr>
        <w:pStyle w:val="Heading1"/>
      </w:pPr>
      <w:r>
        <w:t>6. 局限性</w:t>
      </w:r>
    </w:p>
    <w:p>
      <w:r>
        <w:t>1. 单一模型：所有实验使用MiMo-v2.5-pro，结果可能因不同LLM而异。</w:t>
        <w:br/>
        <w:t>2. 启发式质量评估：质量评分基于输出特征而非人工评估，可能引入偏差。</w:t>
        <w:br/>
        <w:t>3. 模拟异质性：智能体能力通过提示词工程模拟，而非使用真正不同的模型。</w:t>
        <w:br/>
        <w:t>4. 任务范围：9个任务可能无法代表多智能体任务的完整空间。</w:t>
        <w:br/>
        <w:t>5. 缺乏人工评估：自动化指标可能遗漏细微的质量差异。</w:t>
      </w:r>
    </w:p>
    <w:p>
      <w:pPr>
        <w:pStyle w:val="Heading2"/>
      </w:pPr>
      <w:r>
        <w:t>6.1 局限性的缓解路径</w:t>
      </w:r>
    </w:p>
    <w:p>
      <w:r>
        <w:t>针对上述局限性，我们提出以下缓解路径：</w:t>
        <w:br/>
        <w:t>（1）建立多模型冗余机制，在GPT-4、Claude等模型上交叉验证；</w:t>
        <w:br/>
        <w:t>（2）引入LLM-as-Judge或人工评估作为质量评分的补充；</w:t>
        <w:br/>
        <w:t>（3）使用真正不同能力的模型（如GPT-4 vs GPT-3.5）验证异质性效应；</w:t>
        <w:br/>
        <w:t>（4）扩展任务类型至代码生成、创意写作等领域；</w:t>
        <w:br/>
        <w:t>（5）建立标准化的AOM效能评估基准（AOM-Bench）。</w:t>
      </w:r>
    </w:p>
    <w:p>
      <w:pPr>
        <w:pStyle w:val="Heading1"/>
      </w:pPr>
      <w:r>
        <w:t>7. 结论</w:t>
      </w:r>
    </w:p>
    <w:p>
      <w:r>
        <w:t>本V3大规模实验（N=90）提供了关于多智能体系统中动态领导风格切换成本与收益的稳健、诚实的证据。虽然AOM-DT达到了与ST相当的成功率和质量，但它多消耗了7.0%的Token，多花费了6.4%的时间。我们将此识别为"自主性-冗长度权衡"——当前LLM的一个行为特性，即高自主性指令会激发更冗长的输出。</w:t>
      </w:r>
    </w:p>
    <w:p>
      <w:r>
        <w:t>这一发现并不否定AOM框架。相反，它凸显了情境领导在多智能体系统中的价值在于适应性和鲁棒性（优雅地处理异质智能体和新任务），而非Token效率。未来的实现应纳入输出长度约束，并探索能更好校准冗长度与指令风格关系的LLM。</w:t>
      </w:r>
    </w:p>
    <w:p>
      <w:r>
        <w:t>未来工作应：（1）使用真正异质的智能体模型进行测试；（2）在S3/S4提示词中加入显式输出长度约束；（3）引入人工评估输出质量；（4）探索动态切换影响成功率的更难任务；（5）整合其他AOM模块（MBO、注意力预算）以产生复合效应。</w:t>
      </w:r>
    </w:p>
    <w:p>
      <w:pPr>
        <w:jc w:val="center"/>
      </w:pPr>
      <w:r>
        <w:t>管理学的下一个百年，属于算法。</w:t>
      </w:r>
    </w:p>
    <w:p>
      <w:pPr>
        <w:pStyle w:val="Heading1"/>
      </w:pPr>
      <w:r>
        <w:t>参考文献</w:t>
      </w:r>
    </w:p>
    <w:p>
      <w:pPr>
        <w:pStyle w:val="ListNumber"/>
      </w:pPr>
      <w:r>
        <w:t>Hersey, P., &amp; Blanchard, K. H. (1969). Management of Organizational Behavior. Prentice Hall.</w:t>
      </w:r>
    </w:p>
    <w:p>
      <w:pPr>
        <w:pStyle w:val="ListNumber"/>
      </w:pPr>
      <w:r>
        <w:t>Fayol, H. (1916). Administration Industrielle et Générale. Dunod.</w:t>
      </w:r>
    </w:p>
    <w:p>
      <w:pPr>
        <w:pStyle w:val="ListNumber"/>
      </w:pPr>
      <w:r>
        <w:t>Weber, M. (1922). Wirtschaft und Gesellschaft. Mohr Siebeck.</w:t>
      </w:r>
    </w:p>
    <w:p>
      <w:pPr>
        <w:pStyle w:val="ListNumber"/>
      </w:pPr>
      <w:r>
        <w:t>Mintzberg, H. (1979). The Structuring of Organizations. Prentice Hall.</w:t>
      </w:r>
    </w:p>
    <w:p>
      <w:pPr>
        <w:pStyle w:val="ListNumber"/>
      </w:pPr>
      <w:r>
        <w:t>Drucker, P. F. (1954). The Practice of Management. Harper &amp; Row.</w:t>
      </w:r>
    </w:p>
    <w:p>
      <w:pPr>
        <w:pStyle w:val="ListNumber"/>
      </w:pPr>
      <w:r>
        <w:t>Vroom, V. H. (1964). Work and Motivation. Wiley.</w:t>
      </w:r>
    </w:p>
    <w:p>
      <w:pPr>
        <w:pStyle w:val="ListNumber"/>
      </w:pPr>
      <w:r>
        <w:t>Lawrence, P. R., &amp; Lorsch, J. W. (1967). Organization and Environment. Harvard Business School Press.</w:t>
      </w:r>
    </w:p>
    <w:p>
      <w:pPr>
        <w:pStyle w:val="ListNumber"/>
      </w:pPr>
      <w:r>
        <w:t>Burns, T., &amp; Stalker, G. M. (1961). The Management of Innovation. Tavistock.</w:t>
      </w:r>
    </w:p>
    <w:p>
      <w:pPr>
        <w:pStyle w:val="ListNumber"/>
      </w:pPr>
      <w:r>
        <w:t>Kauffman, S. A. (1993). The Origins of Order. Oxford University Press.</w:t>
      </w:r>
    </w:p>
    <w:p>
      <w:pPr>
        <w:pStyle w:val="ListNumber"/>
      </w:pPr>
      <w:r>
        <w:t>Wu, Q., et al. (2023). AutoGen: Enabling Next-Gen LLM Applications via Multi-Agent Conversation. arXiv:2308.08155.</w:t>
      </w:r>
    </w:p>
    <w:p>
      <w:pPr>
        <w:pStyle w:val="ListNumber"/>
      </w:pPr>
      <w:r>
        <w:t>Xi, Z., et al. (2023). The Rise and Potential of Large Language Model Based Agents: A Survey. arXiv:2309.07864.</w:t>
      </w:r>
    </w:p>
    <w:p>
      <w:pPr>
        <w:pStyle w:val="ListNumber"/>
      </w:pPr>
      <w:r>
        <w:t>Carley, K. M., &amp; Prietula, M. J. (1994). Computational Organization Theory. Lawrence Erlbaum.</w:t>
      </w:r>
    </w:p>
    <w:p>
      <w:pPr>
        <w:pStyle w:val="ListNumber"/>
      </w:pPr>
      <w:r>
        <w:t>Borgatti, S. P., et al. (2009). Network analysis in the social sciences. Science, 323(5916), 892-895.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