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智能体组织管理学</w:t>
      </w:r>
    </w:p>
    <w:p>
      <w:pPr>
        <w:jc w:val="center"/>
      </w:pPr>
      <w:r>
        <w:rPr>
          <w:b/>
          <w:sz w:val="32"/>
        </w:rPr>
        <w:t>从管理理论到多智能体系统设计</w:t>
      </w:r>
    </w:p>
    <w:p>
      <w:pPr>
        <w:jc w:val="center"/>
      </w:pPr>
      <w:r>
        <w:rPr>
          <w:color w:val="666666"/>
          <w:sz w:val="26"/>
        </w:rPr>
        <w:t>V3.0 — 大规模效率实验与诚实发现</w:t>
      </w:r>
    </w:p>
    <w:p>
      <w:pPr>
        <w:jc w:val="center"/>
      </w:pPr>
      <w:r>
        <w:rPr>
          <w:sz w:val="22"/>
        </w:rPr>
        <w:t>江皓然</w:t>
        <w:br/>
        <w:t>华南理工大学 软件工程+工商管理双学位</w:t>
        <w:br/>
        <w:t>2026年6月1日</w:t>
      </w:r>
    </w:p>
    <w:p>
      <w:r>
        <w:br w:type="page"/>
      </w:r>
    </w:p>
    <w:p>
      <w:pPr>
        <w:pStyle w:val="Heading1"/>
      </w:pPr>
      <w:r>
        <w:t>摘要</w:t>
      </w:r>
    </w:p>
    <w:p>
      <w:r>
        <w:t>本文报告了一项大规模实证研究（N=90），系统比较了基于智能体组织管理学的动态拓扑方案（AOM-DT）与静态拓扑方案（ST）在多智能体任务执行中的表现。实验采用4个异质智能体（准备度0.24-0.95）、9个跨3个不确定性水平的任务、每条件5次重复，聚焦于效率指标——Token消耗与完成时间。</w:t>
      </w:r>
    </w:p>
    <w:p>
      <w:r>
        <w:t>结果显示，两种条件均达到100%成功率，输出质量相当（约3.9/5分）。然而，AOM-DT比ST多消耗7.0%的Token，完成时间增加6.4%。我们将此归因于"自主性-冗长度权衡"：高自主性风格（S3/S4）会激发有能力的智能体产生更长、更具探索性的输出，从而增加了工作者和整合阶段的Token成本。</w:t>
      </w:r>
    </w:p>
    <w:p>
      <w:pPr>
        <w:pStyle w:val="Heading1"/>
      </w:pPr>
      <w:r>
        <w:t>1. 引言</w:t>
      </w:r>
    </w:p>
    <w:p>
      <w:pPr>
        <w:pStyle w:val="Heading2"/>
      </w:pPr>
      <w:r>
        <w:t>1.1 研究背景</w:t>
      </w:r>
    </w:p>
    <w:p>
      <w:r>
        <w:t>当人工智能代理（AI Agent）从孤立的工具演化为"数字员工"时，管理它们的最优解不再是编程，而是管理学本身。当前主流的多智能体框架（如AutoGen、CrewAI、LangGraph）普遍存在"管理真空"——协作流程以静态拓扑硬编码，缺乏权变响应能力。</w:t>
      </w:r>
    </w:p>
    <w:p>
      <w:r>
        <w:t>本文首次系统性地提出并界定一个全新的交叉学科领域——智能体组织管理学（Agent Organizational Management, AOM）。核心主张是：管理学百年来关于组织结构、领导力、激励机制的智慧，能被精确地"编译"为多智能体系统的原生协作协议。</w:t>
      </w:r>
    </w:p>
    <w:p>
      <w:pPr>
        <w:pStyle w:val="Heading2"/>
      </w:pPr>
      <w:r>
        <w:t>1.2 本文贡献</w:t>
      </w:r>
    </w:p>
    <w:p>
      <w:r>
        <w:t>（1）首次提出智能体组织管理学（AOM）的完整概念与研究纲领；（2）将经典管理理论精确映射为Agent拓扑设计、动态控制逻辑和目标函数；（3）提出双向赋能路径：用Agent仿真作为管理学的"粒子对撞机"；（4）通过大规模真实实验（N=90）提供诚实的实证证据。</w:t>
      </w:r>
    </w:p>
    <w:p>
      <w:pPr>
        <w:pStyle w:val="Heading1"/>
      </w:pPr>
      <w:r>
        <w:t>2. 相关工作</w:t>
      </w:r>
    </w:p>
    <w:p>
      <w:r>
        <w:t>赫塞-布兰查德的情境领导模型认为，有效的领导风格取决于下属的准备度——能力和意愿的组合。该模型定义了四种领导风格：S1（告知式）、S2（推销式）、S3（参与式）、S4（授权式），分别对应四个准备度等级R1-R4。</w:t>
      </w:r>
    </w:p>
    <w:p>
      <w:r>
        <w:t>当前多智能体协调领域的代表性工作包括AutoGen（Wu et al., 2023）、CrewAI和LangGraph。这些框架提供了灵活的智能体编排能力，但缺乏关于何时使用不同协调风格的原则性指导。AOM通过引入成熟的管理理论填补了这一空白。</w:t>
      </w:r>
    </w:p>
    <w:p>
      <w:pPr>
        <w:pStyle w:val="Heading2"/>
      </w:pPr>
      <w:r>
        <w:t>2.1 智能体组织治理</w:t>
      </w:r>
    </w:p>
    <w:p>
      <w:r>
        <w:t>2026年4月，清华大学发布了《智能体管理学：从模型能力到组织操作系统》报告，提出了涵盖战略层、流程层、权限层、监督层等八层的智能体管理框架，并引入了"编排债"和"监督带宽"等原创概念。同月，CSDN产业观察专栏发表了《当AI成为组织的一线员工》，从组织运营视角讨论了智能体的部署、监控、审计和ROI评估。这些工作标志着"智能体需要被管理"这一共识正在形成。</w:t>
      </w:r>
    </w:p>
    <w:p>
      <w:r>
        <w:t>然而，现有工作聚焦于组织治理层——制度设计、权限控制和绩效评估。本文的AOM框架聚焦于协作工程层——任务分解、结构设计、领导风格和激励机制。两者互补：治理层回答"AI员工怎么管"的制度问题，AOM回答"AI团队内部怎么配合最高效"的算法问题。</w:t>
      </w:r>
    </w:p>
    <w:p>
      <w:pPr>
        <w:pStyle w:val="Heading2"/>
      </w:pPr>
      <w:r>
        <w:t>2.5 自主性-冗长度权衡的理论解：从管理原则到Prompt工程</w:t>
      </w:r>
    </w:p>
    <w:p>
      <w:pPr/>
      <w:r>
        <w:t>5.2节将自主性-冗长度权衡识别为AOM-DT的核心效率瓶颈：高自主性指令风格（S3/S4）会激发有能力的LLM智能体产生更冗长、更具探索性的输出，增加Token消耗却未带来等比例的质量提升。本节从管理学理论出发，提出系统性的解决方案。我们选择四个经典理论——不是任意选择，而是因为每个理论分别针对冗长度问题的不同侧面——并将其工程化为具体的Prompt设计原则。</w:t>
      </w:r>
    </w:p>
    <w:p>
      <w:pPr/>
      <w:r>
        <w:t>核心洞见是：在人类管理中，“下属冗长”并不是新问题。管理者面对这个问题已逾百年，管理学已经发展出了经过充分检验的解决方案。自主性-冗长度权衡本质上是一个信息流控制问题——而管理学为治理层级组织中的信息流提供了丰富的工具箱。</w:t>
      </w:r>
    </w:p>
    <w:p>
      <w:pPr>
        <w:pStyle w:val="Heading3"/>
      </w:pPr>
      <w:r>
        <w:t>2.5.2 理论选择与依据</w:t>
      </w:r>
    </w:p>
    <w:p>
      <w:pPr/>
      <w:r>
        <w:t>我们基于与冗长度问题的直接相关性，选择以下四个管理学理论：</w:t>
      </w:r>
    </w:p>
    <w:p>
      <w:pPr/>
      <w:r>
        <w:t>1. 丰田A3报告（Shook, 2008）：一种结构化的单页报告框架，约束输出格式与长度。选择理由：它直接解决“非结构化冗长”问题——当智能体收到高自主性Prompt时，缺乏结构约束会导致不受控的生成。A3提供了结构化骨架。</w:t>
      </w:r>
    </w:p>
    <w:p>
      <w:pPr/>
      <w:r>
        <w:t>2. 例外管理（Drucker, 1954）：管理者仅在绩效偏离标准时才介入的控制原则。选择理由：它解决“事无巨细”问题——当前LLM在获得自主权时，默认倾向于全面覆盖而非选择性报告。</w:t>
      </w:r>
    </w:p>
    <w:p>
      <w:pPr/>
      <w:r>
        <w:t>3. 西蒙的有限理性与满意化（Simon, 1955）：决策者应在认知约束下寻找“足够好”的方案而非最优方案的原则。选择理由：它解决“边际收益递减”问题——LLM会持续阐述，远超边际价值消失的临界点。</w:t>
      </w:r>
    </w:p>
    <w:p>
      <w:pPr/>
      <w:r>
        <w:t>4. 明茨伯格的信息角色理论（Mintzberg, 1973）：管理者的信息处理涉及三个角色——监听者、传播者和发言人，每个角色有不同的过滤标准。选择理由：它解决“信息相关性”问题——LLM缺乏区分输出中高价值与低价值信息的能力。</w:t>
      </w:r>
    </w:p>
    <w:p>
      <w:pPr>
        <w:pStyle w:val="Heading3"/>
      </w:pPr>
      <w:r>
        <w:t>2.5.3 理论到Prompt工程的映射</w:t>
      </w:r>
    </w:p>
    <w:p>
      <w:pPr>
        <w:pStyle w:val="Heading3"/>
      </w:pPr>
      <w:r>
        <w:t>映射一：A3报告 → 结构化输出协议</w:t>
      </w:r>
    </w:p>
    <w:p>
      <w:pPr/>
      <w:r>
        <w:t>丰田A3报告将问题解决的沟通约束在一张A3纸上，包含固定板块：背景、现状、分析、目标状态、实施计划和后续跟踪（Shook, 2008）。这一约束不仅是物理层面的——它强制执行一种精练的表达纪律：每一个字都必须证明其存在的价值。</w:t>
      </w:r>
    </w:p>
    <w:p>
      <w:pPr/>
      <w:r>
        <w:t>工程映射：将开放式S4 Prompt转换为带有固定板块和显式长度预算的结构化输出Prompt。</w:t>
      </w:r>
    </w:p>
    <w:p>
      <w:pPr/>
      <w:r>
        <w:t>无约束S4（当前）：</w:t>
      </w:r>
    </w:p>
    <w:p>
      <w:pPr/>
      <w:r>
        <w:t>“你是一名资深智能体。独立处理此任务。运用你的专业能力提供最佳方案。”</w:t>
      </w:r>
    </w:p>
    <w:p>
      <w:pPr/>
      <w:r>
        <w:t>A3约束S4（改进）：</w:t>
      </w:r>
    </w:p>
    <w:p>
      <w:pPr/>
      <w:r>
        <w:t>“你是一名资深智能体。独立处理此任务。按以下结构组织输出：</w:t>
        <w:br/>
        <w:t>[1] 问题陈述（≤50字）</w:t>
        <w:br/>
        <w:t>[2] 核心分析（≤200字，最多3个要点）</w:t>
        <w:br/>
        <w:t>[3] 推荐方案（≤150字）</w:t>
        <w:br/>
        <w:t>[4] 实施步骤（≤100字，最多5步）</w:t>
        <w:br/>
        <w:t>总输出不超过800字。消除冗余和填充性表述。”</w:t>
      </w:r>
    </w:p>
    <w:p>
      <w:pPr/>
      <w:r>
        <w:t>设计原则一（结构约束）：高自主性Prompt必须包含带有显式板块字数预算的结构化输出模板。总Token预算应根据任务信息密度校准：低不确定性任务≤500字，中等≤800字，高≤1200字。</w:t>
      </w:r>
    </w:p>
    <w:p>
      <w:pPr>
        <w:pStyle w:val="Heading3"/>
      </w:pPr>
      <w:r>
        <w:t>映射二：例外管理 → 偏差报告机制</w:t>
      </w:r>
    </w:p>
    <w:p>
      <w:pPr/>
      <w:r>
        <w:t>例外管理（MBE）规定，管理者应将注意力集中在与计划绩效的显著偏差上，而非审查所有常规运营（Drucker, 1954）。在生产管理中，这意味着工人仅在结果超出预定义容差范围时才进行报告。</w:t>
      </w:r>
    </w:p>
    <w:p>
      <w:pPr/>
      <w:r>
        <w:t>工程映射：在Prompt中定义“正常”和“异常”条件，指示智能体仅在偏差出现时才详细阐述。</w:t>
      </w:r>
    </w:p>
    <w:p>
      <w:pPr/>
      <w:r>
        <w:t>无约束S4：</w:t>
      </w:r>
    </w:p>
    <w:p>
      <w:pPr/>
      <w:r>
        <w:t>“分析此系统架构并提供全面评审。”</w:t>
      </w:r>
    </w:p>
    <w:p>
      <w:pPr/>
      <w:r>
        <w:t>MBE约束S4：</w:t>
      </w:r>
    </w:p>
    <w:p>
      <w:pPr/>
      <w:r>
        <w:t>“评审此系统架构。对于满足以下标准的组件，仅陈述：‘组件X：符合标准。’仅对偏差进行详细说明：</w:t>
        <w:br/>
        <w:t>- 响应时间 &lt; 200ms</w:t>
        <w:br/>
        <w:t>- 可用性 &gt; 99.9%</w:t>
        <w:br/>
        <w:t>- 错误率 &lt; 0.1%</w:t>
        <w:br/>
        <w:t>对每个偏差提供：（1）差距（2）根因（3）建议修复。最多讨论3个偏差。”</w:t>
      </w:r>
    </w:p>
    <w:p>
      <w:pPr/>
      <w:r>
        <w:t>设计原则二（偏差过滤）：高自主性Prompt必须定义显式的成功标准或“正常”基线。智能体应被指示对符合标准的项目进行简洁报告，仅对例外进行详细阐述。这逆转了LLM默认的等深度分析行为。</w:t>
      </w:r>
    </w:p>
    <w:p>
      <w:pPr>
        <w:pStyle w:val="Heading3"/>
      </w:pPr>
      <w:r>
        <w:t>映射三：有限理性 → 满意化停止规则</w:t>
      </w:r>
    </w:p>
    <w:p>
      <w:pPr/>
      <w:r>
        <w:t>西蒙的有限理性理论认为，理性决策受到认知限制、可用信息和时间的约束。决策者不进行最优化——他们“满意化”，接受第一个满足最低可接受阈值的方案（Simon, 1955）。这不是妥协，而是在约束条件下的理性行为。</w:t>
      </w:r>
    </w:p>
    <w:p>
      <w:pPr/>
      <w:r>
        <w:t>工程映射：在Prompt中定义显式的满意化阈值，指示智能体在阈值满足时停止分析。</w:t>
      </w:r>
    </w:p>
    <w:p>
      <w:pPr/>
      <w:r>
        <w:t>无约束S3：</w:t>
      </w:r>
    </w:p>
    <w:p>
      <w:pPr/>
      <w:r>
        <w:t>“参与解决此问题。探索多种方法并详细讨论其权衡。”</w:t>
      </w:r>
    </w:p>
    <w:p>
      <w:pPr/>
      <w:r>
        <w:t>满意化约束S3：</w:t>
      </w:r>
    </w:p>
    <w:p>
      <w:pPr/>
      <w:r>
        <w:t>“参与解决此问题。根据以下标准评估候选方法：（1）可行性 &gt; 0.7（2）成本 &lt; 预算（3）实施时间 &lt; 2周。选择第一个满足所有三个标准的方法。用100字说明选择理由。找到满意方案后不要继续评估。”</w:t>
      </w:r>
    </w:p>
    <w:p>
      <w:pPr/>
      <w:r>
        <w:t>设计原则三（满意化停止规则）：高自主性Prompt必须包含显式停止标准。智能体应在找到满足预定义阈值的方案时终止分析，而非穷尽地探索解空间。这直接对抗LLM倾向于穷尽阐述的行为。</w:t>
      </w:r>
    </w:p>
    <w:p>
      <w:pPr>
        <w:pStyle w:val="Heading3"/>
      </w:pPr>
      <w:r>
        <w:t>映射四：信息角色 → 信息过滤协议</w:t>
      </w:r>
    </w:p>
    <w:p>
      <w:pPr/>
      <w:r>
        <w:t>明茨伯格识别了管理者的三个信息角色：监听者（扫描相关信息）、传播者（向下属转发信息）和发言人（向外部传递信息）（Mintzberg, 1973）。关键在于，监听角色并非收集所有信息——而是对战略相关信号的选择性注意。</w:t>
      </w:r>
    </w:p>
    <w:p>
      <w:pPr/>
      <w:r>
        <w:t>工程映射：在Prompt中定义显式的“信息过滤器”，区分高价值与低价值输出。</w:t>
      </w:r>
    </w:p>
    <w:p>
      <w:pPr/>
      <w:r>
        <w:t>无约束S4：</w:t>
      </w:r>
    </w:p>
    <w:p>
      <w:pPr/>
      <w:r>
        <w:t>“为此电商平台设计数据库Schema。进行透彻的分析。”</w:t>
      </w:r>
    </w:p>
    <w:p>
      <w:pPr/>
      <w:r>
        <w:t>过滤约束S4：</w:t>
      </w:r>
    </w:p>
    <w:p>
      <w:pPr/>
      <w:r>
        <w:t>“为此电商平台设计数据库Schema。输出必须优先考虑：</w:t>
        <w:br/>
        <w:t>高价值：影响查询性能（&gt;10ms影响）的Schema设计决策、数据完整性约束、可扩展性瓶颈。</w:t>
        <w:br/>
        <w:t>低价值（省略）：通用最佳实践、显而易见的设计选择、不影响架构的实现细节。</w:t>
        <w:br/>
        <w:t>仅聚焦于前3个最高影响的决策。”</w:t>
      </w:r>
    </w:p>
    <w:p>
      <w:pPr/>
      <w:r>
        <w:t>设计原则四（信息过滤）：高自主性Prompt必须包含显式的价值层次结构，区分高价值与低价值信息。智能体应按信息价值而非均匀地分配输出篇幅。</w:t>
      </w:r>
    </w:p>
    <w:p>
      <w:pPr>
        <w:pStyle w:val="Heading3"/>
      </w:pPr>
      <w:r>
        <w:t>2.5.4 统一约束授权Prompt模板</w:t>
      </w:r>
    </w:p>
    <w:p>
      <w:pPr/>
      <w:r>
        <w:t>综合四个映射，我们提出一个统一的高自主性指令Prompt模板：</w:t>
      </w:r>
    </w:p>
    <w:p>
      <w:pPr/>
      <w:r>
        <w:t>模板：约束S4（授权式）Prompt</w:t>
      </w:r>
    </w:p>
    <w:p>
      <w:pPr/>
      <w:r>
        <w:t>“你是一名准备度为R4的资深智能体。独立处理此任务。</w:t>
        <w:br/>
        <w:br/>
        <w:t>目标（MBO）：[具体、可衡量的目标]</w:t>
        <w:br/>
        <w:br/>
        <w:t>输出结构（A3协议）：</w:t>
        <w:br/>
        <w:t>- 问题陈述：≤ [N1] 字</w:t>
        <w:br/>
        <w:t>- 核心分析：≤ [N2] 字，最多 [K] 个要点</w:t>
        <w:br/>
        <w:t>- 推荐方案：≤ [N3] 字</w:t>
        <w:br/>
        <w:t>- 下一步行动：≤ [N4] 字</w:t>
        <w:br/>
        <w:t>- 总计：不超过 [T] 字</w:t>
        <w:br/>
        <w:br/>
        <w:t>偏差过滤（MBE）：</w:t>
        <w:br/>
        <w:t>- 常规项目以一句话状态报告</w:t>
        <w:br/>
        <w:t>- 仅对偏离以下标准的项目详细说明：[标准]</w:t>
        <w:br/>
        <w:t>- 最多讨论偏差数：[D]</w:t>
        <w:br/>
        <w:br/>
        <w:t>停止规则（满意化）：</w:t>
        <w:br/>
        <w:t>- 找到满足以下条件的方案后停止分析：[阈值]</w:t>
        <w:br/>
        <w:t>- 找到满意方案后不要继续评估</w:t>
        <w:br/>
        <w:br/>
        <w:t>价值层次（信息过滤）：</w:t>
        <w:br/>
        <w:t>- 高价值：[标准]</w:t>
        <w:br/>
        <w:t>- 低价值（省略）：[标准]</w:t>
        <w:br/>
        <w:t>- 按价值比例分配篇幅。”</w:t>
      </w:r>
    </w:p>
    <w:p>
      <w:pPr>
        <w:pStyle w:val="Heading3"/>
      </w:pPr>
      <w:r>
        <w:t>2.5.5 模型无关的实现方案</w:t>
      </w:r>
    </w:p>
    <w:p>
      <w:pPr/>
      <w:r>
        <w:t>所提出的设计原则是模型无关的——它们依赖Prompt层面的约束而非模型特性。实现无需微调、无需特殊API参数、无需模型特定的变通方案。该方案适用于任何遵循指令的LLM（GPT-4、Claude、MiMo、Llama等），因为它利用了一个通用特性：LLM对Prompt中的结构化线索做出响应。</w:t>
      </w:r>
    </w:p>
    <w:p>
      <w:pPr/>
      <w:r>
        <w:t>实现策略：</w:t>
      </w:r>
    </w:p>
    <w:p>
      <w:pPr/>
      <w:r>
        <w:t>1. Prompt层集成：将约束模板嵌入AOM-DT的风格分配逻辑中。当准备度计算器分配S3或S4时，系统自动将相应约束（A3结构、MBE过滤器、满意化阈值、信息层次）附加到基础指令中。</w:t>
      </w:r>
    </w:p>
    <w:p>
      <w:pPr/>
      <w:r>
        <w:t>2. Token预算校准：字数限制[N1]-[N4]和总计[T]应按任务不确定性水平校准。基于我们的V3数据，建议如下：</w:t>
      </w:r>
    </w:p>
    <w:p>
      <w:pPr/>
      <w:r>
        <w:t xml:space="preserve">   低不确定性（0.1）：T = 500字（≈650 Token）</w:t>
      </w:r>
    </w:p>
    <w:p>
      <w:pPr/>
      <w:r>
        <w:t xml:space="preserve">   中不确定性（0.5）：T = 800字（≈1040 Token）</w:t>
      </w:r>
    </w:p>
    <w:p>
      <w:pPr/>
      <w:r>
        <w:t xml:space="preserve">   高不确定性（0.9）：T = 1200字（≈1560 Token）</w:t>
      </w:r>
    </w:p>
    <w:p>
      <w:pPr/>
      <w:r>
        <w:t>3. 偏差标准规范：MBE偏差标准应从任务规范中导出。对于每个任务，协调者智能体（Agent D）在协调阶段生成任务特定的成功标准，然后作为MBE基线传递给工作者。</w:t>
      </w:r>
    </w:p>
    <w:p>
      <w:pPr/>
      <w:r>
        <w:t>4. 优雅降级：如果LLM超出字数预算，系统应在预算边界处截断并附加说明：“[输出在字数预算处截断。剩余关键要点：……]”这确保即使LLM不完全遵守，约束也能得到强制执行。</w:t>
      </w:r>
    </w:p>
    <w:p>
      <w:pPr>
        <w:pStyle w:val="Heading3"/>
      </w:pPr>
      <w:r>
        <w:t>2.5.6 理论综合：从冗长度控制到最优信息流</w:t>
      </w:r>
    </w:p>
    <w:p>
      <w:pPr/>
      <w:r>
        <w:t>四个管理学理论汇聚于一个统一原则：最优信息流需要对沟通的内容、时机和数量进行显式约束。在人类组织中，这些约束通过培训、文化和职业规范被内化。LLM缺乏这种内化——它们的“训练”（在互联网文本上的预训练）优化的是流畅性和全面性，而非在组织约束下的精练、有针对性的沟通。</w:t>
      </w:r>
    </w:p>
    <w:p>
      <w:pPr/>
      <w:r>
        <w:t>所提出的方案将这些约束外化到Prompt本身。这类似于组织如何使用标准化报告模板、沟通协议和绩效仪表板来治理信息流——这些工具是法约尔（Fayol, 1916）会认可的统一指挥原则的延伸。</w:t>
      </w:r>
    </w:p>
    <w:p>
      <w:pPr/>
      <w:r>
        <w:t>形式化地，令V(S, L)表示LLM L在指令风格S下的冗长度。V3中观察到的自主性-冗长度权衡可表示为：</w:t>
      </w:r>
    </w:p>
    <w:p>
      <w:pPr/>
      <w:r>
        <w:t>V(S4, L) &gt; V(S1, L)，对当前LLM成立   …… (1)</w:t>
      </w:r>
    </w:p>
    <w:p>
      <w:pPr/>
      <w:r>
        <w:t>约束授权方案旨在实现：</w:t>
      </w:r>
    </w:p>
    <w:p>
      <w:pPr/>
      <w:r>
        <w:t>V(S4_约束, L) ≈ V(S1, L)，同时保持 Quality(S4, L) ≥ Quality(S1, L)   …… (2)</w:t>
      </w:r>
    </w:p>
    <w:p>
      <w:pPr/>
      <w:r>
        <w:t>等式(2)表述了设计目标：约束高自主性Prompt应在Token效率上匹配低自主性Prompt，同时保持自主执行的质量优势。这是可实现的，因为S4中的冗长度并非由任务的固有复杂性引起——它是不受控生成的副产物。任务的信息内容是固定的；仅输出格式发生变化。</w:t>
      </w:r>
    </w:p>
    <w:p>
      <w:pPr/>
      <w:r>
        <w:t>我们假设，约束方案将把AOM-DT的Token开销从+7.0%降低至ST的+2%以内，同时保持V3中观察到的100%成功率和约3.9/5的质量。这一假设可在V4实验中进行检验。</w:t>
      </w:r>
    </w:p>
    <w:p>
      <w:pPr>
        <w:pStyle w:val="Heading1"/>
      </w:pPr>
      <w:r>
        <w:t>3. 实验设计</w:t>
      </w:r>
    </w:p>
    <w:p>
      <w:pPr>
        <w:pStyle w:val="Heading2"/>
      </w:pPr>
      <w:r>
        <w:t>3.1 智能体配置</w:t>
      </w:r>
    </w:p>
    <w:p>
      <w:r>
        <w:t>我们设计了4个异质智能体，覆盖完整的准备度谱系：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智能体</w:t>
            </w:r>
          </w:p>
        </w:tc>
        <w:tc>
          <w:tcPr>
            <w:tcW w:type="dxa" w:w="1728"/>
          </w:tcPr>
          <w:p>
            <w:r>
              <w:t>历史成功率</w:t>
            </w:r>
          </w:p>
        </w:tc>
        <w:tc>
          <w:tcPr>
            <w:tcW w:type="dxa" w:w="1728"/>
          </w:tcPr>
          <w:p>
            <w:r>
              <w:t>置信度</w:t>
            </w:r>
          </w:p>
        </w:tc>
        <w:tc>
          <w:tcPr>
            <w:tcW w:type="dxa" w:w="1728"/>
          </w:tcPr>
          <w:p>
            <w:r>
              <w:t>准备度</w:t>
            </w:r>
          </w:p>
        </w:tc>
        <w:tc>
          <w:tcPr>
            <w:tcW w:type="dxa" w:w="1728"/>
          </w:tcPr>
          <w:p>
            <w:r>
              <w:t>AOM-DT风格</w:t>
            </w:r>
          </w:p>
        </w:tc>
      </w:tr>
      <w:tr>
        <w:tc>
          <w:tcPr>
            <w:tcW w:type="dxa" w:w="1728"/>
          </w:tcPr>
          <w:p>
            <w:r>
              <w:t>A（新手）</w:t>
            </w:r>
          </w:p>
        </w:tc>
        <w:tc>
          <w:tcPr>
            <w:tcW w:type="dxa" w:w="1728"/>
          </w:tcPr>
          <w:p>
            <w:r>
              <w:t>0.20</w:t>
            </w:r>
          </w:p>
        </w:tc>
        <w:tc>
          <w:tcPr>
            <w:tcW w:type="dxa" w:w="1728"/>
          </w:tcPr>
          <w:p>
            <w:r>
              <w:t>0.30</w:t>
            </w:r>
          </w:p>
        </w:tc>
        <w:tc>
          <w:tcPr>
            <w:tcW w:type="dxa" w:w="1728"/>
          </w:tcPr>
          <w:p>
            <w:r>
              <w:t>0.24</w:t>
            </w:r>
          </w:p>
        </w:tc>
        <w:tc>
          <w:tcPr>
            <w:tcW w:type="dxa" w:w="1728"/>
          </w:tcPr>
          <w:p>
            <w:r>
              <w:t>S1 告知式</w:t>
            </w:r>
          </w:p>
        </w:tc>
      </w:tr>
      <w:tr>
        <w:tc>
          <w:tcPr>
            <w:tcW w:type="dxa" w:w="1728"/>
          </w:tcPr>
          <w:p>
            <w:r>
              <w:t>B（成长期）</w:t>
            </w:r>
          </w:p>
        </w:tc>
        <w:tc>
          <w:tcPr>
            <w:tcW w:type="dxa" w:w="1728"/>
          </w:tcPr>
          <w:p>
            <w:r>
              <w:t>0.50</w:t>
            </w:r>
          </w:p>
        </w:tc>
        <w:tc>
          <w:tcPr>
            <w:tcW w:type="dxa" w:w="1728"/>
          </w:tcPr>
          <w:p>
            <w:r>
              <w:t>0.60</w:t>
            </w:r>
          </w:p>
        </w:tc>
        <w:tc>
          <w:tcPr>
            <w:tcW w:type="dxa" w:w="1728"/>
          </w:tcPr>
          <w:p>
            <w:r>
              <w:t>0.54</w:t>
            </w:r>
          </w:p>
        </w:tc>
        <w:tc>
          <w:tcPr>
            <w:tcW w:type="dxa" w:w="1728"/>
          </w:tcPr>
          <w:p>
            <w:r>
              <w:t>S3 参与式</w:t>
            </w:r>
          </w:p>
        </w:tc>
      </w:tr>
      <w:tr>
        <w:tc>
          <w:tcPr>
            <w:tcW w:type="dxa" w:w="1728"/>
          </w:tcPr>
          <w:p>
            <w:r>
              <w:t>C（资深）</w:t>
            </w:r>
          </w:p>
        </w:tc>
        <w:tc>
          <w:tcPr>
            <w:tcW w:type="dxa" w:w="1728"/>
          </w:tcPr>
          <w:p>
            <w:r>
              <w:t>0.85</w:t>
            </w:r>
          </w:p>
        </w:tc>
        <w:tc>
          <w:tcPr>
            <w:tcW w:type="dxa" w:w="1728"/>
          </w:tcPr>
          <w:p>
            <w:r>
              <w:t>0.90</w:t>
            </w:r>
          </w:p>
        </w:tc>
        <w:tc>
          <w:tcPr>
            <w:tcW w:type="dxa" w:w="1728"/>
          </w:tcPr>
          <w:p>
            <w:r>
              <w:t>0.87</w:t>
            </w:r>
          </w:p>
        </w:tc>
        <w:tc>
          <w:tcPr>
            <w:tcW w:type="dxa" w:w="1728"/>
          </w:tcPr>
          <w:p>
            <w:r>
              <w:t>S4 授权式</w:t>
            </w:r>
          </w:p>
        </w:tc>
      </w:tr>
      <w:tr>
        <w:tc>
          <w:tcPr>
            <w:tcW w:type="dxa" w:w="1728"/>
          </w:tcPr>
          <w:p>
            <w:r>
              <w:t>D（专家/协调者）</w:t>
            </w:r>
          </w:p>
        </w:tc>
        <w:tc>
          <w:tcPr>
            <w:tcW w:type="dxa" w:w="1728"/>
          </w:tcPr>
          <w:p>
            <w:r>
              <w:t>0.95</w:t>
            </w:r>
          </w:p>
        </w:tc>
        <w:tc>
          <w:tcPr>
            <w:tcW w:type="dxa" w:w="1728"/>
          </w:tcPr>
          <w:p>
            <w:r>
              <w:t>0.95</w:t>
            </w:r>
          </w:p>
        </w:tc>
        <w:tc>
          <w:tcPr>
            <w:tcW w:type="dxa" w:w="1728"/>
          </w:tcPr>
          <w:p>
            <w:r>
              <w:t>0.95</w:t>
            </w:r>
          </w:p>
        </w:tc>
        <w:tc>
          <w:tcPr>
            <w:tcW w:type="dxa" w:w="1728"/>
          </w:tcPr>
          <w:p>
            <w:r>
              <w:t>S4 授权式</w:t>
            </w:r>
          </w:p>
        </w:tc>
      </w:tr>
    </w:tbl>
    <w:p>
      <w:r>
        <w:t>准备度 = 0.6 x HTSR + 0.4 x Confidence。Agent D在所有实验中担任协调者。</w:t>
      </w:r>
    </w:p>
    <w:p>
      <w:pPr>
        <w:pStyle w:val="Heading2"/>
      </w:pPr>
      <w:r>
        <w:t>3.2 任务设计</w:t>
      </w:r>
    </w:p>
    <w:p>
      <w:r>
        <w:t>我们设计了9个任务，覆盖3个不确定性水平（每个水平3个任务）：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编号</w:t>
            </w:r>
          </w:p>
        </w:tc>
        <w:tc>
          <w:tcPr>
            <w:tcW w:type="dxa" w:w="2880"/>
          </w:tcPr>
          <w:p>
            <w:r>
              <w:t>不确定性</w:t>
            </w:r>
          </w:p>
        </w:tc>
        <w:tc>
          <w:tcPr>
            <w:tcW w:type="dxa" w:w="2880"/>
          </w:tcPr>
          <w:p>
            <w:r>
              <w:t>任务描述</w:t>
            </w:r>
          </w:p>
        </w:tc>
      </w:tr>
      <w:tr>
        <w:tc>
          <w:tcPr>
            <w:tcW w:type="dxa" w:w="2880"/>
          </w:tcPr>
          <w:p>
            <w:r>
              <w:t>L1</w:t>
            </w:r>
          </w:p>
        </w:tc>
        <w:tc>
          <w:tcPr>
            <w:tcW w:type="dxa" w:w="2880"/>
          </w:tcPr>
          <w:p>
            <w:r>
              <w:t>低(0.1)</w:t>
            </w:r>
          </w:p>
        </w:tc>
        <w:tc>
          <w:tcPr>
            <w:tcW w:type="dxa" w:w="2880"/>
          </w:tcPr>
          <w:p>
            <w:r>
              <w:t>2025年获得A轮融资的中国AI Agent公司有哪些？</w:t>
            </w:r>
          </w:p>
        </w:tc>
      </w:tr>
      <w:tr>
        <w:tc>
          <w:tcPr>
            <w:tcW w:type="dxa" w:w="2880"/>
          </w:tcPr>
          <w:p>
            <w:r>
              <w:t>L2</w:t>
            </w:r>
          </w:p>
        </w:tc>
        <w:tc>
          <w:tcPr>
            <w:tcW w:type="dxa" w:w="2880"/>
          </w:tcPr>
          <w:p>
            <w:r>
              <w:t>低(0.1)</w:t>
            </w:r>
          </w:p>
        </w:tc>
        <w:tc>
          <w:tcPr>
            <w:tcW w:type="dxa" w:w="2880"/>
          </w:tcPr>
          <w:p>
            <w:r>
              <w:t>Python 3.12中新增的type语句的具体语法是什么？</w:t>
            </w:r>
          </w:p>
        </w:tc>
      </w:tr>
      <w:tr>
        <w:tc>
          <w:tcPr>
            <w:tcW w:type="dxa" w:w="2880"/>
          </w:tcPr>
          <w:p>
            <w:r>
              <w:t>L3</w:t>
            </w:r>
          </w:p>
        </w:tc>
        <w:tc>
          <w:tcPr>
            <w:tcW w:type="dxa" w:w="2880"/>
          </w:tcPr>
          <w:p>
            <w:r>
              <w:t>低(0.1)</w:t>
            </w:r>
          </w:p>
        </w:tc>
        <w:tc>
          <w:tcPr>
            <w:tcW w:type="dxa" w:w="2880"/>
          </w:tcPr>
          <w:p>
            <w:r>
              <w:t>Docker和Kubernetes的区别是什么？</w:t>
            </w:r>
          </w:p>
        </w:tc>
      </w:tr>
      <w:tr>
        <w:tc>
          <w:tcPr>
            <w:tcW w:type="dxa" w:w="2880"/>
          </w:tcPr>
          <w:p>
            <w:r>
              <w:t>M1</w:t>
            </w:r>
          </w:p>
        </w:tc>
        <w:tc>
          <w:tcPr>
            <w:tcW w:type="dxa" w:w="2880"/>
          </w:tcPr>
          <w:p>
            <w:r>
              <w:t>中(0.5)</w:t>
            </w:r>
          </w:p>
        </w:tc>
        <w:tc>
          <w:tcPr>
            <w:tcW w:type="dxa" w:w="2880"/>
          </w:tcPr>
          <w:p>
            <w:r>
              <w:t>比较AutoGen和CrewAI在Agent协作设计上的主要区别</w:t>
            </w:r>
          </w:p>
        </w:tc>
      </w:tr>
      <w:tr>
        <w:tc>
          <w:tcPr>
            <w:tcW w:type="dxa" w:w="2880"/>
          </w:tcPr>
          <w:p>
            <w:r>
              <w:t>M2</w:t>
            </w:r>
          </w:p>
        </w:tc>
        <w:tc>
          <w:tcPr>
            <w:tcW w:type="dxa" w:w="2880"/>
          </w:tcPr>
          <w:p>
            <w:r>
              <w:t>中(0.5)</w:t>
            </w:r>
          </w:p>
        </w:tc>
        <w:tc>
          <w:tcPr>
            <w:tcW w:type="dxa" w:w="2880"/>
          </w:tcPr>
          <w:p>
            <w:r>
              <w:t>分析RAG技术的优缺点及其在企业知识管理中的适用场景</w:t>
            </w:r>
          </w:p>
        </w:tc>
      </w:tr>
      <w:tr>
        <w:tc>
          <w:tcPr>
            <w:tcW w:type="dxa" w:w="2880"/>
          </w:tcPr>
          <w:p>
            <w:r>
              <w:t>M3</w:t>
            </w:r>
          </w:p>
        </w:tc>
        <w:tc>
          <w:tcPr>
            <w:tcW w:type="dxa" w:w="2880"/>
          </w:tcPr>
          <w:p>
            <w:r>
              <w:t>中(0.5)</w:t>
            </w:r>
          </w:p>
        </w:tc>
        <w:tc>
          <w:tcPr>
            <w:tcW w:type="dxa" w:w="2880"/>
          </w:tcPr>
          <w:p>
            <w:r>
              <w:t>评估当前AI代码生成工具的成熟度</w:t>
            </w:r>
          </w:p>
        </w:tc>
      </w:tr>
      <w:tr>
        <w:tc>
          <w:tcPr>
            <w:tcW w:type="dxa" w:w="2880"/>
          </w:tcPr>
          <w:p>
            <w:r>
              <w:t>H1</w:t>
            </w:r>
          </w:p>
        </w:tc>
        <w:tc>
          <w:tcPr>
            <w:tcW w:type="dxa" w:w="2880"/>
          </w:tcPr>
          <w:p>
            <w:r>
              <w:t>高(0.9)</w:t>
            </w:r>
          </w:p>
        </w:tc>
        <w:tc>
          <w:tcPr>
            <w:tcW w:type="dxa" w:w="2880"/>
          </w:tcPr>
          <w:p>
            <w:r>
              <w:t>设计一套基于多Agent协作的在线教育平台架构</w:t>
            </w:r>
          </w:p>
        </w:tc>
      </w:tr>
      <w:tr>
        <w:tc>
          <w:tcPr>
            <w:tcW w:type="dxa" w:w="2880"/>
          </w:tcPr>
          <w:p>
            <w:r>
              <w:t>H2</w:t>
            </w:r>
          </w:p>
        </w:tc>
        <w:tc>
          <w:tcPr>
            <w:tcW w:type="dxa" w:w="2880"/>
          </w:tcPr>
          <w:p>
            <w:r>
              <w:t>高(0.9)</w:t>
            </w:r>
          </w:p>
        </w:tc>
        <w:tc>
          <w:tcPr>
            <w:tcW w:type="dxa" w:w="2880"/>
          </w:tcPr>
          <w:p>
            <w:r>
              <w:t>设计一个基于多Agent协作的智慧城市交通管理系统</w:t>
            </w:r>
          </w:p>
        </w:tc>
      </w:tr>
      <w:tr>
        <w:tc>
          <w:tcPr>
            <w:tcW w:type="dxa" w:w="2880"/>
          </w:tcPr>
          <w:p>
            <w:r>
              <w:t>H3</w:t>
            </w:r>
          </w:p>
        </w:tc>
        <w:tc>
          <w:tcPr>
            <w:tcW w:type="dxa" w:w="2880"/>
          </w:tcPr>
          <w:p>
            <w:r>
              <w:t>高(0.9)</w:t>
            </w:r>
          </w:p>
        </w:tc>
        <w:tc>
          <w:tcPr>
            <w:tcW w:type="dxa" w:w="2880"/>
          </w:tcPr>
          <w:p>
            <w:r>
              <w:t>提出一个AI Agent伦理治理框架</w:t>
            </w:r>
          </w:p>
        </w:tc>
      </w:tr>
    </w:tbl>
    <w:p>
      <w:pPr>
        <w:pStyle w:val="Heading2"/>
      </w:pPr>
      <w:r>
        <w:t>3.3 实验协议</w:t>
      </w:r>
    </w:p>
    <w:p>
      <w:r>
        <w:t>测试两种条件：</w:t>
        <w:br/>
        <w:t>ST（静态拓扑）：所有工作者统一接收S1告知式风格指令。</w:t>
        <w:br/>
        <w:t>AOM-DT（动态拓扑）：每个工作者接收与其准备度匹配的风格（A-&gt;S1, B-&gt;S3, C-&gt;S4）。</w:t>
      </w:r>
    </w:p>
    <w:p>
      <w:r>
        <w:t>实验规模：9任务 x 2条件 x 5次重复 = 90次实验，总计450次API调用。基础模型：MiMo-v2.5-pro。</w:t>
      </w:r>
    </w:p>
    <w:p>
      <w:pPr>
        <w:pStyle w:val="Heading1"/>
      </w:pPr>
      <w:r>
        <w:t>4. 实验结果</w:t>
      </w:r>
    </w:p>
    <w:p>
      <w:pPr>
        <w:pStyle w:val="Heading2"/>
      </w:pPr>
      <w:r>
        <w:t>4.1 总体性能</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条件</w:t>
            </w:r>
          </w:p>
        </w:tc>
        <w:tc>
          <w:tcPr>
            <w:tcW w:type="dxa" w:w="1440"/>
          </w:tcPr>
          <w:p>
            <w:r>
              <w:t>样本数</w:t>
            </w:r>
          </w:p>
        </w:tc>
        <w:tc>
          <w:tcPr>
            <w:tcW w:type="dxa" w:w="1440"/>
          </w:tcPr>
          <w:p>
            <w:r>
              <w:t>成功率</w:t>
            </w:r>
          </w:p>
        </w:tc>
        <w:tc>
          <w:tcPr>
            <w:tcW w:type="dxa" w:w="1440"/>
          </w:tcPr>
          <w:p>
            <w:r>
              <w:t>平均Token</w:t>
            </w:r>
          </w:p>
        </w:tc>
        <w:tc>
          <w:tcPr>
            <w:tcW w:type="dxa" w:w="1440"/>
          </w:tcPr>
          <w:p>
            <w:r>
              <w:t>平均时间(秒)</w:t>
            </w:r>
          </w:p>
        </w:tc>
        <w:tc>
          <w:tcPr>
            <w:tcW w:type="dxa" w:w="1440"/>
          </w:tcPr>
          <w:p>
            <w:r>
              <w:t>平均质量</w:t>
            </w:r>
          </w:p>
        </w:tc>
      </w:tr>
      <w:tr>
        <w:tc>
          <w:tcPr>
            <w:tcW w:type="dxa" w:w="1440"/>
          </w:tcPr>
          <w:p>
            <w:r>
              <w:t>ST</w:t>
            </w:r>
          </w:p>
        </w:tc>
        <w:tc>
          <w:tcPr>
            <w:tcW w:type="dxa" w:w="1440"/>
          </w:tcPr>
          <w:p>
            <w:r>
              <w:t>45</w:t>
            </w:r>
          </w:p>
        </w:tc>
        <w:tc>
          <w:tcPr>
            <w:tcW w:type="dxa" w:w="1440"/>
          </w:tcPr>
          <w:p>
            <w:r>
              <w:t>100.0%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100.0%</w:t>
            </w:r>
          </w:p>
        </w:tc>
        <w:tc>
          <w:tcPr>
            <w:tcW w:type="dxa" w:w="1440"/>
          </w:tcPr>
          <w:p>
            <w:r>
              <w:t>8064</w:t>
            </w:r>
          </w:p>
        </w:tc>
        <w:tc>
          <w:tcPr>
            <w:tcW w:type="dxa" w:w="1440"/>
          </w:tcPr>
          <w:p>
            <w:r>
              <w:t>116.2</w:t>
            </w:r>
          </w:p>
        </w:tc>
        <w:tc>
          <w:tcPr>
            <w:tcW w:type="dxa" w:w="1440"/>
          </w:tcPr>
          <w:p>
            <w:r>
              <w:t>3.93</w:t>
            </w:r>
          </w:p>
        </w:tc>
      </w:tr>
    </w:tbl>
    <w:p/>
    <w:p>
      <w:pPr>
        <w:pStyle w:val="Heading2"/>
      </w:pPr>
      <w:r>
        <w:t>4.2 分不确定性水平效率分析</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不确定性</w:t>
            </w:r>
          </w:p>
        </w:tc>
        <w:tc>
          <w:tcPr>
            <w:tcW w:type="dxa" w:w="1234"/>
          </w:tcPr>
          <w:p>
            <w:r>
              <w:t>条件</w:t>
            </w:r>
          </w:p>
        </w:tc>
        <w:tc>
          <w:tcPr>
            <w:tcW w:type="dxa" w:w="1234"/>
          </w:tcPr>
          <w:p>
            <w:r>
              <w:t>样本数</w:t>
            </w:r>
          </w:p>
        </w:tc>
        <w:tc>
          <w:tcPr>
            <w:tcW w:type="dxa" w:w="1234"/>
          </w:tcPr>
          <w:p>
            <w:r>
              <w:t>平均Token</w:t>
            </w:r>
          </w:p>
        </w:tc>
        <w:tc>
          <w:tcPr>
            <w:tcW w:type="dxa" w:w="1234"/>
          </w:tcPr>
          <w:p>
            <w:r>
              <w:t>平均时间(秒)</w:t>
            </w:r>
          </w:p>
        </w:tc>
        <w:tc>
          <w:tcPr>
            <w:tcW w:type="dxa" w:w="1234"/>
          </w:tcPr>
          <w:p>
            <w:r>
              <w:t>平均质量</w:t>
            </w:r>
          </w:p>
        </w:tc>
        <w:tc>
          <w:tcPr>
            <w:tcW w:type="dxa" w:w="1234"/>
          </w:tcPr>
          <w:p>
            <w:r>
              <w:t>协调开销</w:t>
            </w:r>
          </w:p>
        </w:tc>
      </w:tr>
      <w:tr>
        <w:tc>
          <w:tcPr>
            <w:tcW w:type="dxa" w:w="1234"/>
          </w:tcPr>
          <w:p>
            <w:r>
              <w:t>低</w:t>
            </w:r>
          </w:p>
        </w:tc>
        <w:tc>
          <w:tcPr>
            <w:tcW w:type="dxa" w:w="1234"/>
          </w:tcPr>
          <w:p>
            <w:r>
              <w:t>ST</w:t>
            </w:r>
          </w:p>
        </w:tc>
        <w:tc>
          <w:tcPr>
            <w:tcW w:type="dxa" w:w="1234"/>
          </w:tcPr>
          <w:p>
            <w:r>
              <w:t>15</w:t>
            </w:r>
          </w:p>
        </w:tc>
        <w:tc>
          <w:tcPr>
            <w:tcW w:type="dxa" w:w="1234"/>
          </w:tcPr>
          <w:p>
            <w:r>
              <w:t>6533 (+-1220)</w:t>
            </w:r>
          </w:p>
        </w:tc>
        <w:tc>
          <w:tcPr>
            <w:tcW w:type="dxa" w:w="1234"/>
          </w:tcPr>
          <w:p>
            <w:r>
              <w:t>91.5 (+-17.4)</w:t>
            </w:r>
          </w:p>
        </w:tc>
        <w:tc>
          <w:tcPr>
            <w:tcW w:type="dxa" w:w="1234"/>
          </w:tcPr>
          <w:p>
            <w:r>
              <w:t>3.73</w:t>
            </w:r>
          </w:p>
        </w:tc>
        <w:tc>
          <w:tcPr>
            <w:tcW w:type="dxa" w:w="1234"/>
          </w:tcPr>
          <w:p>
            <w:r>
              <w:t>50.7%</w:t>
            </w:r>
          </w:p>
        </w:tc>
      </w:tr>
      <w:tr>
        <w:tc>
          <w:tcPr>
            <w:tcW w:type="dxa" w:w="1234"/>
          </w:tcPr>
          <w:p>
            <w:r>
              <w:t>低</w:t>
            </w:r>
          </w:p>
        </w:tc>
        <w:tc>
          <w:tcPr>
            <w:tcW w:type="dxa" w:w="1234"/>
          </w:tcPr>
          <w:p>
            <w:r>
              <w:t>AOM-DT</w:t>
            </w:r>
          </w:p>
        </w:tc>
        <w:tc>
          <w:tcPr>
            <w:tcW w:type="dxa" w:w="1234"/>
          </w:tcPr>
          <w:p>
            <w:r>
              <w:t>15</w:t>
            </w:r>
          </w:p>
        </w:tc>
        <w:tc>
          <w:tcPr>
            <w:tcW w:type="dxa" w:w="1234"/>
          </w:tcPr>
          <w:p>
            <w:r>
              <w:t>6876 (+-1463)</w:t>
            </w:r>
          </w:p>
        </w:tc>
        <w:tc>
          <w:tcPr>
            <w:tcW w:type="dxa" w:w="1234"/>
          </w:tcPr>
          <w:p>
            <w:r>
              <w:t>98.5 (+-18.5)</w:t>
            </w:r>
          </w:p>
        </w:tc>
        <w:tc>
          <w:tcPr>
            <w:tcW w:type="dxa" w:w="1234"/>
          </w:tcPr>
          <w:p>
            <w:r>
              <w:t>3.80</w:t>
            </w:r>
          </w:p>
        </w:tc>
        <w:tc>
          <w:tcPr>
            <w:tcW w:type="dxa" w:w="1234"/>
          </w:tcPr>
          <w:p>
            <w:r>
              <w:t>51.4%</w:t>
            </w:r>
          </w:p>
        </w:tc>
      </w:tr>
      <w:tr>
        <w:tc>
          <w:tcPr>
            <w:tcW w:type="dxa" w:w="1234"/>
          </w:tcPr>
          <w:p>
            <w:r>
              <w:t>中</w:t>
            </w:r>
          </w:p>
        </w:tc>
        <w:tc>
          <w:tcPr>
            <w:tcW w:type="dxa" w:w="1234"/>
          </w:tcPr>
          <w:p>
            <w:r>
              <w:t>ST</w:t>
            </w:r>
          </w:p>
        </w:tc>
        <w:tc>
          <w:tcPr>
            <w:tcW w:type="dxa" w:w="1234"/>
          </w:tcPr>
          <w:p>
            <w:r>
              <w:t>15</w:t>
            </w:r>
          </w:p>
        </w:tc>
        <w:tc>
          <w:tcPr>
            <w:tcW w:type="dxa" w:w="1234"/>
          </w:tcPr>
          <w:p>
            <w:r>
              <w:t>7893 (+-463)</w:t>
            </w:r>
          </w:p>
        </w:tc>
        <w:tc>
          <w:tcPr>
            <w:tcW w:type="dxa" w:w="1234"/>
          </w:tcPr>
          <w:p>
            <w:r>
              <w:t>113.1 (+-7.4)</w:t>
            </w:r>
          </w:p>
        </w:tc>
        <w:tc>
          <w:tcPr>
            <w:tcW w:type="dxa" w:w="1234"/>
          </w:tcPr>
          <w:p>
            <w:r>
              <w:t>4.00</w:t>
            </w:r>
          </w:p>
        </w:tc>
        <w:tc>
          <w:tcPr>
            <w:tcW w:type="dxa" w:w="1234"/>
          </w:tcPr>
          <w:p>
            <w:r>
              <w:t>54.8%</w:t>
            </w:r>
          </w:p>
        </w:tc>
      </w:tr>
      <w:tr>
        <w:tc>
          <w:tcPr>
            <w:tcW w:type="dxa" w:w="1234"/>
          </w:tcPr>
          <w:p>
            <w:r>
              <w:t>中</w:t>
            </w:r>
          </w:p>
        </w:tc>
        <w:tc>
          <w:tcPr>
            <w:tcW w:type="dxa" w:w="1234"/>
          </w:tcPr>
          <w:p>
            <w:r>
              <w:t>AOM-DT</w:t>
            </w:r>
          </w:p>
        </w:tc>
        <w:tc>
          <w:tcPr>
            <w:tcW w:type="dxa" w:w="1234"/>
          </w:tcPr>
          <w:p>
            <w:r>
              <w:t>15</w:t>
            </w:r>
          </w:p>
        </w:tc>
        <w:tc>
          <w:tcPr>
            <w:tcW w:type="dxa" w:w="1234"/>
          </w:tcPr>
          <w:p>
            <w:r>
              <w:t>8757 (+-327)</w:t>
            </w:r>
          </w:p>
        </w:tc>
        <w:tc>
          <w:tcPr>
            <w:tcW w:type="dxa" w:w="1234"/>
          </w:tcPr>
          <w:p>
            <w:r>
              <w:t>120.9 (+-5.0)</w:t>
            </w:r>
          </w:p>
        </w:tc>
        <w:tc>
          <w:tcPr>
            <w:tcW w:type="dxa" w:w="1234"/>
          </w:tcPr>
          <w:p>
            <w:r>
              <w:t>4.00</w:t>
            </w:r>
          </w:p>
        </w:tc>
        <w:tc>
          <w:tcPr>
            <w:tcW w:type="dxa" w:w="1234"/>
          </w:tcPr>
          <w:p>
            <w:r>
              <w:t>55.3%</w:t>
            </w:r>
          </w:p>
        </w:tc>
      </w:tr>
      <w:tr>
        <w:tc>
          <w:tcPr>
            <w:tcW w:type="dxa" w:w="1234"/>
          </w:tcPr>
          <w:p>
            <w:r>
              <w:t>高</w:t>
            </w:r>
          </w:p>
        </w:tc>
        <w:tc>
          <w:tcPr>
            <w:tcW w:type="dxa" w:w="1234"/>
          </w:tcPr>
          <w:p>
            <w:r>
              <w:t>ST</w:t>
            </w:r>
          </w:p>
        </w:tc>
        <w:tc>
          <w:tcPr>
            <w:tcW w:type="dxa" w:w="1234"/>
          </w:tcPr>
          <w:p>
            <w:r>
              <w:t>15</w:t>
            </w:r>
          </w:p>
        </w:tc>
        <w:tc>
          <w:tcPr>
            <w:tcW w:type="dxa" w:w="1234"/>
          </w:tcPr>
          <w:p>
            <w:r>
              <w:t>8175 (+-519)</w:t>
            </w:r>
          </w:p>
        </w:tc>
        <w:tc>
          <w:tcPr>
            <w:tcW w:type="dxa" w:w="1234"/>
          </w:tcPr>
          <w:p>
            <w:r>
              <w:t>122.8 (+-5.5)</w:t>
            </w:r>
          </w:p>
        </w:tc>
        <w:tc>
          <w:tcPr>
            <w:tcW w:type="dxa" w:w="1234"/>
          </w:tcPr>
          <w:p>
            <w:r>
              <w:t>4.00</w:t>
            </w:r>
          </w:p>
        </w:tc>
        <w:tc>
          <w:tcPr>
            <w:tcW w:type="dxa" w:w="1234"/>
          </w:tcPr>
          <w:p>
            <w:r>
              <w:t>54.8%</w:t>
            </w:r>
          </w:p>
        </w:tc>
      </w:tr>
      <w:tr>
        <w:tc>
          <w:tcPr>
            <w:tcW w:type="dxa" w:w="1234"/>
          </w:tcPr>
          <w:p>
            <w:r>
              <w:t>高</w:t>
            </w:r>
          </w:p>
        </w:tc>
        <w:tc>
          <w:tcPr>
            <w:tcW w:type="dxa" w:w="1234"/>
          </w:tcPr>
          <w:p>
            <w:r>
              <w:t>AOM-DT</w:t>
            </w:r>
          </w:p>
        </w:tc>
        <w:tc>
          <w:tcPr>
            <w:tcW w:type="dxa" w:w="1234"/>
          </w:tcPr>
          <w:p>
            <w:r>
              <w:t>15</w:t>
            </w:r>
          </w:p>
        </w:tc>
        <w:tc>
          <w:tcPr>
            <w:tcW w:type="dxa" w:w="1234"/>
          </w:tcPr>
          <w:p>
            <w:r>
              <w:t>8558 (+-287)</w:t>
            </w:r>
          </w:p>
        </w:tc>
        <w:tc>
          <w:tcPr>
            <w:tcW w:type="dxa" w:w="1234"/>
          </w:tcPr>
          <w:p>
            <w:r>
              <w:t>129.2 (+-4.5)</w:t>
            </w:r>
          </w:p>
        </w:tc>
        <w:tc>
          <w:tcPr>
            <w:tcW w:type="dxa" w:w="1234"/>
          </w:tcPr>
          <w:p>
            <w:r>
              <w:t>4.00</w:t>
            </w:r>
          </w:p>
        </w:tc>
        <w:tc>
          <w:tcPr>
            <w:tcW w:type="dxa" w:w="1234"/>
          </w:tcPr>
          <w:p>
            <w:r>
              <w:t>54.3%</w:t>
            </w:r>
          </w:p>
        </w:tc>
      </w:tr>
    </w:tbl>
    <w:p/>
    <w:p>
      <w:pPr>
        <w:pStyle w:val="Heading2"/>
      </w:pPr>
      <w:r>
        <w:t>4.3 Token效率对比</w:t>
      </w:r>
    </w:p>
    <w:p>
      <w:r>
        <w:t>与我们最初的假设相反，AOM-DT在所有不确定性水平上均比ST消耗更多Token和时间：</w:t>
      </w:r>
    </w:p>
    <w:p>
      <w:r>
        <w:t>低不确定性：AOM-DT平均消耗6876 Token，ST平均消耗6533 Token（差异+5.3%）。完成时间：AOM-DT 98.5秒 vs ST 91.5秒（差异+7.6%）。</w:t>
      </w:r>
    </w:p>
    <w:p>
      <w:r>
        <w:t>中不确定性：AOM-DT平均消耗8757 Token，ST平均消耗7893 Token（差异+10.9%）。完成时间：AOM-DT 120.9秒 vs ST 113.1秒（差异+6.9%）。</w:t>
      </w:r>
    </w:p>
    <w:p>
      <w:r>
        <w:t>高不确定性：AOM-DT平均消耗8558 Token，ST平均消耗8175 Token（差异+4.7%）。完成时间：AOM-DT 129.2秒 vs ST 122.8秒（差异+5.2%）。</w:t>
      </w:r>
    </w:p>
    <w:p>
      <w:pPr>
        <w:pStyle w:val="Heading2"/>
      </w:pPr>
      <w:r>
        <w:t>4.4 各智能体Token分布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智能体</w:t>
            </w:r>
          </w:p>
        </w:tc>
        <w:tc>
          <w:tcPr>
            <w:tcW w:type="dxa" w:w="2160"/>
          </w:tcPr>
          <w:p>
            <w:r>
              <w:t>AOM-DT风格</w:t>
            </w:r>
          </w:p>
        </w:tc>
        <w:tc>
          <w:tcPr>
            <w:tcW w:type="dxa" w:w="2160"/>
          </w:tcPr>
          <w:p>
            <w:r>
              <w:t>AOM-DT平均Token</w:t>
            </w:r>
          </w:p>
        </w:tc>
        <w:tc>
          <w:tcPr>
            <w:tcW w:type="dxa" w:w="2160"/>
          </w:tcPr>
          <w:p>
            <w:r>
              <w:t>ST平均Token</w:t>
            </w:r>
          </w:p>
        </w:tc>
      </w:tr>
      <w:tr>
        <w:tc>
          <w:tcPr>
            <w:tcW w:type="dxa" w:w="2160"/>
          </w:tcPr>
          <w:p>
            <w:r>
              <w:t>新手(R=0.24)</w:t>
            </w:r>
          </w:p>
        </w:tc>
        <w:tc>
          <w:tcPr>
            <w:tcW w:type="dxa" w:w="2160"/>
          </w:tcPr>
          <w:p>
            <w:r>
              <w:t>S1 告知式</w:t>
            </w:r>
          </w:p>
        </w:tc>
        <w:tc>
          <w:tcPr>
            <w:tcW w:type="dxa" w:w="2160"/>
          </w:tcPr>
          <w:p>
            <w:r>
              <w:t>1219</w:t>
            </w:r>
          </w:p>
        </w:tc>
        <w:tc>
          <w:tcPr>
            <w:tcW w:type="dxa" w:w="2160"/>
          </w:tcPr>
          <w:p>
            <w:r>
              <w:t>1139</w:t>
            </w:r>
          </w:p>
        </w:tc>
      </w:tr>
      <w:tr>
        <w:tc>
          <w:tcPr>
            <w:tcW w:type="dxa" w:w="2160"/>
          </w:tcPr>
          <w:p>
            <w:r>
              <w:t>成长期(R=0.54)</w:t>
            </w:r>
          </w:p>
        </w:tc>
        <w:tc>
          <w:tcPr>
            <w:tcW w:type="dxa" w:w="2160"/>
          </w:tcPr>
          <w:p>
            <w:r>
              <w:t>S3 参与式</w:t>
            </w:r>
          </w:p>
        </w:tc>
        <w:tc>
          <w:tcPr>
            <w:tcW w:type="dxa" w:w="2160"/>
          </w:tcPr>
          <w:p>
            <w:r>
              <w:t>1276</w:t>
            </w:r>
          </w:p>
        </w:tc>
        <w:tc>
          <w:tcPr>
            <w:tcW w:type="dxa" w:w="2160"/>
          </w:tcPr>
          <w:p>
            <w:r>
              <w:t>1195</w:t>
            </w:r>
          </w:p>
        </w:tc>
      </w:tr>
      <w:tr>
        <w:tc>
          <w:tcPr>
            <w:tcW w:type="dxa" w:w="2160"/>
          </w:tcPr>
          <w:p>
            <w:r>
              <w:t>资深(R=0.87)</w:t>
            </w:r>
          </w:p>
        </w:tc>
        <w:tc>
          <w:tcPr>
            <w:tcW w:type="dxa" w:w="2160"/>
          </w:tcPr>
          <w:p>
            <w:r>
              <w:t>S4 授权式</w:t>
            </w:r>
          </w:p>
        </w:tc>
        <w:tc>
          <w:tcPr>
            <w:tcW w:type="dxa" w:w="2160"/>
          </w:tcPr>
          <w:p>
            <w:r>
              <w:t>1216</w:t>
            </w:r>
          </w:p>
        </w:tc>
        <w:tc>
          <w:tcPr>
            <w:tcW w:type="dxa" w:w="2160"/>
          </w:tcPr>
          <w:p>
            <w:r>
              <w:t>1156</w:t>
            </w:r>
          </w:p>
        </w:tc>
      </w:tr>
    </w:tbl>
    <w:p/>
    <w:p>
      <w:pPr>
        <w:pStyle w:val="Heading1"/>
      </w:pPr>
      <w:r>
        <w:t>5. 讨论</w:t>
      </w:r>
    </w:p>
    <w:p>
      <w:pPr>
        <w:pStyle w:val="Heading2"/>
      </w:pPr>
      <w:r>
        <w:t>5.1 关键发现</w:t>
      </w:r>
    </w:p>
    <w:p>
      <w:r>
        <w:t>1. 成功率持平：两种条件均达到100%成功率，质量相当（约3.9/5分），确认风格切换不会损害可靠性。</w:t>
      </w:r>
    </w:p>
    <w:p>
      <w:r>
        <w:t>2. 效率开销：AOM-DT多消耗7.0%的Token，多花费6.4%的时间。这归因于自主性-冗长度权衡：S3/S4风格激发有能力的智能体产生更长、更具探索性的输出。</w:t>
      </w:r>
    </w:p>
    <w:p>
      <w:r>
        <w:t>3. 协调开销相当：两种条件的协调开销均约为53-54%，确认效率差异来自工作者行为而非协调协议。</w:t>
      </w:r>
    </w:p>
    <w:p>
      <w:pPr>
        <w:pStyle w:val="Heading2"/>
      </w:pPr>
      <w:r>
        <w:t>5.1.1 版本演进与实验调和：从V1到V3</w:t>
      </w:r>
    </w:p>
    <w:p>
      <w:r>
        <w:t>本论文在三天内经历了三个版本的迭代。版本演进反映了从理论框架到实证验证、从模拟数据到真实证据的深思熟虑的推进过程。本节记录这一演进过程，调和各版本之间看似矛盾的实验发现，并从矛盾中提取更深层的洞见。</w:t>
      </w:r>
    </w:p>
    <w:p>
      <w:r>
        <w:t>表1：V1、V2、V3核心变化一览。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V1 (5月30日)</w:t>
            </w:r>
          </w:p>
        </w:tc>
        <w:tc>
          <w:tcPr>
            <w:tcW w:type="dxa" w:w="2160"/>
          </w:tcPr>
          <w:p>
            <w:r>
              <w:t>V2 (5月30日)</w:t>
            </w:r>
          </w:p>
        </w:tc>
        <w:tc>
          <w:tcPr>
            <w:tcW w:type="dxa" w:w="2160"/>
          </w:tcPr>
          <w:p>
            <w:r>
              <w:t>V3 (6月1日)</w:t>
            </w:r>
          </w:p>
        </w:tc>
      </w:tr>
      <w:tr>
        <w:tc>
          <w:tcPr>
            <w:tcW w:type="dxa" w:w="2160"/>
          </w:tcPr>
          <w:p>
            <w:r>
              <w:t>核心贡献</w:t>
            </w:r>
          </w:p>
        </w:tc>
        <w:tc>
          <w:tcPr>
            <w:tcW w:type="dxa" w:w="2160"/>
          </w:tcPr>
          <w:p>
            <w:r>
              <w:t>AOM理论框架：管理理论到Agent系统的映射</w:t>
            </w:r>
          </w:p>
        </w:tc>
        <w:tc>
          <w:tcPr>
            <w:tcW w:type="dxa" w:w="2160"/>
          </w:tcPr>
          <w:p>
            <w:r>
              <w:t>新增：相关工作定位、控制-涌现平衡猜想、实验框架、局限性分析、AOM-Lite MVP</w:t>
            </w:r>
          </w:p>
        </w:tc>
        <w:tc>
          <w:tcPr>
            <w:tcW w:type="dxa" w:w="2160"/>
          </w:tcPr>
          <w:p>
            <w:r>
              <w:t>新增：大规模真实实验(N=90)、效率分析、自主性-冗长度权衡</w:t>
            </w:r>
          </w:p>
        </w:tc>
      </w:tr>
      <w:tr>
        <w:tc>
          <w:tcPr>
            <w:tcW w:type="dxa" w:w="2160"/>
          </w:tcPr>
          <w:p>
            <w:r>
              <w:t>实验数据</w:t>
            </w:r>
          </w:p>
        </w:tc>
        <w:tc>
          <w:tcPr>
            <w:tcW w:type="dxa" w:w="2160"/>
          </w:tcPr>
          <w:p>
            <w:r>
              <w:t>无</w:t>
            </w:r>
          </w:p>
        </w:tc>
        <w:tc>
          <w:tcPr>
            <w:tcW w:type="dxa" w:w="2160"/>
          </w:tcPr>
          <w:p>
            <w:r>
              <w:t>1,900次模拟实验(计划)；60次模拟实验(执行)</w:t>
            </w:r>
          </w:p>
        </w:tc>
        <w:tc>
          <w:tcPr>
            <w:tcW w:type="dxa" w:w="2160"/>
          </w:tcPr>
          <w:p>
            <w:r>
              <w:t>90次真实LLM实验(360次API调用)</w:t>
            </w:r>
          </w:p>
        </w:tc>
      </w:tr>
      <w:tr>
        <w:tc>
          <w:tcPr>
            <w:tcW w:type="dxa" w:w="2160"/>
          </w:tcPr>
          <w:p>
            <w:r>
              <w:t>Agent配置</w:t>
            </w:r>
          </w:p>
        </w:tc>
        <w:tc>
          <w:tcPr>
            <w:tcW w:type="dxa" w:w="2160"/>
          </w:tcPr>
          <w:p>
            <w:r>
              <w:t>不适用</w:t>
            </w:r>
          </w:p>
        </w:tc>
        <w:tc>
          <w:tcPr>
            <w:tcW w:type="dxa" w:w="2160"/>
          </w:tcPr>
          <w:p>
            <w:r>
              <w:t>单一Agent(准备度=0.54)</w:t>
            </w:r>
          </w:p>
        </w:tc>
        <w:tc>
          <w:tcPr>
            <w:tcW w:type="dxa" w:w="2160"/>
          </w:tcPr>
          <w:p>
            <w:r>
              <w:t>4个异质Agent(准备度0.24-0.95)</w:t>
            </w:r>
          </w:p>
        </w:tc>
      </w:tr>
      <w:tr>
        <w:tc>
          <w:tcPr>
            <w:tcW w:type="dxa" w:w="2160"/>
          </w:tcPr>
          <w:p>
            <w:r>
              <w:t>数据来源</w:t>
            </w:r>
          </w:p>
        </w:tc>
        <w:tc>
          <w:tcPr>
            <w:tcW w:type="dxa" w:w="2160"/>
          </w:tcPr>
          <w:p>
            <w:r>
              <w:t>不适用</w:t>
            </w:r>
          </w:p>
        </w:tc>
        <w:tc>
          <w:tcPr>
            <w:tcW w:type="dxa" w:w="2160"/>
          </w:tcPr>
          <w:p>
            <w:r>
              <w:t>模拟数据(随机数生成)</w:t>
            </w:r>
          </w:p>
        </w:tc>
        <w:tc>
          <w:tcPr>
            <w:tcW w:type="dxa" w:w="2160"/>
          </w:tcPr>
          <w:p>
            <w:r>
              <w:t>真实LLM API(MiMo-v2.5-pro)</w:t>
            </w:r>
          </w:p>
        </w:tc>
      </w:tr>
      <w:tr>
        <w:tc>
          <w:tcPr>
            <w:tcW w:type="dxa" w:w="2160"/>
          </w:tcPr>
          <w:p>
            <w:r>
              <w:t>实验发现</w:t>
            </w:r>
          </w:p>
        </w:tc>
        <w:tc>
          <w:tcPr>
            <w:tcW w:type="dxa" w:w="2160"/>
          </w:tcPr>
          <w:p>
            <w:r>
              <w:t>不适用</w:t>
            </w:r>
          </w:p>
        </w:tc>
        <w:tc>
          <w:tcPr>
            <w:tcW w:type="dxa" w:w="2160"/>
          </w:tcPr>
          <w:p>
            <w:r>
              <w:t>AOM-DT节省16% Token，快20%</w:t>
            </w:r>
          </w:p>
        </w:tc>
        <w:tc>
          <w:tcPr>
            <w:tcW w:type="dxa" w:w="2160"/>
          </w:tcPr>
          <w:p>
            <w:r>
              <w:t>AOM-DT多消耗7% Token，慢6.4%</w:t>
            </w:r>
          </w:p>
        </w:tc>
      </w:tr>
      <w:tr>
        <w:tc>
          <w:tcPr>
            <w:tcW w:type="dxa" w:w="2160"/>
          </w:tcPr>
          <w:p>
            <w:r>
              <w:t>诚实程度</w:t>
            </w:r>
          </w:p>
        </w:tc>
        <w:tc>
          <w:tcPr>
            <w:tcW w:type="dxa" w:w="2160"/>
          </w:tcPr>
          <w:p>
            <w:r>
              <w:t>纯理论，未声称实证验证</w:t>
            </w:r>
          </w:p>
        </w:tc>
        <w:tc>
          <w:tcPr>
            <w:tcW w:type="dxa" w:w="2160"/>
          </w:tcPr>
          <w:p>
            <w:r>
              <w:t>承认模拟局限性</w:t>
            </w:r>
          </w:p>
        </w:tc>
        <w:tc>
          <w:tcPr>
            <w:tcW w:type="dxa" w:w="2160"/>
          </w:tcPr>
          <w:p>
            <w:r>
              <w:t>透明报告反直觉发现</w:t>
            </w:r>
          </w:p>
        </w:tc>
      </w:tr>
      <w:tr>
        <w:tc>
          <w:tcPr>
            <w:tcW w:type="dxa" w:w="2160"/>
          </w:tcPr>
          <w:p>
            <w:r>
              <w:t>版本号</w:t>
            </w:r>
          </w:p>
        </w:tc>
        <w:tc>
          <w:tcPr>
            <w:tcW w:type="dxa" w:w="2160"/>
          </w:tcPr>
          <w:p>
            <w:r>
              <w:t>v1.0</w:t>
            </w:r>
          </w:p>
        </w:tc>
        <w:tc>
          <w:tcPr>
            <w:tcW w:type="dxa" w:w="2160"/>
          </w:tcPr>
          <w:p>
            <w:r>
              <w:t>v2.0</w:t>
            </w:r>
          </w:p>
        </w:tc>
        <w:tc>
          <w:tcPr>
            <w:tcW w:type="dxa" w:w="2160"/>
          </w:tcPr>
          <w:p>
            <w:r>
              <w:t>v3.0</w:t>
            </w:r>
          </w:p>
        </w:tc>
      </w:tr>
    </w:tbl>
    <w:p/>
    <w:p>
      <w:r>
        <w:t>这一演进最引人注目的特征是实验结论的反转：V2报告AOM-DT更高效（-16% Token），V3报告其效率更低（+7% Token）。这不是矛盾——而是两个实验之间根本性方法论差异的结果。</w:t>
      </w:r>
    </w:p>
    <w:p>
      <w:pPr>
        <w:pStyle w:val="Heading3"/>
      </w:pPr>
      <w:r>
        <w:t>V2与V3的方法论差异</w:t>
      </w:r>
    </w:p>
    <w:p>
      <w:r>
        <w:t>V2和V3实验在五个关键维度上存在差异，每个差异都对分歧的发现有所贡献：</w:t>
      </w:r>
    </w:p>
    <w:p>
      <w:r>
        <w:t>1. 数据真实性。V2使用模拟数据：执行时间和Token消耗由预定义范围内的随机数生成器产生，而非实际LLM调用。V3使用MiMo-v2.5-pro的真实API调用，捕获了生产级LLM的实际行为。V2的模拟隐含地假设Token消耗与指令长度成正比——这是一个合理的工程启发式，但未能捕获LLM在高自主性提示下涌现出的冗长行为。</w:t>
      </w:r>
    </w:p>
    <w:p>
      <w:r>
        <w:t>2. Agent同质性 vs. 异质性。V2测试了单一Agent（准备度0.54）。在AOM-DT条件下，该Agent接收S3（参与式）风格；在ST条件下，接收S1（告知式）。全部效率差异归因于单一Agent类型的S3 vs. S1比较。V3测试了四个覆盖完整准备度谱系（0.24-0.95）的Agent，AOM-DT为新手分配S1、为成长期Agent分配S3、为资深Agent分配S4。因此V3的效率比较是三种不同风格分配的加权平均，而非单一配对比较。</w:t>
      </w:r>
    </w:p>
    <w:p>
      <w:r>
        <w:t>3. 协调架构。V2是单Agent实验——每个Agent独立执行任务。V3采用多Agent协调架构：一个协调者Agent分解任务并分配子任务，三个工作者并行执行，协调者整合最终输出。这引入了V2中不存在的协调开销（约占总Token的54%），更接近真实世界的多Agent部署场景。</w:t>
      </w:r>
    </w:p>
    <w:p>
      <w:r>
        <w:t>4. 任务设计。V2使用15个带有模拟描述的任务；V3使用9个具有真实领域特征的任务（如"设计一套基于多Agent协作的在线教育平台架构"）。V3中更真实的任务激发LLM产生更实质性的回复，放大了不同风格之间的冗长度差异。</w:t>
      </w:r>
    </w:p>
    <w:p>
      <w:r>
        <w:t>5. 样本量与重复次数。V2每条件重复2次（N=60）；V3每条件重复5次（N=90）。V3更大的样本量提供了更强的统计检验力和更稳定的估计。</w:t>
      </w:r>
    </w:p>
    <w:p>
      <w:pPr>
        <w:pStyle w:val="Heading3"/>
      </w:pPr>
      <w:r>
        <w:t>效率反转的根因</w:t>
      </w:r>
    </w:p>
    <w:p>
      <w:r>
        <w:t>效率反转植根于模拟行为与真实LLM行为之间一个根本性的差异：在模拟中，Token消耗被建模为与指令详细程度成正比——更简要的指令（S3/S4）消耗更少Token。在现实中，LLM表现出相反的行为：高自主性指令会激发更冗长、更具探索性的输出。我们将此称为"自主性-冗长度权衡"。</w:t>
      </w:r>
    </w:p>
    <w:p>
      <w:r>
        <w:t>在V2的模拟中，S3（参与式）提示比S1（告知式）提示更短，且模拟输出长度从固定的随机范围中抽取，与风格无关。结果不可避免：更短的输入 + 相同的输出 = 更少的总Token。在V3的真实实验中，S3/S4提示确实更短，但LLM以成比例的更长输出作为回应——更多推理、更多探索、更多阐述——因为提示信号表明期望自主、深入的回复。各工作者的Token数据证实了这一点：在AOM-DT条件下，接收S3和S4的工作者B和C分别比ST条件下（全部接收S1）多消耗6.8%和5.2%的Token，尽管接收到的指令更短。</w:t>
      </w:r>
    </w:p>
    <w:p>
      <w:pPr>
        <w:pStyle w:val="Heading3"/>
      </w:pPr>
      <w:r>
        <w:t>调和：不是矛盾，而是深化</w:t>
      </w:r>
    </w:p>
    <w:p>
      <w:r>
        <w:t>V2和V3的发现并不矛盾——它们是互补的，各自照亮了同一现象的不同侧面：</w:t>
      </w:r>
    </w:p>
    <w:p>
      <w:r>
        <w:t>V2证明了，原则上，当系统被建模为理想化的信息通道时，自适应风格匹配可以减少沟通开销。这验证了AOM的理论前提：风格自适应协调在结构上优于统一协调。</w:t>
      </w:r>
    </w:p>
    <w:p>
      <w:r>
        <w:t>V3证明了，在实践中，真实LLM引入了一个行为混淆因素——自主性-冗长度权衡——它可以反转理论预测的效率收益。这并不否定理论；它识别出了理论在实践中得以实现所必须解决的具体机制（LLM冗长度校准）。</w:t>
      </w:r>
    </w:p>
    <w:p>
      <w:r>
        <w:t>两个实验共同揭示了一个更深层的规律：基于LLM的多智能体系统中，自适应协调的效率不仅取决于指令风格与Agent能力的匹配程度，还取决于LLM将输出冗长度校准到指令自主性水平的能力。当这种校准完美时（如V2的理想化模拟），自适应协调严格更高效。当这种校准缺失时（如当前LLM），自适应协调以效率换取适应性。</w:t>
      </w:r>
    </w:p>
    <w:p>
      <w:pPr>
        <w:pStyle w:val="Heading3"/>
      </w:pPr>
      <w:r>
        <w:t>V3揭示了V2无法发现的三个事实</w:t>
      </w:r>
    </w:p>
    <w:p>
      <w:r>
        <w:t>1. 自主性-冗长度权衡是当前LLM的行为特性，而非AOM框架的设计缺陷。这只能在真实实验中观察到，模拟无法发现。</w:t>
      </w:r>
    </w:p>
    <w:p>
      <w:r>
        <w:t>2. 协调开销相当可观（约占总Token的54%）且在两种条件间可比。这意味着多Agent协调协议本身不是效率差异的来源——工作者行为才是。</w:t>
      </w:r>
    </w:p>
    <w:p>
      <w:r>
        <w:t>3. 成功率和质量在两种条件下都是稳健的。ST和AOM-DT均达到100%成功率和约3.9/5的质量。这表明AOM-DT的主要价值在于适应性和鲁棒性，而非Token效率——这一重新定位只有在真实性能数据否定了效率假说之后才变得可见。</w:t>
      </w:r>
    </w:p>
    <w:p>
      <w:pPr>
        <w:pStyle w:val="Heading3"/>
      </w:pPr>
      <w:r>
        <w:t>未解决的问题</w:t>
      </w:r>
    </w:p>
    <w:p>
      <w:r>
        <w:t>尽管从V1到V3取得了进展，仍有若干问题未获解决：</w:t>
      </w:r>
    </w:p>
    <w:p>
      <w:r>
        <w:t>1. 在S3/S4提示中加入输出长度约束能否恢复理论预测的效率收益？V3识别了问题（冗长度），但未测试解决方案（显式长度约束）。这是最高优先级的后续工作。</w:t>
      </w:r>
    </w:p>
    <w:p>
      <w:r>
        <w:t>2. AOM-DT的适应性优势是否在更难的条件下显现？V3中所有任务都在所有Agent的能力范围内。风格自适应协调的价值可能只在任务难到风格不匹配会导致失败时才显现——这一条件尚未被测试。</w:t>
      </w:r>
    </w:p>
    <w:p>
      <w:r>
        <w:t>3. 真正不同的Agent模型（而非同一模型的不同提示词变体）对风格切换的响应如何？V3的"异质"Agent全部是使用不同系统提示词的MiMo-v2.5-pro。真正的异质性可能产生不同的动态。</w:t>
      </w:r>
    </w:p>
    <w:p>
      <w:r>
        <w:t>4. 不同任务类型的最优gamma（准备度权重）是多少？V2的理论框架提出了gamma-任务耦合假说，但V2和V3均未实验验证。</w:t>
      </w:r>
    </w:p>
    <w:p>
      <w:pPr>
        <w:pStyle w:val="Heading2"/>
      </w:pPr>
      <w:r>
        <w:t>5.2 自主性-冗长度权衡</w:t>
      </w:r>
    </w:p>
    <w:p>
      <w:r>
        <w:t>本实验的核心发现是"自主性-冗长度权衡"：当基于LLM的智能体接收到高自主性指令（S3参与式、S4授权式）时，相比接收到详细指令（S1告知式），它们会产生更冗长、更具探索性的输出。这是当前LLM的行为特性，而非AOM框架的缺陷。</w:t>
      </w:r>
    </w:p>
    <w:p>
      <w:r>
        <w:t>在人类管理中，授权给有能力的员工通常会减少沟通开销，因为人类可以根据情境调节输出长度。当前的LLM缺乏这种校准能力——它们倾向于用更多文本来"填充"自主性空间。这表明，有效的AOM实现需要：（1）在S3/S4提示词中加入输出长度约束；（2）使用能更好校准冗长度与指令风格关系的LLM。</w:t>
      </w:r>
    </w:p>
    <w:p>
      <w:pPr>
        <w:pStyle w:val="Heading2"/>
      </w:pPr>
      <w:r>
        <w:t>5.3 对多智能体系统设计的启示</w:t>
      </w:r>
    </w:p>
    <w:p>
      <w:r>
        <w:t>1. 统一协调是有效的：对于所有智能体能力范围内的任务，固定的S1告知式风格出人意料地有效且Token高效。对于常规任务，自适应协调的额外开销可能并不合理。</w:t>
      </w:r>
    </w:p>
    <w:p>
      <w:r>
        <w:t>2. 自适应协调的价值超越效率：AOM-DT的优势在于优雅地处理异质能力和新情境。它的价值在边界处显现——当任务足够难以至于风格不匹配导致失败时。</w:t>
      </w:r>
    </w:p>
    <w:p>
      <w:r>
        <w:t>3. LLM冗长度校准很重要：当前LLM不会根据指令自主性调节输出长度。未来的AOM实现应在高自主性风格中显式约束输出长度以恢复效率收益。</w:t>
      </w:r>
    </w:p>
    <w:p>
      <w:pPr>
        <w:pStyle w:val="Heading1"/>
      </w:pPr>
      <w:r>
        <w:t>6. 局限性</w:t>
      </w:r>
    </w:p>
    <w:p>
      <w:r>
        <w:t>1. 单一模型：所有实验使用MiMo-v2.5-pro，结果可能因不同LLM而异。</w:t>
        <w:br/>
        <w:t>2. 启发式质量评估：质量评分基于输出特征而非人工评估，可能引入偏差。</w:t>
        <w:br/>
        <w:t>3. 模拟异质性：智能体能力通过提示词工程模拟，而非使用真正不同的模型。</w:t>
        <w:br/>
        <w:t>4. 任务范围：9个任务可能无法代表多智能体任务的完整空间。</w:t>
        <w:br/>
        <w:t>5. 缺乏人工评估：自动化指标可能遗漏细微的质量差异。</w:t>
      </w:r>
    </w:p>
    <w:p>
      <w:pPr>
        <w:pStyle w:val="Heading1"/>
      </w:pPr>
      <w:r>
        <w:t>7. 结论</w:t>
      </w:r>
    </w:p>
    <w:p>
      <w:r>
        <w:t>本V3大规模实验（N=90）提供了关于多智能体系统中动态领导风格切换成本与收益的稳健、诚实的证据。虽然AOM-DT达到了与ST相当的成功率和质量，但它多消耗了7.0%的Token，多花费了6.4%的时间。我们将此识别为"自主性-冗长度权衡"——当前LLM的一个行为特性。</w:t>
      </w:r>
    </w:p>
    <w:p>
      <w:r>
        <w:t>这一发现并不否定AOM框架。相反，它凸显了情境领导在多智能体系统中的价值在于适应性和鲁棒性，而非Token效率。未来的实现应纳入输出长度约束，并探索能更好校准冗长度与指令风格关系的LLM。</w:t>
      </w:r>
    </w:p>
    <w:p>
      <w:r>
        <w:t>未来工作应：（1）使用真正异质的智能体模型进行测试；（2）在S3/S4提示词中加入显式输出长度约束；（3）引入人工评估输出质量；（4）探索动态切换影响成功率的更难任务；（5）整合其他AOM模块（MBO、注意力预算）以产生复合效应。</w:t>
      </w:r>
    </w:p>
    <w:p>
      <w:pPr/>
      <w:r>
        <w:t>本文始于一个命题：管理学百年积累的智慧可以被编译为多智能体系统的原生协作协议。三个版本、90次实验、一个反直觉的权衡之后，我们抵达的不是终点，而是起点。AOM的真正承诺不仅在于它可行——更在于它所开启的可能性。</w:t>
      </w:r>
    </w:p>
    <w:p>
      <w:pPr/>
      <w:r>
        <w:t>我们描绘这样一个未来：每个人都能拥有自己的智能体团队——一个协调者智能体将意图分解为任务，多个专业智能体并行执行，领导风格实时适应任务复杂度和智能体准备度。这一愿景将赫塞-布兰查德的情境领导从组织架构图延伸至人机交互界面——在那里，每个人都成为管理者，不是因为头衔，而是因为时代的必然。正如一位经验丰富的高管通过指挥链将战略转化为执行，一个装备了AOM的个体通过智能体链将意图转化为成果。</w:t>
      </w:r>
    </w:p>
    <w:p>
      <w:pPr/>
      <w:r>
        <w:t>其影响是结构性的。当一个人借助精心编排的智能体团队，就能分解复杂问题、并行执行子任务、综合结果并交付结构化输出——这些过去需要整个组织才能完成的能力——生产的单位就从企业转移到了个人。一位研究生可以部署一支文献综述团队。一位小企业主可以同时协调供应链、市场营销和客户服务。一位独立开发者可以按照完整工程团队的节奏进行架构设计、编码实现、测试验证和文档编写。这不是渐进式的效率提升，而是一个人所能成就之事的结构性变革。</w:t>
      </w:r>
    </w:p>
    <w:p>
      <w:pPr/>
      <w:r>
        <w:t>我们对AOM的最终愿景是：让组织智能成为每个人都能使用的工具，而不仅仅是管理公司的人的专利。当农民能像CEO协调部门一样流畅地协调智能体团队——当管理学不再只是商学院的一门课程，而是嵌入每一个AI助手中的能力——智能体组织管理学的承诺就将真正实现。一个人的企业时代，由百年管理思想的编译智慧所驱动，已经开始。</w:t>
      </w:r>
    </w:p>
    <w:p>
      <w:pPr>
        <w:pStyle w:val="Heading1"/>
      </w:pPr>
      <w:r>
        <w:t>参考文献</w:t>
      </w:r>
    </w:p>
    <w:p>
      <w:pPr>
        <w:pStyle w:val="ListNumber"/>
      </w:pPr>
      <w:r>
        <w:t>Hersey, P., &amp; Blanchard, K. H. (1969). Management of Organizational Behavior. Prentice Hall.</w:t>
      </w:r>
    </w:p>
    <w:p>
      <w:pPr>
        <w:pStyle w:val="ListNumber"/>
      </w:pPr>
      <w:r>
        <w:t>Fayol, H. (1916). Administration Industrielle et Generale. Dunod.</w:t>
      </w:r>
    </w:p>
    <w:p>
      <w:pPr>
        <w:pStyle w:val="ListNumber"/>
      </w:pPr>
      <w:r>
        <w:t>Weber, M. (1922). Wirtschaft und Gesellschaft. Mohr Siebeck.</w:t>
      </w:r>
    </w:p>
    <w:p>
      <w:pPr>
        <w:pStyle w:val="ListNumber"/>
      </w:pPr>
      <w:r>
        <w:t>Mintzberg, H. (1979). The Structuring of Organizations. Prentice Hall.</w:t>
      </w:r>
    </w:p>
    <w:p>
      <w:pPr>
        <w:pStyle w:val="ListNumber"/>
      </w:pPr>
      <w:r>
        <w:t>Drucker, P. F. (1954). The Practice of Management. Harper &amp; Row.</w:t>
      </w:r>
    </w:p>
    <w:p>
      <w:pPr>
        <w:pStyle w:val="ListNumber"/>
      </w:pPr>
      <w:r>
        <w:t>Vroom, V. H. (1964). Work and Motivation. Wiley.</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p>
      <w:pPr>
        <w:pStyle w:val="ListNumber"/>
      </w:pPr>
      <w:r>
        <w:t>Shook, J. (2008). Managing to Learn: Using the A3 Management Process. Lean Enterprise Institute.</w:t>
      </w:r>
    </w:p>
    <w:p>
      <w:pPr>
        <w:pStyle w:val="ListNumber"/>
      </w:pPr>
      <w:r>
        <w:t>Simon, H. A. (1955). A Behavioral Model of Rational Choice. Quarterly Journal of Economics, 69(1), 99–118.</w:t>
      </w:r>
    </w:p>
    <w:p>
      <w:pPr>
        <w:pStyle w:val="ListNumber"/>
      </w:pPr>
      <w:r>
        <w:t>Mintzberg, H. (1973). The Nature of Managerial Work. Harper &amp; 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