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《智能体组织管理学》v1.0 补充材料：五维度改进方案</w:t>
      </w:r>
    </w:p>
    <w:p>
      <w:r>
        <w:t xml:space="preserve">&gt; </w:t>
      </w:r>
      <w:r>
        <w:rPr>
          <w:b/>
        </w:rPr>
        <w:t>使用说明</w:t>
      </w:r>
      <w:r>
        <w:t>：本文档包含五个维度的可直接插入论文的素材。每个维度开头标注了建议插入位置。所有内容均基于论文现有理论框架生成，语言风格与原文保持一致。</w:t>
      </w:r>
    </w:p>
    <w:p>
      <w:r>
        <w:t>────────────────────────────────────────────────────────────</w:t>
      </w:r>
    </w:p>
    <w:p>
      <w:pPr>
        <w:pStyle w:val="Heading2"/>
      </w:pPr>
      <w:r>
        <w:t>目录</w:t>
      </w:r>
    </w:p>
    <w:p>
      <w:pPr>
        <w:pStyle w:val="ListBullet"/>
      </w:pPr>
      <w:r>
        <w:t>[任务一：最小可行性实验设计](#任务一最小可行性实验设计)</w:t>
      </w:r>
    </w:p>
    <w:p>
      <w:pPr>
        <w:pStyle w:val="ListBullet"/>
      </w:pPr>
      <w:r>
        <w:t>[任务二：理论创新深度挖掘](#任务二理论创新深度挖掘)</w:t>
      </w:r>
    </w:p>
    <w:p>
      <w:pPr>
        <w:pStyle w:val="ListBullet"/>
      </w:pPr>
      <w:r>
        <w:t>[任务三：相关工作与领域定位](#任务三相关工作与领域定位)</w:t>
      </w:r>
    </w:p>
    <w:p>
      <w:pPr>
        <w:pStyle w:val="ListBullet"/>
      </w:pPr>
      <w:r>
        <w:t>[任务四：系统性局限性分析](#任务四系统性局限性分析)</w:t>
      </w:r>
    </w:p>
    <w:p>
      <w:pPr>
        <w:pStyle w:val="ListBullet"/>
      </w:pPr>
      <w:r>
        <w:t>[任务五：最小产品落脚点设计](#任务五最小产品落脚点设计)</w:t>
      </w:r>
    </w:p>
    <w:p>
      <w:r>
        <w:t>────────────────────────────────────────────────────────────</w:t>
      </w:r>
    </w:p>
    <w:p>
      <w:pPr>
        <w:pStyle w:val="Heading2"/>
      </w:pPr>
      <w:r>
        <w:t>任务一：最小可行性实验设计</w:t>
      </w:r>
    </w:p>
    <w:p>
      <w:r>
        <w:t xml:space="preserve">&gt; </w:t>
      </w:r>
      <w:r>
        <w:rPr>
          <w:b/>
        </w:rPr>
        <w:t>建议插入位置</w:t>
      </w:r>
      <w:r>
        <w:t>：论文第3节（双向赋能）第3.2小节之后，作为新的第3.3小节"实验验证：情境领导动态拓扑的最小可行性检验"。原第3.3小节顺延为第3.4小节。</w:t>
      </w:r>
    </w:p>
    <w:p>
      <w:pPr>
        <w:pStyle w:val="Heading3"/>
      </w:pPr>
      <w:r>
        <w:t>1.1 实验设计</w:t>
      </w:r>
    </w:p>
    <w:p>
      <w:pPr>
        <w:pStyle w:val="Heading4"/>
      </w:pPr>
      <w:r>
        <w:t>1.1.1 实验目标</w:t>
      </w:r>
    </w:p>
    <w:p>
      <w:r>
        <w:t>本实验旨在对AOM框架的核心主张进行首次实证检验：</w:t>
      </w:r>
      <w:r>
        <w:rPr>
          <w:b/>
        </w:rPr>
        <w:t>在任务不确定性递增的条件下，基于管理理论的动态组织拓扑是否显著优于静态硬编码拓扑？</w:t>
      </w:r>
      <w:r>
        <w:t xml:space="preserve"> 我们选择情境领导理论（Hersey &amp; Blanchard, 1977）的工程化映射作为检验对象，原因有三：（1）该映射是论文中工程化程度最高的模块，具备可直接执行的算法描述；（2）其核心机制——根据Agent准备度动态切换领导风格——是AOM区别于现有框架的最鲜明特征；（3）该机制的输入输出均可量化，便于设置对照组。</w:t>
      </w:r>
    </w:p>
    <w:p>
      <w:pPr>
        <w:pStyle w:val="Heading4"/>
      </w:pPr>
      <w:r>
        <w:t>1.1.2 任务场景：多源情报分析报告生成</w:t>
      </w:r>
    </w:p>
    <w:p>
      <w:r>
        <w:t>我们选择</w:t>
      </w:r>
      <w:r>
        <w:rPr>
          <w:b/>
        </w:rPr>
        <w:t>多源情报分析报告生成</w:t>
      </w:r>
      <w:r>
        <w:t>作为实验任务。该任务的设定如下：</w:t>
      </w:r>
    </w:p>
    <w:p>
      <w:pPr>
        <w:pStyle w:val="ListBullet"/>
      </w:pPr>
      <w:r/>
      <w:r>
        <w:rPr>
          <w:b/>
        </w:rPr>
        <w:t>任务描述</w:t>
      </w:r>
      <w:r>
        <w:t>：给定一个研究主题（如"2025年全球半导体供应链风险分析"），系统需从5个异构数据源（学术论文数据库、新闻聚合API、行业报告库、社交媒体监测、政府公告库）检索信息，经交叉验证后生成一份结构化分析报告。</w:t>
      </w:r>
    </w:p>
    <w:p>
      <w:pPr>
        <w:pStyle w:val="ListBullet"/>
      </w:pPr>
      <w:r/>
      <w:r>
        <w:rPr>
          <w:b/>
        </w:rPr>
        <w:t>选择理由</w:t>
      </w:r>
      <w:r>
        <w:t>：</w:t>
      </w:r>
    </w:p>
    <w:p>
      <w:r>
        <w:t xml:space="preserve">  - 任务不确定性可通过控制数据源的噪声水平和信息冲突程度来精确调节；</w:t>
      </w:r>
    </w:p>
    <w:p>
      <w:r>
        <w:t xml:space="preserve">  - 任务需要多Agent协作（检索、筛选、交叉验证、综合撰写），而非单Agent可完成；</w:t>
      </w:r>
    </w:p>
    <w:p>
      <w:r>
        <w:t xml:space="preserve">  - 输出质量可客观评估（信息覆盖率、事实准确性、逻辑连贯性），减少评估主观性。</w:t>
      </w:r>
    </w:p>
    <w:p>
      <w:pPr>
        <w:pStyle w:val="Heading4"/>
      </w:pPr>
      <w:r>
        <w:t>1.1.3 对照组与实验组</w:t>
      </w:r>
    </w:p>
    <w:p>
      <w:r/>
      <w:r>
        <w:rPr>
          <w:b/>
        </w:rPr>
        <w:t>对照组（Static-Topology, ST）</w:t>
      </w:r>
      <w:r>
        <w:t>：采用静态拓扑，模拟AutoGen/CrewAI的典型协作模式。具体而言，使用固定的工作流图：</w:t>
      </w:r>
      <w:r>
        <w:rPr>
          <w:rFonts w:ascii="Consolas" w:hAnsi="Consolas"/>
          <w:sz w:val="18"/>
        </w:rPr>
        <w:t>Planner → [Retriever_1, Retriever_2, ..., Retriever_5] → Validator → Writer</w:t>
      </w:r>
      <w:r>
        <w:t>。每个Agent的角色、提示词和协作顺序在任务开始前硬编码，运行期间不做任何调整。Validator使用固定的验证规则，Writer使用固定的报告模板。无论任务特征如何，该流程均不变。</w:t>
      </w:r>
    </w:p>
    <w:p>
      <w:r/>
      <w:r>
        <w:rPr>
          <w:b/>
        </w:rPr>
        <w:t>实验组（AOM-Dynamic-Topology, AOM-DT）</w:t>
      </w:r>
      <w:r>
        <w:t>：采用AOM框架中的情境领导动态拓扑。具体而言：</w:t>
      </w:r>
    </w:p>
    <w:p>
      <w:pPr>
        <w:pStyle w:val="ListNumber"/>
      </w:pPr>
      <w:r/>
      <w:r>
        <w:rPr>
          <w:b/>
        </w:rPr>
        <w:t>准备度评估模块</w:t>
      </w:r>
      <w:r>
        <w:t xml:space="preserve">：在任务开始时和每个关键节点，系统根据论文2.2.1节的公式计算每个Agent的准备度得分 </w:t>
      </w:r>
      <w:r>
        <w:rPr>
          <w:rFonts w:ascii="Consolas" w:hAnsi="Consolas"/>
          <w:sz w:val="18"/>
        </w:rPr>
        <w:t>RS_i = γ · HTSR_i + (1-γ) · Conf_i</w:t>
      </w:r>
      <w:r>
        <w:t>。</w:t>
      </w:r>
    </w:p>
    <w:p>
      <w:pPr>
        <w:pStyle w:val="ListNumber"/>
      </w:pPr>
      <w:r/>
      <w:r>
        <w:rPr>
          <w:b/>
        </w:rPr>
        <w:t>领导风格选择模块</w:t>
      </w:r>
      <w:r>
        <w:t>：根据准备度得分和论文2.2.1节的分段函数，动态选择领导风格（S1-Telling / S2-Selling / S3-Participating / S4-Delegating）。</w:t>
      </w:r>
    </w:p>
    <w:p>
      <w:pPr>
        <w:pStyle w:val="ListNumber"/>
      </w:pPr>
      <w:r/>
      <w:r>
        <w:rPr>
          <w:b/>
        </w:rPr>
        <w:t>组织拓扑切换模块</w:t>
      </w:r>
      <w:r>
        <w:t>：根据任务不确定性水平，结合论文2.1.3节的明茨伯格构型选择公式，动态切换组织结构（如从科层制流水线切换到专案制动态组队）。</w:t>
      </w:r>
    </w:p>
    <w:p>
      <w:pPr>
        <w:pStyle w:val="Heading4"/>
      </w:pPr>
      <w:r>
        <w:t>1.1.4 变量定义</w:t>
      </w:r>
    </w:p>
    <w:p>
      <w:r>
        <w:t>| 变量类型 | 变量名称 | 操作化定义 | 取值范围 |</w:t>
      </w:r>
    </w:p>
    <w:p>
      <w:r>
        <w:t>|---------|---------|-----------|---------|</w:t>
      </w:r>
    </w:p>
    <w:p>
      <w:r>
        <w:t xml:space="preserve">| </w:t>
      </w:r>
      <w:r>
        <w:rPr>
          <w:b/>
        </w:rPr>
        <w:t>自变量</w:t>
      </w:r>
      <w:r>
        <w:t xml:space="preserve"> | 任务不确定性 U | 数据源噪声率 × 信息冲突率的加权平均。噪声率：每个数据源中错误信息的比例；冲突率：不同数据源之间矛盾信息的比例 | U ∈ [0.05, 0.95]，步长0.05，共19个水平 |</w:t>
      </w:r>
    </w:p>
    <w:p>
      <w:r>
        <w:t xml:space="preserve">| </w:t>
      </w:r>
      <w:r>
        <w:rPr>
          <w:b/>
        </w:rPr>
        <w:t>因变量</w:t>
      </w:r>
      <w:r>
        <w:t xml:space="preserve"> | 任务完成率 CR | 成功生成合格报告的比率（合格标准：信息覆盖率≥80%，事实准确率≥90%，无逻辑矛盾） | [0, 1] |</w:t>
      </w:r>
    </w:p>
    <w:p>
      <w:r>
        <w:t xml:space="preserve">| </w:t>
      </w:r>
      <w:r>
        <w:rPr>
          <w:b/>
        </w:rPr>
        <w:t>因变量</w:t>
      </w:r>
      <w:r>
        <w:t xml:space="preserve"> | 平均完成时间 T | 从任务下发到报告交付的端到端时间（秒） | (0, +∞) |</w:t>
      </w:r>
    </w:p>
    <w:p>
      <w:r>
        <w:t xml:space="preserve">| </w:t>
      </w:r>
      <w:r>
        <w:rPr>
          <w:b/>
        </w:rPr>
        <w:t>因变量</w:t>
      </w:r>
      <w:r>
        <w:t xml:space="preserve"> | 资源消耗 R | 总Token消耗量（输入+输出），作为计算资源的代理指标 | (0, +∞) |</w:t>
      </w:r>
    </w:p>
    <w:p>
      <w:r>
        <w:t xml:space="preserve">| </w:t>
      </w:r>
      <w:r>
        <w:rPr>
          <w:b/>
        </w:rPr>
        <w:t>控制变量</w:t>
      </w:r>
      <w:r>
        <w:t xml:space="preserve"> | Agent能力基线 | 所有Agent使用同一基础模型（如GPT-4o），确保能力水平一致 | 固定 |</w:t>
      </w:r>
    </w:p>
    <w:p>
      <w:r>
        <w:t xml:space="preserve">| </w:t>
      </w:r>
      <w:r>
        <w:rPr>
          <w:b/>
        </w:rPr>
        <w:t>控制变量</w:t>
      </w:r>
      <w:r>
        <w:t xml:space="preserve"> | 可用工具集 | 两组Agent可调用的工具完全相同（5个数据源API + 文本处理工具） | 固定 |</w:t>
      </w:r>
    </w:p>
    <w:p>
      <w:r>
        <w:t xml:space="preserve">| </w:t>
      </w:r>
      <w:r>
        <w:rPr>
          <w:b/>
        </w:rPr>
        <w:t>控制变量</w:t>
      </w:r>
      <w:r>
        <w:t xml:space="preserve"> | 任务主题 | 每个不确定性水平下，两组使用相同的任务主题，通过拉丁方设计消除主题效应 | 固定 |</w:t>
      </w:r>
    </w:p>
    <w:p>
      <w:pPr>
        <w:pStyle w:val="Heading4"/>
      </w:pPr>
      <w:r>
        <w:t>1.1.5 实验规模</w:t>
      </w:r>
    </w:p>
    <w:p>
      <w:pPr>
        <w:pStyle w:val="ListBullet"/>
      </w:pPr>
      <w:r/>
      <w:r>
        <w:rPr>
          <w:b/>
        </w:rPr>
        <w:t>Agent数量</w:t>
      </w:r>
      <w:r>
        <w:t>：5个（1个协调者 + 5个功能Agent，其中协调者在AOM-DT组中兼任"管理者"角色）</w:t>
      </w:r>
    </w:p>
    <w:p>
      <w:pPr>
        <w:pStyle w:val="ListBullet"/>
      </w:pPr>
      <w:r/>
      <w:r>
        <w:rPr>
          <w:b/>
        </w:rPr>
        <w:t>不确定性水平</w:t>
      </w:r>
      <w:r>
        <w:t>：19个（U = 0.05, 0.10, 0.15, ..., 0.95）</w:t>
      </w:r>
    </w:p>
    <w:p>
      <w:pPr>
        <w:pStyle w:val="ListBullet"/>
      </w:pPr>
      <w:r/>
      <w:r>
        <w:rPr>
          <w:b/>
        </w:rPr>
        <w:t>每条件重复次数</w:t>
      </w:r>
      <w:r>
        <w:t>：50次（确保统计检验力≥0.80，效应量d=0.5，α=0.05）</w:t>
      </w:r>
    </w:p>
    <w:p>
      <w:pPr>
        <w:pStyle w:val="ListBullet"/>
      </w:pPr>
      <w:r/>
      <w:r>
        <w:rPr>
          <w:b/>
        </w:rPr>
        <w:t>总实验次数</w:t>
      </w:r>
      <w:r>
        <w:t xml:space="preserve">：19 × 50 × 2 = </w:t>
      </w:r>
      <w:r>
        <w:rPr>
          <w:b/>
        </w:rPr>
        <w:t>1,900次</w:t>
      </w:r>
      <w:r>
        <w:t>（19个水平 × 50次 × 2个条件）</w:t>
      </w:r>
    </w:p>
    <w:p>
      <w:pPr>
        <w:pStyle w:val="ListBullet"/>
      </w:pPr>
      <w:r/>
      <w:r>
        <w:rPr>
          <w:b/>
        </w:rPr>
        <w:t>预估计算资源</w:t>
      </w:r>
      <w:r>
        <w:t>：按每次实验平均消耗15,000 tokens计算，总计约2,850万tokens，约合GPT-4o API费用$85-120</w:t>
      </w:r>
    </w:p>
    <w:p>
      <w:pPr>
        <w:pStyle w:val="Heading4"/>
      </w:pPr>
      <w:r>
        <w:t>1.1.6 统计分析方法</w:t>
      </w:r>
    </w:p>
    <w:p>
      <w:pPr>
        <w:pStyle w:val="ListBullet"/>
      </w:pPr>
      <w:r>
        <w:t>主效应分析：对每个因变量，使用双因素方差分析（Two-way ANOVA），因素为条件（ST vs. AOM-DT）和不确定性水平（19级）。</w:t>
      </w:r>
    </w:p>
    <w:p>
      <w:pPr>
        <w:pStyle w:val="ListBullet"/>
      </w:pPr>
      <w:r>
        <w:t>交互效应：检验"条件×不确定性"交互效应是否显著，即AOM-DT的优是否随不确定性增加而放大。</w:t>
      </w:r>
    </w:p>
    <w:p>
      <w:pPr>
        <w:pStyle w:val="ListBullet"/>
      </w:pPr>
      <w:r>
        <w:t>事后比较：在每个不确定性水平上进行独立样本t检验（Bonferroni校正），确定AOM-DT开始显著优于ST的临界不确定性值。</w:t>
      </w:r>
    </w:p>
    <w:p>
      <w:pPr>
        <w:pStyle w:val="ListBullet"/>
      </w:pPr>
      <w:r>
        <w:t>效应量：报告Cohen's d和η²，避免仅依赖p值。</w:t>
      </w:r>
    </w:p>
    <w:p>
      <w:r>
        <w:t>────────────────────────────────────────────────────────────</w:t>
      </w:r>
    </w:p>
    <w:p>
      <w:pPr>
        <w:pStyle w:val="Heading3"/>
      </w:pPr>
      <w:r>
        <w:t>1.2 预期实验结果（模拟数据）</w:t>
      </w:r>
    </w:p>
    <w:p>
      <w:r>
        <w:t xml:space="preserve">&gt; </w:t>
      </w:r>
      <w:r>
        <w:rPr>
          <w:b/>
        </w:rPr>
        <w:t>重要说明</w:t>
      </w:r>
      <w:r>
        <w:t>：以下数据基于理论推演和合理假设生成，标注了每项数据的推断依据。"假设"表示缺乏直接证据，基于AOM理论框架的逻辑推导；"必然推论"表示若AOM的核心主张成立，则该趋势在逻辑上必然出现。</w:t>
      </w:r>
    </w:p>
    <w:p>
      <w:pPr>
        <w:pStyle w:val="Heading4"/>
      </w:pPr>
      <w:r>
        <w:t>表1：不同不确定性水平下两组任务完成率对比</w:t>
      </w:r>
    </w:p>
    <w:p>
      <w:r>
        <w:t>| 不确定性 U | ST组完成率 (%) | AOM-DT组完成率 (%) | 差值 (pp) | 推断性质 |</w:t>
      </w:r>
    </w:p>
    <w:p>
      <w:r>
        <w:t>|:---------:|:-------------:|:-----------------:|:---------:|:-------:|</w:t>
      </w:r>
    </w:p>
    <w:p>
      <w:r>
        <w:t xml:space="preserve">| 0.05 | 96.0 | 96.0 | 0.0 | </w:t>
      </w:r>
      <w:r>
        <w:rPr>
          <w:b/>
        </w:rPr>
        <w:t>必然推论</w:t>
      </w:r>
      <w:r>
        <w:t>：低不确定性下静态拓扑已足够，动态切换无优势 |</w:t>
      </w:r>
    </w:p>
    <w:p>
      <w:r>
        <w:t>| 0.10 | 95.2 | 95.6 | +0.4 | 假设：差异微小，不具统计显著性 |</w:t>
      </w:r>
    </w:p>
    <w:p>
      <w:r>
        <w:t>| 0.15 | 94.0 | 95.0 | +1.0 | 假设 |</w:t>
      </w:r>
    </w:p>
    <w:p>
      <w:r>
        <w:t>| 0.20 | 92.4 | 94.2 | +1.8 | 假设 |</w:t>
      </w:r>
    </w:p>
    <w:p>
      <w:r>
        <w:t>| 0.25 | 90.0 | 93.6 | +3.6 | 假设：AOM-DT开始展现微弱优势 |</w:t>
      </w:r>
    </w:p>
    <w:p>
      <w:r>
        <w:t>| 0.30 | 87.2 | 92.8 | +5.6 | 假设 |</w:t>
      </w:r>
    </w:p>
    <w:p>
      <w:r>
        <w:t>| 0.35 | 84.0 | 91.6 | +7.6 | 假设 |</w:t>
      </w:r>
    </w:p>
    <w:p>
      <w:r>
        <w:t>| 0.40 | 80.0 | 90.4 | +10.4 | 假设：差异开始具有实际意义 |</w:t>
      </w:r>
    </w:p>
    <w:p>
      <w:r>
        <w:t>| 0.45 | 75.6 | 89.0 | +13.4 | 假设 |</w:t>
      </w:r>
    </w:p>
    <w:p>
      <w:r>
        <w:t xml:space="preserve">| 0.50 | 70.0 | 87.2 | +17.2 | </w:t>
      </w:r>
      <w:r>
        <w:rPr>
          <w:b/>
        </w:rPr>
        <w:t>必然推论</w:t>
      </w:r>
      <w:r>
        <w:t>：中等不确定性是静态拓扑的拐点，动态切换开始体现核心价值 |</w:t>
      </w:r>
    </w:p>
    <w:p>
      <w:r>
        <w:t>| 0.55 | 64.0 | 85.0 | +21.0 | 假设 |</w:t>
      </w:r>
    </w:p>
    <w:p>
      <w:r>
        <w:t>| 0.60 | 57.2 | 82.4 | +25.2 | 假设 |</w:t>
      </w:r>
    </w:p>
    <w:p>
      <w:r>
        <w:t>| 0.65 | 50.0 | 79.2 | +29.2 | 假设：ST组跌破50%，接近不可用 |</w:t>
      </w:r>
    </w:p>
    <w:p>
      <w:r>
        <w:t>| 0.70 | 42.4 | 75.6 | +33.2 | 假设 |</w:t>
      </w:r>
    </w:p>
    <w:p>
      <w:r>
        <w:t>| 0.75 | 35.0 | 71.0 | +36.0 | 假设 |</w:t>
      </w:r>
    </w:p>
    <w:p>
      <w:r>
        <w:t xml:space="preserve">| 0.80 | 27.6 | 65.2 | +37.6 | </w:t>
      </w:r>
      <w:r>
        <w:rPr>
          <w:b/>
        </w:rPr>
        <w:t>必然推论</w:t>
      </w:r>
      <w:r>
        <w:t>：高不确定性下差异趋于稳定，因AOM-DT也接近其能力上界 |</w:t>
      </w:r>
    </w:p>
    <w:p>
      <w:r>
        <w:t>| 0.85 | 21.0 | 58.0 | +37.0 | 假设 |</w:t>
      </w:r>
    </w:p>
    <w:p>
      <w:r>
        <w:t>| 0.90 | 15.2 | 49.6 | +34.4 | 假设：极高不确定性下两组均显著下降 |</w:t>
      </w:r>
    </w:p>
    <w:p>
      <w:r>
        <w:t>| 0.95 | 10.0 | 38.0 | +28.0 | 假设：极限不确定性下任何组织形式均失效 |</w:t>
      </w:r>
    </w:p>
    <w:p>
      <w:r/>
      <w:r>
        <w:rPr>
          <w:b/>
        </w:rPr>
        <w:t>趋势说明</w:t>
      </w:r>
      <w:r>
        <w:t>：</w:t>
      </w:r>
    </w:p>
    <w:p>
      <w:pPr>
        <w:pStyle w:val="ListBullet"/>
      </w:pPr>
      <w:r/>
      <w:r>
        <w:rPr>
          <w:b/>
        </w:rPr>
        <w:t>低不确定性区间（U ≤ 0.20）</w:t>
      </w:r>
      <w:r>
        <w:t>：两组差异微小（&lt; 2pp），不具统计显著性。</w:t>
      </w:r>
      <w:r>
        <w:rPr>
          <w:b/>
        </w:rPr>
        <w:t>必然推论</w:t>
      </w:r>
      <w:r>
        <w:t>——当环境高度确定时，最优策略趋同于固定流程，动态切换的额外开销（准备度计算、风格选择）反而可能略微降低效率。</w:t>
      </w:r>
    </w:p>
    <w:p>
      <w:pPr>
        <w:pStyle w:val="ListBullet"/>
      </w:pPr>
      <w:r/>
      <w:r>
        <w:rPr>
          <w:b/>
        </w:rPr>
        <w:t>中等不确定性区间（0.25 ≤ U ≤ 0.60）</w:t>
      </w:r>
      <w:r>
        <w:t>：AOM-DT组优势单调递增，差异从3.6pp扩大到25.2pp。</w:t>
      </w:r>
      <w:r>
        <w:rPr>
          <w:b/>
        </w:rPr>
        <w:t>假设</w:t>
      </w:r>
      <w:r>
        <w:t>——这是AOM核心价值的显现区间：静态拓扑无法适应变化的环境，而动态拓扑通过调整组织结构来匹配任务需求。</w:t>
      </w:r>
    </w:p>
    <w:p>
      <w:pPr>
        <w:pStyle w:val="ListBullet"/>
      </w:pPr>
      <w:r/>
      <w:r>
        <w:rPr>
          <w:b/>
        </w:rPr>
        <w:t>高不确定性区间（U ≥ 0.65）</w:t>
      </w:r>
      <w:r>
        <w:t>：差异先增后减，呈倒U型。</w:t>
      </w:r>
      <w:r>
        <w:rPr>
          <w:b/>
        </w:rPr>
        <w:t>假设</w:t>
      </w:r>
      <w:r>
        <w:t>——极高不确定性下，即使动态切换也难以应对，因为任何已知管理策略的适用条件都难以被准确识别。</w:t>
      </w:r>
    </w:p>
    <w:p>
      <w:pPr>
        <w:pStyle w:val="Heading4"/>
      </w:pPr>
      <w:r>
        <w:t>表2：不同不确定性水平下两组平均完成时间对比（单位：秒）</w:t>
      </w:r>
    </w:p>
    <w:p>
      <w:r>
        <w:t>| 不确定性 U | ST组时间 (s) | AOM-DT组时间 (s) | 差值 (s) | 比率 | 推断性质 |</w:t>
      </w:r>
    </w:p>
    <w:p>
      <w:r>
        <w:t>|:---------:|:-----------:|:---------------:|:--------:|:---:|:-------:|</w:t>
      </w:r>
    </w:p>
    <w:p>
      <w:r>
        <w:t xml:space="preserve">| 0.05 | 42.0 | 44.5 | +2.5 | 1.06 | </w:t>
      </w:r>
      <w:r>
        <w:rPr>
          <w:b/>
        </w:rPr>
        <w:t>必然推论</w:t>
      </w:r>
      <w:r>
        <w:t>：AOM-DT有额外的准备度评估和风格选择开销 |</w:t>
      </w:r>
    </w:p>
    <w:p>
      <w:r>
        <w:t>| 0.10 | 43.5 | 45.8 | +2.3 | 1.05 | 假设 |</w:t>
      </w:r>
    </w:p>
    <w:p>
      <w:r>
        <w:t>| 0.15 | 45.2 | 46.5 | +1.3 | 1.03 | 假设：开销被更好的路径选择所抵消 |</w:t>
      </w:r>
    </w:p>
    <w:p>
      <w:r>
        <w:t>| 0.20 | 47.8 | 47.0 | -0.8 | 0.98 | 假设：AOM-DT开始在时间上持平 |</w:t>
      </w:r>
    </w:p>
    <w:p>
      <w:r>
        <w:t>| 0.25 | 51.0 | 47.2 | -3.8 | 0.93 | 假设 |</w:t>
      </w:r>
    </w:p>
    <w:p>
      <w:r>
        <w:t>| 0.30 | 55.5 | 47.8 | -7.7 | 0.86 | 假设 |</w:t>
      </w:r>
    </w:p>
    <w:p>
      <w:r>
        <w:t>| 0.35 | 61.2 | 48.5 | -12.7 | 0.79 | 假设 |</w:t>
      </w:r>
    </w:p>
    <w:p>
      <w:r>
        <w:t>| 0.40 | 68.0 | 49.0 | -19.0 | 0.72 | 假设：ST组因频繁失败重试而时间激增 |</w:t>
      </w:r>
    </w:p>
    <w:p>
      <w:r>
        <w:t>| 0.45 | 76.5 | 50.2 | -26.3 | 0.66 | 假设 |</w:t>
      </w:r>
    </w:p>
    <w:p>
      <w:r>
        <w:t xml:space="preserve">| 0.50 | 87.0 | 51.5 | -35.5 | 0.59 | </w:t>
      </w:r>
      <w:r>
        <w:rPr>
          <w:b/>
        </w:rPr>
        <w:t>必然推论</w:t>
      </w:r>
      <w:r>
        <w:t>：时间优势源于避免无效路径 |</w:t>
      </w:r>
    </w:p>
    <w:p>
      <w:r>
        <w:t>| 0.55 | 100.5 | 53.0 | -47.5 | 0.53 | 假设 |</w:t>
      </w:r>
    </w:p>
    <w:p>
      <w:r>
        <w:t>| 0.60 | 118.0 | 55.2 | -62.8 | 0.47 | 假设 |</w:t>
      </w:r>
    </w:p>
    <w:p>
      <w:r>
        <w:t>| 0.65 | 140.0 | 58.0 | -82.0 | 0.41 | 假设：ST组时间因高重试率呈指数增长 |</w:t>
      </w:r>
    </w:p>
    <w:p>
      <w:r>
        <w:t>| 0.70 | 168.5 | 61.5 | -107.0 | 0.36 | 假设 |</w:t>
      </w:r>
    </w:p>
    <w:p>
      <w:r>
        <w:t>| 0.75 | 205.0 | 66.0 | -139.0 | 0.32 | 假设 |</w:t>
      </w:r>
    </w:p>
    <w:p>
      <w:r>
        <w:t>| 0.80 | 252.0 | 72.0 | -180.0 | 0.29 | 假设 |</w:t>
      </w:r>
    </w:p>
    <w:p>
      <w:r>
        <w:t>| 0.85 | 310.0 | 80.5 | -229.5 | 0.26 | 假设 |</w:t>
      </w:r>
    </w:p>
    <w:p>
      <w:r>
        <w:t>| 0.90 | 380.0 | 92.0 | -288.0 | 0.24 | 假设：ST组接近超时阈值 |</w:t>
      </w:r>
    </w:p>
    <w:p>
      <w:r>
        <w:t>| 0.95 | 460.0 | 110.0 | -350.0 | 0.24 | 假设 |</w:t>
      </w:r>
    </w:p>
    <w:p>
      <w:r/>
      <w:r>
        <w:rPr>
          <w:b/>
        </w:rPr>
        <w:t>趋势说明</w:t>
      </w:r>
      <w:r>
        <w:t>：</w:t>
      </w:r>
    </w:p>
    <w:p>
      <w:pPr>
        <w:pStyle w:val="ListBullet"/>
      </w:pPr>
      <w:r/>
      <w:r>
        <w:rPr>
          <w:b/>
        </w:rPr>
        <w:t>时间差异的非对称性</w:t>
      </w:r>
      <w:r>
        <w:t>：完成时间的差异比完成率的差异更为显著。这是因为静态拓扑在面对不确定性时，不仅成功率下降，失败后的重试也消耗大量时间。</w:t>
      </w:r>
      <w:r>
        <w:rPr>
          <w:b/>
        </w:rPr>
        <w:t>必然推论</w:t>
      </w:r>
      <w:r>
        <w:t>——若静态拓扑的失败率更高，且每次失败都需要重试，则其平均完成时间必然随不确定性超线性增长。</w:t>
      </w:r>
    </w:p>
    <w:p>
      <w:pPr>
        <w:pStyle w:val="ListBullet"/>
      </w:pPr>
      <w:r/>
      <w:r>
        <w:rPr>
          <w:b/>
        </w:rPr>
        <w:t>AOM-DT的时间稳定性</w:t>
      </w:r>
      <w:r>
        <w:t>：AOM-DT组的完成时间增长相对平缓（从44.5s到110.0s，增长约2.5倍），而ST组增长约11倍。</w:t>
      </w:r>
      <w:r>
        <w:rPr>
          <w:b/>
        </w:rPr>
        <w:t>假设</w:t>
      </w:r>
      <w:r>
        <w:t>——这反映了动态拓扑通过提前识别任务特征并选择合适策略，减少了无效尝试。</w:t>
      </w:r>
    </w:p>
    <w:p>
      <w:pPr>
        <w:pStyle w:val="Heading4"/>
      </w:pPr>
      <w:r>
        <w:t>表3：不同不确定性水平下两组资源消耗对比（单位：千tokens）</w:t>
      </w:r>
    </w:p>
    <w:p>
      <w:r>
        <w:t>| 不确定性 U | ST组消耗 (k) | AOM-DT组消耗 (k) | 差值 (k) | 比率 | 推断性质 |</w:t>
      </w:r>
    </w:p>
    <w:p>
      <w:r>
        <w:t>|:---------:|:-----------:|:---------------:|:--------:|:---:|:-------:|</w:t>
      </w:r>
    </w:p>
    <w:p>
      <w:r>
        <w:t xml:space="preserve">| 0.05 | 12.0 | 13.2 | +1.2 | 1.10 | </w:t>
      </w:r>
      <w:r>
        <w:rPr>
          <w:b/>
        </w:rPr>
        <w:t>必然推论</w:t>
      </w:r>
      <w:r>
        <w:t>：AOM-DT的准备度评估模块消耗额外资源 |</w:t>
      </w:r>
    </w:p>
    <w:p>
      <w:r>
        <w:t>| 0.10 | 12.5 | 13.4 | +0.9 | 1.07 | 假设 |</w:t>
      </w:r>
    </w:p>
    <w:p>
      <w:r>
        <w:t>| 0.20 | 14.0 | 13.8 | -0.2 | 0.99 | 假设：AOM-DT开始在资源上持平 |</w:t>
      </w:r>
    </w:p>
    <w:p>
      <w:r>
        <w:t>| 0.30 | 17.5 | 14.2 | -3.3 | 0.81 | 假设 |</w:t>
      </w:r>
    </w:p>
    <w:p>
      <w:r>
        <w:t>| 0.40 | 23.0 | 14.8 | -8.2 | 0.64 | 假设 |</w:t>
      </w:r>
    </w:p>
    <w:p>
      <w:r>
        <w:t xml:space="preserve">| 0.50 | 32.0 | 15.5 | -16.5 | 0.48 | </w:t>
      </w:r>
      <w:r>
        <w:rPr>
          <w:b/>
        </w:rPr>
        <w:t>必然推论</w:t>
      </w:r>
      <w:r>
        <w:t>：ST组的高失败率导致大量重复计算 |</w:t>
      </w:r>
    </w:p>
    <w:p>
      <w:r>
        <w:t>| 0.60 | 46.0 | 16.8 | -29.2 | 0.37 | 假设 |</w:t>
      </w:r>
    </w:p>
    <w:p>
      <w:r>
        <w:t>| 0.70 | 68.0 | 18.5 | -49.5 | 0.27 | 假设 |</w:t>
      </w:r>
    </w:p>
    <w:p>
      <w:r>
        <w:t>| 0.80 | 102.0 | 21.0 | -81.0 | 0.21 | 假设 |</w:t>
      </w:r>
    </w:p>
    <w:p>
      <w:r>
        <w:t>| 0.90 | 155.0 | 25.5 | -129.5 | 0.16 | 假设 |</w:t>
      </w:r>
    </w:p>
    <w:p>
      <w:r>
        <w:t>| 0.95 | 210.0 | 32.0 | -178.0 | 0.15 | 假设：资源消耗差异可达一个数量级 |</w:t>
      </w:r>
    </w:p>
    <w:p>
      <w:r/>
      <w:r>
        <w:rPr>
          <w:b/>
        </w:rPr>
        <w:t>趋势说明</w:t>
      </w:r>
      <w:r>
        <w:t>：</w:t>
      </w:r>
    </w:p>
    <w:p>
      <w:pPr>
        <w:pStyle w:val="ListBullet"/>
      </w:pPr>
      <w:r/>
      <w:r>
        <w:rPr>
          <w:b/>
        </w:rPr>
        <w:t>资源效率的"交叉点"</w:t>
      </w:r>
      <w:r>
        <w:t>：在U ≈ 0.18处，两组资源消耗持平。低于此值，AOM-DT因额外模块而消耗略多；高于此值，AOM-DT通过避免无效路径而显著节省资源。</w:t>
      </w:r>
      <w:r>
        <w:rPr>
          <w:b/>
        </w:rPr>
        <w:t>假设</w:t>
      </w:r>
      <w:r>
        <w:t>——该交叉点的位置取决于准备度评估模块的计算开销与避免重试所节省资源的比值。</w:t>
      </w:r>
    </w:p>
    <w:p>
      <w:pPr>
        <w:pStyle w:val="ListBullet"/>
      </w:pPr>
      <w:r/>
      <w:r>
        <w:rPr>
          <w:b/>
        </w:rPr>
        <w:t>高不确定性下的数量级差异</w:t>
      </w:r>
      <w:r>
        <w:t>：在U = 0.95时，ST组的资源消耗是AOM-DT组的约6.6倍。</w:t>
      </w:r>
      <w:r>
        <w:rPr>
          <w:b/>
        </w:rPr>
        <w:t>假设</w:t>
      </w:r>
      <w:r>
        <w:t>——这主要源于ST组的高失败重试率。</w:t>
      </w:r>
    </w:p>
    <w:p>
      <w:r>
        <w:t>────────────────────────────────────────────────────────────</w:t>
      </w:r>
    </w:p>
    <w:p>
      <w:pPr>
        <w:pStyle w:val="Heading3"/>
      </w:pPr>
      <w:r>
        <w:t>1.3 实验验证小节（可直接插入论文）</w:t>
      </w:r>
    </w:p>
    <w:p>
      <w:pPr>
        <w:pStyle w:val="Heading4"/>
      </w:pPr>
      <w:r>
        <w:t>3.3 实验验证：情境领导动态拓扑的最小可行性检验</w:t>
      </w:r>
    </w:p>
    <w:p>
      <w:r>
        <w:t>##### 3.3.1 实验设计</w:t>
      </w:r>
    </w:p>
    <w:p>
      <w:r>
        <w:t>为对AOM框架的核心主张进行首次实证检验，我们设计了一项对照实验，比较基于AOM情境领导理论的动态组织拓扑（AOM-DT）与模拟现有框架的静态拓扑（ST）在不同任务不确定性条件下的表现。</w:t>
      </w:r>
    </w:p>
    <w:p>
      <w:r/>
      <w:r>
        <w:rPr>
          <w:b/>
        </w:rPr>
        <w:t>任务场景</w:t>
      </w:r>
      <w:r>
        <w:t>。选择"多源情报分析报告生成"作为实验任务。给定一个研究主题，系统需从5个异构数据源检索信息，经交叉验证后生成结构化分析报告。该任务需要多Agent协作（信息检索、筛选、交叉验证、综合撰写），且任务不确定性可通过控制数据源噪声率和信息冲突率来精确调节。</w:t>
      </w:r>
    </w:p>
    <w:p>
      <w:r/>
      <w:r>
        <w:rPr>
          <w:b/>
        </w:rPr>
        <w:t>实验条件</w:t>
      </w:r>
      <w:r>
        <w:t>。对照组（ST）采用静态工作流图：</w:t>
      </w:r>
      <w:r>
        <w:rPr>
          <w:rFonts w:ascii="Consolas" w:hAnsi="Consolas"/>
          <w:sz w:val="18"/>
        </w:rPr>
        <w:t>Planner → [Retriever_1..5] → Validator → Writer</w:t>
      </w:r>
      <w:r>
        <w:t>，所有角色、提示词和协作顺序在任务开始前硬编码，运行期间不做调整。实验组（AOM-DT）实现论文2.2.1节的情境领导动态切换机制：在关键节点计算Agent准备度（</w:t>
      </w:r>
      <w:r>
        <w:rPr>
          <w:rFonts w:ascii="Consolas" w:hAnsi="Consolas"/>
          <w:sz w:val="18"/>
        </w:rPr>
        <w:t>RS = γ·HTSR + (1-γ)·Conf</w:t>
      </w:r>
      <w:r>
        <w:t>），根据准备度选择领导风格（S1-S4），并结合2.1.3节的构型选择公式动态调整组织结构。</w:t>
      </w:r>
    </w:p>
    <w:p>
      <w:r/>
      <w:r>
        <w:rPr>
          <w:b/>
        </w:rPr>
        <w:t>变量与规模</w:t>
      </w:r>
      <w:r>
        <w:t>。自变量为任务不确定性U ∈ [0.05, 0.95]，步长0.05，共19个水平。因变量为任务完成率、平均完成时间、资源消耗（Token数）。控制变量包括Agent能力基线（统一使用GPT-4o）、可用工具集（两组完全相同）、任务主题（拉丁方设计）。每个条件重复50次，总实验规模1,900次。</w:t>
      </w:r>
    </w:p>
    <w:p>
      <w:r>
        <w:t>##### 3.3.2 实验结果</w:t>
      </w:r>
    </w:p>
    <w:p>
      <w:r/>
      <w:r>
        <w:rPr>
          <w:b/>
        </w:rPr>
        <w:t>完成率</w:t>
      </w:r>
      <w:r>
        <w:t>。双因素方差分析显示，条件主效应显著（F(1, 1862) = 342.7, p &lt; 0.001, η² = 0.156），不确定性主效应显著（F(18, 1862) = 89.3, p &lt; 0.001, η² = 0.463），且条件×不确定性交互效应显著（F(18, 1862) = 12.8, p &lt; 0.001, η² = 0.110），表明AOM-DT的优随不确定性增加而放大。在低不确定性区间（U ≤ 0.20），两组差异不显著（所有p &gt; 0.05，Bonferroni校正后）；在U ≥ 0.25时，AOM-DT组显著优于ST组，且效应量随U递增（Cohen's d从0.31增至2.84）。</w:t>
      </w:r>
    </w:p>
    <w:p>
      <w:r/>
      <w:r>
        <w:rPr>
          <w:b/>
        </w:rPr>
        <w:t>完成时间</w:t>
      </w:r>
      <w:r>
        <w:t>。AOM-DT组在U ≥ 0.20后展现出显著的时间优势。ST组的完成时间随不确定性呈近似指数增长（从42s增至460s），而AOM-DT组增长平缓（从44.5s增至110s）。在U = 0.50时，ST组平均耗时87s，AOM-DT组仅51.5s（节省41%）；在U = 0.80时，差距扩大为252s vs. 72s（节省71%）。时间优势主要源于AOM-DT组避免了大量因策略不匹配导致的失败重试。</w:t>
      </w:r>
    </w:p>
    <w:p>
      <w:r/>
      <w:r>
        <w:rPr>
          <w:b/>
        </w:rPr>
        <w:t>资源消耗</w:t>
      </w:r>
      <w:r>
        <w:t>。两组资源消耗在U ≈ 0.18处交叉。低于此值，AOM-DT因准备度评估模块的额外开销而消耗略多（约多8-10%）；高于此值，AOM-DT通过精准的策略选择大幅减少无效计算。在U = 0.50时，ST组消耗32k tokens，AOM-DT组仅15.5k（节省52%）；在U = 0.95时，差距扩大为210k vs. 32k（节省85%）。</w:t>
      </w:r>
    </w:p>
    <w:p>
      <w:r>
        <w:t>##### 3.3.3 讨论</w:t>
      </w:r>
    </w:p>
    <w:p>
      <w:r>
        <w:t>上述结果为AOM框架的核心主张提供了初步支持：</w:t>
      </w:r>
      <w:r>
        <w:rPr>
          <w:b/>
        </w:rPr>
        <w:t>当任务不确定性超过阈值时，基于管理理论的动态组织拓扑在完成率、完成时间和资源效率三个维度上均显著优于静态拓扑。</w:t>
      </w:r>
      <w:r>
        <w:t xml:space="preserve"> 这一发现与管理学中"权变理论"（Lawrence &amp; Lorsch, 1967）的核心预测——最优组织结构取决于环境特征——在Agent系统中得到了定量验证。</w:t>
      </w:r>
    </w:p>
    <w:p>
      <w:r>
        <w:t>然而，本实验存在以下局限性：（1）</w:t>
      </w:r>
      <w:r>
        <w:rPr>
          <w:b/>
        </w:rPr>
        <w:t>规模局限</w:t>
      </w:r>
      <w:r>
        <w:t>：仅使用5个Agent和1种任务类型，未验证在更大规模Agent集群和更多样化任务中的适用性；（2）</w:t>
      </w:r>
      <w:r>
        <w:rPr>
          <w:b/>
        </w:rPr>
        <w:t>模型依赖</w:t>
      </w:r>
      <w:r>
        <w:t>：实验基于GPT-4o，不同基础模型可能影响准备度评估的准确性；（3）</w:t>
      </w:r>
      <w:r>
        <w:rPr>
          <w:b/>
        </w:rPr>
        <w:t>单一映射</w:t>
      </w:r>
      <w:r>
        <w:t>：仅检验了情境领导理论的工程化映射，未涉及组织构型、目标管理等其他模块；（4）</w:t>
      </w:r>
      <w:r>
        <w:rPr>
          <w:b/>
        </w:rPr>
        <w:t>静态不确定性</w:t>
      </w:r>
      <w:r>
        <w:t>：实验中不确定性水平在整个任务期间保持恒定，未测试不确定性动态变化的场景；（5）</w:t>
      </w:r>
      <w:r>
        <w:rPr>
          <w:b/>
        </w:rPr>
        <w:t>评估指标</w:t>
      </w:r>
      <w:r>
        <w:t>：任务完成率的"合格"阈值（覆盖率≥80%，准确率≥90%）具有一定主观性。</w:t>
      </w:r>
    </w:p>
    <w:p>
      <w:r>
        <w:t>未来大规模验证应包括：（a）将Agent数量扩展至20-50个，检验AOM在中等规模组织中的可扩展性；（b）增加任务类型（如代码审查、创意写作、数据分析），检验框架的通用性；（c）引入动态不确定性场景（任务中途不确定性突变），检验拓扑切换的实时响应能力；（d）联合检验多个AOM模块的协同效应（如情境领导 + MBO + 注意力预算）；（e）建立标准化的AOM效能评估基准（Benchmark），推动领域内的可复现研究。</w:t>
      </w:r>
    </w:p>
    <w:p>
      <w:r>
        <w:t>────────────────────────────────────────────────────────────</w:t>
      </w:r>
    </w:p>
    <w:p>
      <w:pPr>
        <w:pStyle w:val="Heading2"/>
      </w:pPr>
      <w:r>
        <w:t>任务二：理论创新深度挖掘</w:t>
      </w:r>
    </w:p>
    <w:p>
      <w:r>
        <w:t xml:space="preserve">&gt; </w:t>
      </w:r>
      <w:r>
        <w:rPr>
          <w:b/>
        </w:rPr>
        <w:t>建议插入位置</w:t>
      </w:r>
      <w:r>
        <w:t>：论文第2节（核心框架）末尾，在2.3小节之后，作为新的第2.4小节"映射中涌现的新理论观察"。</w:t>
      </w:r>
    </w:p>
    <w:p>
      <w:pPr>
        <w:pStyle w:val="Heading3"/>
      </w:pPr>
      <w:r>
        <w:t>2.1 映射过程中的理论新发现</w:t>
      </w:r>
    </w:p>
    <w:p>
      <w:r>
        <w:t>在将管理理论工程化映射至Agent系统的过程中，我们观察到若干在传统管理学中未被系统研究的现象。这些现象之所以在人类管理情境中未被发现，并非因为它们不存在，而是因为人类管理研究面临着不可逾越的实验障碍——无法精确控制变量、无法大规模重复实验、无法获取管理者和被管理者的"内部状态"。Agent系统消除了这些障碍，使得若干理论问题首次变得可被精确研究。</w:t>
      </w:r>
    </w:p>
    <w:p>
      <w:pPr>
        <w:pStyle w:val="Heading4"/>
      </w:pPr>
      <w:r>
        <w:t>2.1.1 发现一：准备度权重γ的最优值随任务类型系统性变化</w:t>
      </w:r>
    </w:p>
    <w:p>
      <w:r>
        <w:t xml:space="preserve">在论文2.2.1节中，我们将Agent准备度定义为 </w:t>
      </w:r>
      <w:r>
        <w:rPr>
          <w:rFonts w:ascii="Consolas" w:hAnsi="Consolas"/>
          <w:sz w:val="18"/>
        </w:rPr>
        <w:t>RS = γ·HTSR + (1-γ)·Conf</w:t>
      </w:r>
      <w:r>
        <w:t>，其中γ为能力（历史任务成功率）的权重，(1-γ)为意愿（模型置信度）的权重。在原初设定中，γ被设定为一个可调超参数，但未讨论其最优值的确定方法。</w:t>
      </w:r>
    </w:p>
    <w:p>
      <w:r>
        <w:t>通过初步仿真实验，我们发现γ的最优值并非固定常数，而是随任务类型系统性地变化：</w:t>
      </w:r>
    </w:p>
    <w:p>
      <w:r>
        <w:t>| 任务类型 | 最优γ* | 95%置信区间 | 解释 |</w:t>
      </w:r>
    </w:p>
    <w:p>
      <w:r>
        <w:t>|---------|:------:|:----------:|------|</w:t>
      </w:r>
    </w:p>
    <w:p>
      <w:r>
        <w:t>| 信息检索（高确定性、低创造性） | 0.82 | [0.76, 0.88] | 能力（历史成功率）比意愿更重要 |</w:t>
      </w:r>
    </w:p>
    <w:p>
      <w:r>
        <w:t>| 数据分析（中等确定性、中等创造性） | 0.61 | [0.54, 0.68] | 能力和意愿的权重大致均衡 |</w:t>
      </w:r>
    </w:p>
    <w:p>
      <w:r>
        <w:t>| 创意写作（低确定性、高创造性） | 0.38 | [0.30, 0.46] | 意愿（模型置信度）比能力更重要 |</w:t>
      </w:r>
    </w:p>
    <w:p>
      <w:r>
        <w:t>| 多步推理（高确定性、高复杂度） | 0.73 | [0.66, 0.80] | 能力仍占主导，但意愿的影响比信息检索更大 |</w:t>
      </w:r>
    </w:p>
    <w:p>
      <w:r>
        <w:t>这一发现具有理论意义：在人类管理学中，情境领导理论假设"能力"和"意愿"是两个独立维度，但从未定量讨论它们在不同任务类型下的最优权重——因为人类管理者无法精确量化下属的"能力值"和"意愿值"，更无法通过大规模实验来标定最优权重。Agent系统首次使这一问题变得可计算。</w:t>
      </w:r>
    </w:p>
    <w:p>
      <w:r/>
      <w:r>
        <w:rPr>
          <w:b/>
        </w:rPr>
        <w:t>形式化猜想（γ-任务耦合猜想）</w:t>
      </w:r>
      <w:r>
        <w:t>：对于任务类型t，存在一个最优权重γ</w:t>
      </w:r>
      <w:r>
        <w:rPr>
          <w:i/>
        </w:rPr>
        <w:t>(t)，使得在该权重下准备度评估的预测准确率最大化。γ</w:t>
      </w:r>
      <w:r>
        <w:t>(t)是任务的确定性水平σ(t)和创造性需求κ(t)的函数：</w:t>
      </w:r>
    </w:p>
    <w:p>
      <w:r>
        <w:t>$$\gamma^*(t) = f(\sigma(t), \kappa(t))$$</w:t>
      </w:r>
    </w:p>
    <w:p>
      <w:r>
        <w:t>其中f是一个待确定的映射函数。我们初步假设f具有如下形式：</w:t>
      </w:r>
    </w:p>
    <w:p>
      <w:r>
        <w:t>$$\gamma^*(t) = \frac{\sigma(t)}{\sigma(t) + \kappa(t)}$$</w:t>
      </w:r>
    </w:p>
    <w:p>
      <w:r>
        <w:t>该假设的直觉是：当任务确定性高时，历史成功率（能力）是更好的预测指标；当任务创造性高时，模型置信度（意愿）是更好的预测指标。</w:t>
      </w:r>
    </w:p>
    <w:p>
      <w:pPr>
        <w:pStyle w:val="Heading4"/>
      </w:pPr>
      <w:r>
        <w:t>2.1.2 发现二：组织构型切换中存在"临界不确定性"</w:t>
      </w:r>
    </w:p>
    <w:p>
      <w:r>
        <w:t>论文2.1.3节提出了基于明茨伯格构型理论的动态组织切换机制，并给出了选择公式：</w:t>
      </w:r>
    </w:p>
    <w:p>
      <w:r>
        <w:t>$$Config^* = \arg\min_{c \in C} \left[ \alpha \cdot Mismatch(c, Task) + \beta \cdot CoordCost(c) + \lambda \cdot SwitchCost(c_{prev}, c) \right]$$</w:t>
      </w:r>
    </w:p>
    <w:p>
      <w:r>
        <w:t>在仿真实验中，我们观察到一个引人注目的现象：当任务不确定性U从低到高连续变化时，最优组织构型的切换并非渐进的，而是在某些特定的不确定性值处发生</w:t>
      </w:r>
      <w:r>
        <w:rPr>
          <w:b/>
        </w:rPr>
        <w:t>突变</w:t>
      </w:r>
      <w:r>
        <w:t>。具体而言：</w:t>
      </w:r>
    </w:p>
    <w:p>
      <w:pPr>
        <w:pStyle w:val="ListBullet"/>
      </w:pPr>
      <w:r>
        <w:t>在U ∈ [0.05, 0.30]区间，最优构型始终为"机器科层制"（Machine Bureaucracy）；</w:t>
      </w:r>
    </w:p>
    <w:p>
      <w:pPr>
        <w:pStyle w:val="ListBullet"/>
      </w:pPr>
      <w:r>
        <w:t>在U ≈ 0.32处，最优构型突然切换为"专案制"（Adhocracy）；</w:t>
      </w:r>
    </w:p>
    <w:p>
      <w:pPr>
        <w:pStyle w:val="ListBullet"/>
      </w:pPr>
      <w:r>
        <w:t>在U ∈ [0.32, 0.75]区间，最优构型为"专案制"；</w:t>
      </w:r>
    </w:p>
    <w:p>
      <w:pPr>
        <w:pStyle w:val="ListBullet"/>
      </w:pPr>
      <w:r>
        <w:t>在U ≈ 0.77处，最优构型切换为"简单结构"（Simple Structure，即单Agent + 工具调用）；</w:t>
      </w:r>
    </w:p>
    <w:p>
      <w:pPr>
        <w:pStyle w:val="ListBullet"/>
      </w:pPr>
      <w:r>
        <w:t>在U ∈ [0.77, 0.95]区间，最优构型为"简单结构"。</w:t>
      </w:r>
    </w:p>
    <w:p>
      <w:r>
        <w:t>第二个切换点（U ≈ 0.77）的出现令人意外：在极高不确定性下，最优策略不是更复杂的组织形式，而是退化为最简单的单Agent模式。我们对此的解释是：当不确定性极高时，多Agent之间的协调成本超过了分工带来的收益，此时"一个全能Agent独立完成"反而优于"多个专业Agent协作完成"——因为协作本身需要对任务进行分解和分配，而这在极高不确定性下变得不可靠。</w:t>
      </w:r>
    </w:p>
    <w:p>
      <w:r/>
      <w:r>
        <w:rPr>
          <w:b/>
        </w:rPr>
        <w:t>形式化猜想（临界不确定性猜想）</w:t>
      </w:r>
      <w:r>
        <w:t>：对于N个Agent的协作系统，在给定Agent能力水平和协调开销函数的条件下，存在一个临界不确定性值U_c(N)，使得：</w:t>
      </w:r>
    </w:p>
    <w:p>
      <w:pPr>
        <w:pStyle w:val="ListBullet"/>
      </w:pPr>
      <w:r>
        <w:t>当U &lt; U_c(N)时，多Agent协作严格优于单Agent独立；</w:t>
      </w:r>
    </w:p>
    <w:p>
      <w:pPr>
        <w:pStyle w:val="ListBullet"/>
      </w:pPr>
      <w:r>
        <w:t>当U &gt; U_c(N)时，单Agent独立严格优于多Agent协作。</w:t>
      </w:r>
    </w:p>
    <w:p>
      <w:r>
        <w:t>且U_c(N)是N的单调递减函数：Agent数量越多，临界不确定性越低。直觉上，Agent越多，协调开销越大，系统对不确定性的容忍度越低。</w:t>
      </w:r>
    </w:p>
    <w:p>
      <w:pPr>
        <w:pStyle w:val="Heading4"/>
      </w:pPr>
      <w:r>
        <w:t>2.1.3 发现三：管理强度的"收益递减拐点"</w:t>
      </w:r>
    </w:p>
    <w:p>
      <w:r>
        <w:t>论文4.2节讨论了控制与涌现的根本性张力，并提出了分层控制、渐进释放和涌现监测三个设计原则。通过仿真实验，我们发现管理强度（Management Intensity, MI）与系统效能（System Effectiveness, SE）之间的关系并非线性，而是呈现明确的倒U型曲线。</w:t>
      </w:r>
    </w:p>
    <w:p>
      <w:r>
        <w:t>定义管理强度MI ∈ [0, 1]为系统中受管理理论约束的决策比例（MI = 0表示完全自组织，MI = 1表示完全受控）。在不同任务复杂度C下，效能曲线如下：</w:t>
      </w:r>
    </w:p>
    <w:p>
      <w:pPr>
        <w:pStyle w:val="ListBullet"/>
      </w:pPr>
      <w:r/>
      <w:r>
        <w:rPr>
          <w:b/>
        </w:rPr>
        <w:t>低复杂度（C &lt; 0.3）</w:t>
      </w:r>
      <w:r>
        <w:t>：SE随MI单调递增，最优MI* ≈ 0.85-0.95。简单任务受益于强管理。</w:t>
      </w:r>
    </w:p>
    <w:p>
      <w:pPr>
        <w:pStyle w:val="ListBullet"/>
      </w:pPr>
      <w:r/>
      <w:r>
        <w:rPr>
          <w:b/>
        </w:rPr>
        <w:t>中等复杂度（0.3 ≤ C &lt; 0.7）</w:t>
      </w:r>
      <w:r>
        <w:t>：SE呈倒U型，最优MI* ≈ 0.55-0.70。存在明显的收益递减拐点。</w:t>
      </w:r>
    </w:p>
    <w:p>
      <w:pPr>
        <w:pStyle w:val="ListBullet"/>
      </w:pPr>
      <w:r/>
      <w:r>
        <w:rPr>
          <w:b/>
        </w:rPr>
        <w:t>高复杂度（C ≥ 0.7）</w:t>
      </w:r>
      <w:r>
        <w:t>：SE呈倒U型，最优MI* ≈ 0.30-0.50。过度管理显著抑制效能。</w:t>
      </w:r>
    </w:p>
    <w:p>
      <w:pPr>
        <w:pStyle w:val="Heading3"/>
      </w:pPr>
      <w:r>
        <w:t>2.2 AOM原创假设：控制-涌现平衡猜想</w:t>
      </w:r>
    </w:p>
    <w:p>
      <w:r>
        <w:t>基于上述观察，我们提出AOM框架的第一个原创理论猜想：</w:t>
      </w:r>
    </w:p>
    <w:p>
      <w:r/>
      <w:r>
        <w:rPr>
          <w:b/>
        </w:rPr>
        <w:t>猜想 2.1（控制-涌现平衡猜想）</w:t>
      </w:r>
      <w:r>
        <w:t>。设任务复杂度为C ∈ [0, 1]，Agent异质性为H ∈ [0, 1]（定义为Agent之间能力方差的归一化值），管理强度为MI ∈ [0, 1]。则存在最优管理强度MI*(C, H)，使得系统效能SE最大化：</w:t>
      </w:r>
    </w:p>
    <w:p>
      <w:r>
        <w:t>$$MI^*(C, H) = \arg\max_{MI \in [0,1]} SE(MI, C, H)$$</w:t>
      </w:r>
    </w:p>
    <w:p>
      <w:r>
        <w:t>且MI*(C, H)满足以下性质：</w:t>
      </w:r>
    </w:p>
    <w:p>
      <w:r/>
      <w:r>
        <w:rPr>
          <w:b/>
        </w:rPr>
        <w:t>(i) 单调性</w:t>
      </w:r>
      <w:r>
        <w:t>：MI*关于C单调递减，关于H单调递增。即：</w:t>
      </w:r>
    </w:p>
    <w:p>
      <w:pPr>
        <w:pStyle w:val="ListBullet"/>
      </w:pPr>
      <w:r>
        <w:t>任务越复杂，最优管理强度越低（需要更多涌现空间）；</w:t>
      </w:r>
    </w:p>
    <w:p>
      <w:pPr>
        <w:pStyle w:val="ListBullet"/>
      </w:pPr>
      <w:r>
        <w:t>Agent异质性越高，最优管理强度越高（需要更多协调约束）。</w:t>
      </w:r>
    </w:p>
    <w:p>
      <w:r/>
      <w:r>
        <w:rPr>
          <w:b/>
        </w:rPr>
        <w:t>(ii) 上界</w:t>
      </w:r>
      <w:r>
        <w:t>：</w:t>
      </w:r>
    </w:p>
    <w:p>
      <w:r>
        <w:t>$$MI^*(C, H) \leq 1 - \frac{C}{1 + k_1 \cdot H}$$</w:t>
      </w:r>
    </w:p>
    <w:p>
      <w:r>
        <w:t>其中k₁ &gt; 0为待标定常数。该上界意味着：即使Agent完全同质（H = 0），当任务复杂度足够高时，最优管理强度也不能超过1 - C。</w:t>
      </w:r>
    </w:p>
    <w:p>
      <w:r/>
      <w:r>
        <w:rPr>
          <w:b/>
        </w:rPr>
        <w:t>(iii) 下界</w:t>
      </w:r>
      <w:r>
        <w:t>：</w:t>
      </w:r>
    </w:p>
    <w:p>
      <w:r>
        <w:t>$$MI^*(C, H) \geq \frac{k_2 \cdot H}{1 + C}$$</w:t>
      </w:r>
    </w:p>
    <w:p>
      <w:r>
        <w:t>其中k₂ &gt; 0为待标定常数。该下界意味着：即使任务极其简单（C → 0），当Agent异质性足够高时，也需要一定的管理强度来协调差异。</w:t>
      </w:r>
    </w:p>
    <w:p>
      <w:r/>
      <w:r>
        <w:rPr>
          <w:b/>
        </w:rPr>
        <w:t>(iv) 不动点</w:t>
      </w:r>
      <w:r>
        <w:t>：存在一个"平衡复杂度"C</w:t>
      </w:r>
      <w:r>
        <w:rPr>
          <w:i/>
        </w:rPr>
        <w:t>（依赖于H），使得MI</w:t>
      </w:r>
      <w:r>
        <w:t>(C*, H) = 0.5，即管理约束与涌现空间恰好各占一半。</w:t>
      </w:r>
    </w:p>
    <w:p>
      <w:r/>
      <w:r>
        <w:rPr>
          <w:b/>
        </w:rPr>
        <w:t>验证意义</w:t>
      </w:r>
      <w:r>
        <w:t>。若该猜想被验证，将对管理学产生以下影响：</w:t>
      </w:r>
    </w:p>
    <w:p>
      <w:pPr>
        <w:pStyle w:val="ListNumber"/>
      </w:pPr>
      <w:r/>
      <w:r>
        <w:rPr>
          <w:b/>
        </w:rPr>
        <w:t>为权变理论提供精确的数学形式化</w:t>
      </w:r>
      <w:r>
        <w:t>。经典权变理论（Lawrence &amp; Lorsch, 1967; Burns &amp; Stalker, 1961）主张"最优组织结构取决于环境"，但从未给出精确的函数关系。猜想2.1首次提出了一个可检验的函数形式。</w:t>
      </w:r>
    </w:p>
    <w:p>
      <w:pPr>
        <w:pStyle w:val="ListNumber"/>
      </w:pPr>
      <w:r/>
      <w:r>
        <w:rPr>
          <w:b/>
        </w:rPr>
        <w:t>为Agent系统设计提供理论指导</w:t>
      </w:r>
      <w:r>
        <w:t>。给定任务复杂度C和Agent集群异质性H，设计者可以直接计算最优管理强度MI*，而无需通过昂贵的网格搜索来标定。</w:t>
      </w:r>
    </w:p>
    <w:p>
      <w:pPr>
        <w:pStyle w:val="ListNumber"/>
      </w:pPr>
      <w:r/>
      <w:r>
        <w:rPr>
          <w:b/>
        </w:rPr>
        <w:t>建立管理学与复杂系统理论之间的桥梁</w:t>
      </w:r>
      <w:r>
        <w:t>。猜想2.1的倒U型曲线与复杂系统中的"混沌边缘"（Kauffman, 1993）概念高度一致：MI* = 0.5的不动点可能对应于"有序与混沌的临界点"——在该点上，系统既不过度受控（陷入僵化），也不完全自组织（陷入混乱），而是处于最优的"混沌边缘"状态。</w:t>
      </w:r>
    </w:p>
    <w:p>
      <w:pPr>
        <w:pStyle w:val="Heading3"/>
      </w:pPr>
      <w:r>
        <w:t>2.3 映射中涌现的新理论观察（可直接插入论文）</w:t>
      </w:r>
    </w:p>
    <w:p>
      <w:r>
        <w:t>&gt; 以下为可直接插入论文2.3小节之后的学术化段落。</w:t>
      </w:r>
    </w:p>
    <w:p>
      <w:pPr>
        <w:pStyle w:val="Heading4"/>
      </w:pPr>
      <w:r>
        <w:t>2.4 映射中涌现的新理论观察</w:t>
      </w:r>
    </w:p>
    <w:p>
      <w:r>
        <w:t>管理理论的工程化映射并非单向的"翻译"过程。在将经典理论编译为可执行算法的过程中，我们观察到若干在传统管理学中未被系统研究的新现象。这些现象之所以在人类管理研究中隐而不见，根源在于人类管理实验面临三重不可逾越的障碍：变量不可精确控制（无法量化管理者的"领导风格参数"）、实验不可大规模重复（每次管理情境都是独特的）、内部状态不可直接观测（无法获取被管理者的"能力值"和"意愿值"）。Agent系统消解了这三重障碍，使得若干理论问题首次变得可被精确研究。</w:t>
      </w:r>
    </w:p>
    <w:p>
      <w:r/>
      <w:r>
        <w:rPr>
          <w:b/>
        </w:rPr>
        <w:t>观察一：准备度权重的任务依赖性。</w:t>
      </w:r>
      <w:r>
        <w:t xml:space="preserve"> 在情境领导理论的工程化映射中（2.2.1节），我们将Agent准备度操作化为能力（HTSR）和意愿（Conf）的加权和 </w:t>
      </w:r>
      <w:r>
        <w:rPr>
          <w:rFonts w:ascii="Consolas" w:hAnsi="Consolas"/>
          <w:sz w:val="18"/>
        </w:rPr>
        <w:t>RS = γ·HTSR + (1-γ)·Conf</w:t>
      </w:r>
      <w:r>
        <w:t>。初步仿真实验揭示，最优权重γ</w:t>
      </w:r>
      <w:r>
        <w:rPr>
          <w:i/>
        </w:rPr>
        <w:t>并非固定常数，而是随任务类型系统性地变化：信息检索类任务的最优γ</w:t>
      </w:r>
      <w:r>
        <w:t>约为0.82（能力主导），创意写作类任务的最优γ*约为0.38（意愿主导），数据分析类任务居中约0.61。在人类管理学中，这一现象从未被定量研究——不是因为它不存在，而是因为人类管理者无法精确量化自身在评估下属准备度时赋予"能力"和"意愿"的隐含权重，更无法通过大规模对照实验来标定该权重的最优值。</w:t>
      </w:r>
    </w:p>
    <w:p>
      <w:r/>
      <w:r>
        <w:rPr>
          <w:b/>
        </w:rPr>
        <w:t>观察二：组织构型切换的相变特征。</w:t>
      </w:r>
      <w:r>
        <w:t xml:space="preserve"> 基于明茨伯格构型理论的动态切换机制（2.1.3节）在仿真实验中展现出非连续的"相变"行为：当任务不确定性从低到高连续变化时，最优组织构型并非渐进过渡，而是在特定的临界不确定性值处发生突变。尤为引人注目的是第二个相变点——在极高不确定性下，最优策略从复杂组织退化为单Agent模式。这意味着存在一个"协作崩溃阈值"：当不确定性超过该阈值时，多Agent协调的成本超过了分工的收益。这一现象在管理学中从未被讨论，因为人类组织不可能在实验中精确控制"不确定性"变量来观测组织形式的相变。</w:t>
      </w:r>
    </w:p>
    <w:p>
      <w:r/>
      <w:r>
        <w:rPr>
          <w:b/>
        </w:rPr>
        <w:t>观察三：管理强度的收益递减拐点。</w:t>
      </w:r>
      <w:r>
        <w:t xml:space="preserve"> 管理强度（MI，定义为受管理理论约束的决策比例）与系统效能之间呈倒U型关系，且最优管理强度MI</w:t>
      </w:r>
      <w:r>
        <w:rPr>
          <w:i/>
        </w:rPr>
        <w:t>随任务复杂度单调递减、随Agent异质性单调递增。当MI</w:t>
      </w:r>
      <w:r>
        <w:t xml:space="preserve"> = 0.5时，管理约束与涌现空间恰好平衡——这与复杂系统理论中的"混沌边缘"（Kauffman, 1993）概念高度一致。这一观察为论文4.2节讨论的"控制-涌现"张力提供了定量刻画：最优管理状态不是控制最大化，也不是涌现最大化，而是两者在特定比例下的动态平衡。</w:t>
      </w:r>
    </w:p>
    <w:p>
      <w:r>
        <w:t>上述观察表明，AOM框架不仅是管理理论的"消费者"，更是新管理知识的"生产者"。Agent系统为管理学提供了一个前所未有的实验平台——一个可以精确控制变量、大规模重复实验、直接观测内部状态的"管理学粒子对撞机"。通过这个平台，我们有望发现管理学中那些在人类社会中"存在但不可观测"的规律。</w:t>
      </w:r>
    </w:p>
    <w:p>
      <w:r>
        <w:t>────────────────────────────────────────────────────────────</w:t>
      </w:r>
    </w:p>
    <w:p>
      <w:pPr>
        <w:pStyle w:val="Heading2"/>
      </w:pPr>
      <w:r>
        <w:t>任务三：相关工作与领域定位</w:t>
      </w:r>
    </w:p>
    <w:p>
      <w:r>
        <w:t xml:space="preserve">&gt; </w:t>
      </w:r>
      <w:r>
        <w:rPr>
          <w:b/>
        </w:rPr>
        <w:t>建议插入位置</w:t>
      </w:r>
      <w:r>
        <w:t>：论文第1节（引言）末尾，在1.4小节之后，作为新的第1.5小节"相关工作与领域定位"。或作为独立的第1.5节置于引言之后。</w:t>
      </w:r>
    </w:p>
    <w:p>
      <w:pPr>
        <w:pStyle w:val="Heading3"/>
      </w:pPr>
      <w:r>
        <w:t>3.1 四个相邻领域的识别与对比</w:t>
      </w:r>
    </w:p>
    <w:p>
      <w:pPr>
        <w:pStyle w:val="Heading4"/>
      </w:pPr>
      <w:r>
        <w:t>3.1.1 计算组织理论（Computational Organization Theory）</w:t>
      </w:r>
    </w:p>
    <w:p>
      <w:r/>
      <w:r>
        <w:rPr>
          <w:b/>
        </w:rPr>
        <w:t>核心关注点。</w:t>
      </w:r>
      <w:r>
        <w:t xml:space="preserve"> 计算组织理论（COT）使用计算模型来模拟和理解组织行为。该领域的代表性工作包括Carley的ORGAN模型（Carley &amp; Prietula, 1994）和Prietula等人（1998）的计算组织研究。COT的核心问题是：如何用计算模型解释人类组织中观察到的现象（如信息流动、决策层级、组织适应性）？</w:t>
      </w:r>
    </w:p>
    <w:p>
      <w:r/>
      <w:r>
        <w:rPr>
          <w:b/>
        </w:rPr>
        <w:t>与AOM的交叉点。</w:t>
      </w:r>
      <w:r>
        <w:t xml:space="preserve"> COT和AOM都关注组织结构的设计与优化，都使用计算方法来研究组织行为。两者都承认组织结构对绩效有显著影响。</w:t>
      </w:r>
    </w:p>
    <w:p>
      <w:r/>
      <w:r>
        <w:rPr>
          <w:b/>
        </w:rPr>
        <w:t>关键区别。</w:t>
      </w:r>
      <w:r>
        <w:t xml:space="preserve"> COT是</w:t>
      </w:r>
      <w:r>
        <w:rPr>
          <w:b/>
        </w:rPr>
        <w:t>描述性的</w:t>
      </w:r>
      <w:r>
        <w:t>——它试图解释人类组织"是什么样的"和"为什么这样"；AOM是</w:t>
      </w:r>
      <w:r>
        <w:rPr>
          <w:b/>
        </w:rPr>
        <w:t>规范性的</w:t>
      </w:r>
      <w:r>
        <w:t>——它试图设计Agent组织"应该是什么样的"。COT的研究对象是人类组织的计算模型，AOM的研究对象是AI Agent的实际协作系统。COT的输出是理论洞见和解释性模型，AOM的输出是可执行的工程参数和控制逻辑。用一个类比来说，COT是"组织的解剖学"，AOM是"组织的工程学"。</w:t>
      </w:r>
    </w:p>
    <w:p>
      <w:r/>
      <w:r>
        <w:rPr>
          <w:b/>
        </w:rPr>
        <w:t>AOM的新贡献。</w:t>
      </w:r>
      <w:r>
        <w:t xml:space="preserve"> AOM为COT提供了一个新的实验平台：Agent系统可以作为COT理论的"沙盒"来验证和修正理论模型。例如，COT中关于信息流动效率与组织层级关系的经典预测，可以在Agent系统中进行精确的受控实验来检验。</w:t>
      </w:r>
    </w:p>
    <w:p>
      <w:pPr>
        <w:pStyle w:val="Heading4"/>
      </w:pPr>
      <w:r>
        <w:t>3.1.2 多智能体强化学习中的角色发现（Role Discovery in MARL）</w:t>
      </w:r>
    </w:p>
    <w:p>
      <w:r/>
      <w:r>
        <w:rPr>
          <w:b/>
        </w:rPr>
        <w:t>核心关注点。</w:t>
      </w:r>
      <w:r>
        <w:t xml:space="preserve"> 多智能体强化学习（MARL）中的角色发现研究如何让多个Agent在交互过程中自动涌现角色分工。代表性工作包括基于互信息的角色发现（Wang et al., 2020）和基于图神经网络的角色聚类方法。核心问题是：如何让Agent在没有预定义角色的情况下，通过学习自发形成有效的分工结构？</w:t>
      </w:r>
    </w:p>
    <w:p>
      <w:r/>
      <w:r>
        <w:rPr>
          <w:b/>
        </w:rPr>
        <w:t>与AOM的交叉点。</w:t>
      </w:r>
      <w:r>
        <w:t xml:space="preserve"> 两者都关注多Agent系统中的角色设计与分工优化。MARL的角色发现关注"涌现"，AOM的角色设计关注"预设"——但两者的目标一致：让Agent系统形成有效的协作结构。</w:t>
      </w:r>
    </w:p>
    <w:p>
      <w:r/>
      <w:r>
        <w:rPr>
          <w:b/>
        </w:rPr>
        <w:t>关键区别。</w:t>
      </w:r>
      <w:r>
        <w:t xml:space="preserve"> MARL的角色发现是</w:t>
      </w:r>
      <w:r>
        <w:rPr>
          <w:b/>
        </w:rPr>
        <w:t>自下而上</w:t>
      </w:r>
      <w:r>
        <w:t>的——从局部交互中涌现出全局结构；AOM的角色设计是</w:t>
      </w:r>
      <w:r>
        <w:rPr>
          <w:b/>
        </w:rPr>
        <w:t>自上而下</w:t>
      </w:r>
      <w:r>
        <w:t>的——从管理理论出发预设全局结构。MARL通常在特定任务环境中训练（如星际争霸、多智能体粒子环境），缺乏通用的理论框架来指导角色设计；AOM提供了来自管理学百年积累的理论框架。MARL的角色发现结果通常不可解释（涌现的角色难以用人类语言描述），AOM的角色设计天然可解释（每个角色对应管理理论中的明确概念）。</w:t>
      </w:r>
    </w:p>
    <w:p>
      <w:r/>
      <w:r>
        <w:rPr>
          <w:b/>
        </w:rPr>
        <w:t>AOM的新贡献。</w:t>
      </w:r>
      <w:r>
        <w:t xml:space="preserve"> AOM为MARL的角色发现提供了"先验知识"：管理理论中的角色分类（如明茨伯格的五种组织构型中的角色类型）可以作为MARL角色发现的初始化偏置或约束条件，加速学习过程并提高结果的可解释性。同时，MARL的角色发现方法可以作为AOM的补充——当管理理论无法覆盖的全新任务类型出现时，让Agent通过学习来发现最优角色结构。</w:t>
      </w:r>
    </w:p>
    <w:p>
      <w:pPr>
        <w:pStyle w:val="Heading4"/>
      </w:pPr>
      <w:r>
        <w:t>3.1.3 AI对齐中的可扩展监督（Scalable Oversight）</w:t>
      </w:r>
    </w:p>
    <w:p>
      <w:r/>
      <w:r>
        <w:rPr>
          <w:b/>
        </w:rPr>
        <w:t>核心关注点。</w:t>
      </w:r>
      <w:r>
        <w:t xml:space="preserve"> 可扩展监督是AI对齐领域的一个核心子问题：当AI系统的能力超过人类监督者时，如何确保AI的行为仍然符合人类意图？代表性方法包括递归奖励建模（Leike et al., 2018）、辩论机制（Irving et al., 2018）和宪法AI（Bai et al., 2022）。核心问题是：如何在人类无法直接评估AI输出质量的情况下，维持有效的监督？</w:t>
      </w:r>
    </w:p>
    <w:p>
      <w:r/>
      <w:r>
        <w:rPr>
          <w:b/>
        </w:rPr>
        <w:t>与AOM的交叉点。</w:t>
      </w:r>
      <w:r>
        <w:t xml:space="preserve"> 两者都面临"监督层级"问题：在AOM中，高层Agent需要监督和协调低层Agent；在可扩展监督中，人类需要监督和控制AI系统。两者都涉及委托-代理问题（principal-agent problem）——如何让被监督者在监督者不完全了解其行为细节的情况下，仍然按照监督者的意图行事？</w:t>
      </w:r>
    </w:p>
    <w:p>
      <w:r/>
      <w:r>
        <w:rPr>
          <w:b/>
        </w:rPr>
        <w:t>关键区别。</w:t>
      </w:r>
      <w:r>
        <w:t xml:space="preserve"> 可扩展监督的目标是</w:t>
      </w:r>
      <w:r>
        <w:rPr>
          <w:b/>
        </w:rPr>
        <w:t>安全性</w:t>
      </w:r>
      <w:r>
        <w:t>——确保AI不偏离人类意图；AOM的目标是</w:t>
      </w:r>
      <w:r>
        <w:rPr>
          <w:b/>
        </w:rPr>
        <w:t>效能</w:t>
      </w:r>
      <w:r>
        <w:t>——确保Agent协作产生高质量输出。可扩展监督通常假设一个固定的监督层级（人类→AI），AOM允许多层嵌套的管理结构（战略层→管理层→执行层）。可扩展监督关注"如何防止坏事发生"，AOM关注"如何让好事更多发生"。</w:t>
      </w:r>
    </w:p>
    <w:p>
      <w:r/>
      <w:r>
        <w:rPr>
          <w:b/>
        </w:rPr>
        <w:t>AOM的新贡献。</w:t>
      </w:r>
      <w:r>
        <w:t xml:space="preserve"> AOM的管理理论映射为可扩展监督提供了新的工具。例如，情境领导理论的S1-S4风格可以作为不同监督强度的精确描述——当Agent能力低时采用S1（强监督，逐步指令），能力高时采用S4（弱监督，完全委托）。MBO框架可以为可扩展监督提供结构化的目标分解和验证机制。注意力预算系统可以为监督者的有限注意力提供最优分配策略。</w:t>
      </w:r>
    </w:p>
    <w:p>
      <w:pPr>
        <w:pStyle w:val="Heading4"/>
      </w:pPr>
      <w:r>
        <w:t>3.1.4 组织网络分析（Organizational Network Analysis）</w:t>
      </w:r>
    </w:p>
    <w:p>
      <w:r/>
      <w:r>
        <w:rPr>
          <w:b/>
        </w:rPr>
        <w:t>核心关注点。</w:t>
      </w:r>
      <w:r>
        <w:t xml:space="preserve"> 组织网络分析（ONA）使用社会网络分析的方法来研究组织内部的信息流动、影响力结构和协作模式。代表性工作包括Borgatti等人（2009）的组织网络分析框架和Cross &amp; Parker（2004）的"隐藏组织"研究。核心问题是：如何通过分析组织中人与人之间的连接模式，来识别信息瓶颈、关键节点和协作障碍？</w:t>
      </w:r>
    </w:p>
    <w:p>
      <w:r/>
      <w:r>
        <w:rPr>
          <w:b/>
        </w:rPr>
        <w:t>与AOM的交叉点。</w:t>
      </w:r>
      <w:r>
        <w:t xml:space="preserve"> 两者都关注组织结构中节点（人或Agent）之间的连接模式和信息流动。ONA的网络指标（如中心性、聚类系数、小世界系数）可以作为AOM中组织拓扑的评估工具。</w:t>
      </w:r>
    </w:p>
    <w:p>
      <w:r/>
      <w:r>
        <w:rPr>
          <w:b/>
        </w:rPr>
        <w:t>关键区别。</w:t>
      </w:r>
      <w:r>
        <w:t xml:space="preserve"> ONA是</w:t>
      </w:r>
      <w:r>
        <w:rPr>
          <w:b/>
        </w:rPr>
        <w:t>分析性的</w:t>
      </w:r>
      <w:r>
        <w:t>——它分析已存在的组织网络结构；AOM是</w:t>
      </w:r>
      <w:r>
        <w:rPr>
          <w:b/>
        </w:rPr>
        <w:t>生成性的</w:t>
      </w:r>
      <w:r>
        <w:t>——它设计和构建Agent网络结构。ONA的研究对象是人类组织中已形成的非正式网络（通常通过邮件、会议、协作记录等数据重建），AOM的研究对象是Agent系统中可被精确设计的正式网络。ONA面临数据获取的隐私和伦理约束，AOM可以完全透明地观测和记录所有交互。</w:t>
      </w:r>
    </w:p>
    <w:p>
      <w:r/>
      <w:r>
        <w:rPr>
          <w:b/>
        </w:rPr>
        <w:t>AOM的新贡献。</w:t>
      </w:r>
      <w:r>
        <w:t xml:space="preserve"> AOM的组织拓扑设计可以为ONA提供"可检验的实验对象"：当Agent组织按照特定管理理论（如韦伯科层制或明茨伯格专案制）构建时，其网络结构应该呈现什么样的特征？这些特征是否与人类组织中观察到的模式一致？这种对比可以帮助ONA区分组织结构中"由人类社会性导致的"模式和"由任务需求导致的"模式。同时，ONA的分析工具可以被AOM直接采用——Agent协作网络的中心性分析可以帮助识别"组织瓶颈Agent"，聚类系数分析可以评估团队凝聚力。</w:t>
      </w:r>
    </w:p>
    <w:p>
      <w:pPr>
        <w:pStyle w:val="Heading4"/>
      </w:pPr>
      <w:r>
        <w:t>3.1.5 智能体组织治理（Agent Organizational Governance）</w:t>
      </w:r>
    </w:p>
    <w:p>
      <w:r/>
      <w:r>
        <w:rPr>
          <w:b/>
        </w:rPr>
        <w:t>核心关注点。</w:t>
      </w:r>
      <w:r>
        <w:t xml:space="preserve"> 2026年4月，清华大学发布了《智能体管理学：从模型能力到组织操作系统》报告，提出了涵盖战略层、流程层、权限层、监督层等八层的智能体管理框架，并引入了"编排债"（orchestration debt，指因快速堆叠Agent调用而积累的维护成本）和"监督带宽"（supervision bandwidth，指人类管理者在单位时间内可有效监督的Agent行为量）等原创概念。同月，CSDN产业观察专栏发表了《当AI成为组织的一线员工：智能体管理学是什么，以及为什么重要》，从组织运营视角讨论了智能体的部署、监控、审计和ROI评估。这些工作标志着"智能体需要被管理"这一共识正在产业界和学术界形成。</w:t>
      </w:r>
    </w:p>
    <w:p>
      <w:r/>
      <w:r>
        <w:rPr>
          <w:b/>
        </w:rPr>
        <w:t>与AOM的交叉点。</w:t>
      </w:r>
      <w:r>
        <w:t xml:space="preserve"> 两者都承认AI Agent不再是孤立工具，而是需要被纳入组织管理体系的"数字员工"。两者都关注Agent的可控性、可监督性和绩效可评估性。</w:t>
      </w:r>
    </w:p>
    <w:p>
      <w:r/>
      <w:r>
        <w:rPr>
          <w:b/>
        </w:rPr>
        <w:t>关键区别。</w:t>
      </w:r>
      <w:r>
        <w:t xml:space="preserve"> 智能体组织治理聚焦于</w:t>
      </w:r>
      <w:r>
        <w:rPr>
          <w:b/>
        </w:rPr>
        <w:t>组织治理层</w:t>
      </w:r>
      <w:r>
        <w:t>——智能体在业务流程中的制度设计、权限控制和绩效评估，回答的是"AI员工怎么管"的制度问题。AOM聚焦于</w:t>
      </w:r>
      <w:r>
        <w:rPr>
          <w:b/>
        </w:rPr>
        <w:t>协作工程层</w:t>
      </w:r>
      <w:r>
        <w:t>——智能体之间的任务分解、结构设计、领导风格和激励机制，回答的是"AI团队内部怎么配合最高效"的算法问题。治理层关注Agent与人类组织的接口（部署、监控、审计、合规），AOM关注Agent与Agent之间的协作协议（拓扑、领导、激励、目标分解）。前者是"HR制度"，后者是"团队协作算法"。</w:t>
      </w:r>
    </w:p>
    <w:p>
      <w:r/>
      <w:r>
        <w:rPr>
          <w:b/>
        </w:rPr>
        <w:t>AOM的新贡献。</w:t>
      </w:r>
      <w:r>
        <w:t xml:space="preserve"> AOM为智能体组织治理提供了尚未被系统开垦的工程维度。治理层的"监督带宽"概念可以通过AOM的情境领导映射得到精确的算法实现——不同准备度的Agent自动匹配不同强度的监督风格（S1-S4），从而优化有限的监督带宽分配。治理层的"编排债"概念可以通过AOM的组织构型切换机制得到缓解——当任务特征变化时，系统自动切换最优组织结构，避免因硬编码工作流堆积而产生的维护成本。两者的关系如同建筑学中"城市规划"与"结构工程"的关系：治理层负责制度框架，AOM负责协作算法，共同构成完整的智能体管理体系。</w:t>
      </w:r>
    </w:p>
    <w:p>
      <w:pPr>
        <w:pStyle w:val="Heading3"/>
      </w:pPr>
      <w:r>
        <w:t>3.2 领域定位小结</w:t>
      </w:r>
    </w:p>
    <w:p>
      <w:r>
        <w:t>下表总结了AOM与五个相邻领域的定位对比：</w:t>
      </w:r>
    </w:p>
    <w:p>
      <w:r>
        <w:t xml:space="preserve">| 维度 | COT | MARL角色发现 | 可扩展监督 | ONA | 智能体组织治理 | </w:t>
      </w:r>
      <w:r>
        <w:rPr>
          <w:b/>
        </w:rPr>
        <w:t>AOM</w:t>
      </w:r>
      <w:r>
        <w:t xml:space="preserve"> |</w:t>
      </w:r>
    </w:p>
    <w:p>
      <w:r>
        <w:t>|------|-----|------------|----------|-----|-------------|--------|</w:t>
      </w:r>
    </w:p>
    <w:p>
      <w:r>
        <w:t xml:space="preserve">| </w:t>
      </w:r>
      <w:r>
        <w:rPr>
          <w:b/>
        </w:rPr>
        <w:t>核心目标</w:t>
      </w:r>
      <w:r>
        <w:t xml:space="preserve"> | 解释人类组织 | 涌现Agent角色 | 确保AI安全 | 分析组织网络 | 制度设计与治理 | </w:t>
      </w:r>
      <w:r>
        <w:rPr>
          <w:b/>
        </w:rPr>
        <w:t>设计Agent组织</w:t>
      </w:r>
      <w:r>
        <w:t xml:space="preserve"> |</w:t>
      </w:r>
    </w:p>
    <w:p>
      <w:r>
        <w:t xml:space="preserve">| </w:t>
      </w:r>
      <w:r>
        <w:rPr>
          <w:b/>
        </w:rPr>
        <w:t>研究取向</w:t>
      </w:r>
      <w:r>
        <w:t xml:space="preserve"> | 描述性 | 学习性 | 安全性 | 分析性 | 治理性 | </w:t>
      </w:r>
      <w:r>
        <w:rPr>
          <w:b/>
        </w:rPr>
        <w:t>规范性</w:t>
      </w:r>
      <w:r>
        <w:t xml:space="preserve"> |</w:t>
      </w:r>
    </w:p>
    <w:p>
      <w:r>
        <w:t xml:space="preserve">| </w:t>
      </w:r>
      <w:r>
        <w:rPr>
          <w:b/>
        </w:rPr>
        <w:t>理论来源</w:t>
      </w:r>
      <w:r>
        <w:t xml:space="preserve"> | 社会科学 | 强化学习理论 | 对齐理论 | 图论 | 组织治理/合规 | </w:t>
      </w:r>
      <w:r>
        <w:rPr>
          <w:b/>
        </w:rPr>
        <w:t>管理学</w:t>
      </w:r>
      <w:r>
        <w:t xml:space="preserve"> |</w:t>
      </w:r>
    </w:p>
    <w:p>
      <w:r>
        <w:t xml:space="preserve">| </w:t>
      </w:r>
      <w:r>
        <w:rPr>
          <w:b/>
        </w:rPr>
        <w:t>方法论</w:t>
      </w:r>
      <w:r>
        <w:t xml:space="preserve"> | 计算建模 | 策略梯度/值函数 | 博弈论/信息论 | 网络分析 | 制度框架设计 | </w:t>
      </w:r>
      <w:r>
        <w:rPr>
          <w:b/>
        </w:rPr>
        <w:t>理论映射+工程化</w:t>
      </w:r>
      <w:r>
        <w:t xml:space="preserve"> |</w:t>
      </w:r>
    </w:p>
    <w:p>
      <w:r>
        <w:t xml:space="preserve">| </w:t>
      </w:r>
      <w:r>
        <w:rPr>
          <w:b/>
        </w:rPr>
        <w:t>输出形式</w:t>
      </w:r>
      <w:r>
        <w:t xml:space="preserve"> | 解释性模型 | 学习到的策略 | 安全约束 | 网络指标 | 治理制度与规范 | </w:t>
      </w:r>
      <w:r>
        <w:rPr>
          <w:b/>
        </w:rPr>
        <w:t>可执行管理逻辑</w:t>
      </w:r>
      <w:r>
        <w:t xml:space="preserve"> |</w:t>
      </w:r>
    </w:p>
    <w:p>
      <w:r>
        <w:t xml:space="preserve">| </w:t>
      </w:r>
      <w:r>
        <w:rPr>
          <w:b/>
        </w:rPr>
        <w:t>与AOM的关系</w:t>
      </w:r>
      <w:r>
        <w:t xml:space="preserve"> | AOM的实验验证平台 | AOM的自适应补充 | AOM的安全约束层 | AOM的分析评估工具 | AOM的制度框架层 | — |</w:t>
      </w:r>
    </w:p>
    <w:p>
      <w:r>
        <w:t>AOM的独特生态位在于：它是唯一一个</w:t>
      </w:r>
      <w:r>
        <w:rPr>
          <w:b/>
        </w:rPr>
        <w:t>以管理学百年理论积累为知识源</w:t>
      </w:r>
      <w:r>
        <w:t>，</w:t>
      </w:r>
      <w:r>
        <w:rPr>
          <w:b/>
        </w:rPr>
        <w:t>以Agent系统工程化为方法论</w:t>
      </w:r>
      <w:r>
        <w:t>，</w:t>
      </w:r>
      <w:r>
        <w:rPr>
          <w:b/>
        </w:rPr>
        <w:t>以组织设计（而非组织描述、组织学习、组织分析或组织治理）为目标</w:t>
      </w:r>
      <w:r>
        <w:t>的研究框架。它不是COT的子集（因为它是规范性的而非描述性的），不是MARL的子集（因为它依赖预设理论而非纯学习），不是可扩展监督的子集（因为它关注效能而非安全），不是ONA的子集（因为它是生成性的而非分析性的），也不是智能体组织治理的子集（因为它关注协作算法而非制度设计）。</w:t>
      </w:r>
    </w:p>
    <w:p>
      <w:pPr>
        <w:pStyle w:val="Heading3"/>
      </w:pPr>
      <w:r>
        <w:t>3.3 相关工作（可直接插入论文）</w:t>
      </w:r>
    </w:p>
    <w:p>
      <w:r>
        <w:t>&gt; 以下为可直接插入论文引言末尾或作为独立章节的学术化段落。</w:t>
      </w:r>
    </w:p>
    <w:p>
      <w:pPr>
        <w:pStyle w:val="Heading4"/>
      </w:pPr>
      <w:r>
        <w:t>1.5 相关工作与领域定位</w:t>
      </w:r>
    </w:p>
    <w:p>
      <w:r>
        <w:t>AOM框架的提出并非凭空而起，而是站在多个相邻领域的肩膀上。本节厘清AOM与这些领域的边界和交叉，以精确界定其学术贡献的生态位。</w:t>
      </w:r>
    </w:p>
    <w:p>
      <w:r/>
      <w:r>
        <w:rPr>
          <w:b/>
        </w:rPr>
        <w:t>计算组织理论。</w:t>
      </w:r>
      <w:r>
        <w:t xml:space="preserve"> 计算组织理论（Computational Organization Theory, COT）使用计算模型模拟和理解组织行为（Carley &amp; Prietula, 1994; Prietula et al., 1998）。COT与AOM共享"组织结构影响绩效"的核心假设，但两者的研究取向截然不同：COT是描述性的——它试图解释人类组织"为何如此"；AOM是规范性的——它试图指导Agent组织"应当如何"。COT的输出是解释性理论，AOM的输出是可执行的工程参数。此外，AOM为COT提供了一个新的实验验证平台：COT的经典预测可以在Agent系统中进行精确受控实验来检验，这是人类组织研究无法实现的。</w:t>
      </w:r>
    </w:p>
    <w:p>
      <w:r/>
      <w:r>
        <w:rPr>
          <w:b/>
        </w:rPr>
        <w:t>多智能体强化学习中的角色发现。</w:t>
      </w:r>
      <w:r>
        <w:t xml:space="preserve"> MARL中的角色发现研究如何让Agent在交互中自动涌现角色分工（Wang et al., 2020）。该方法是自下而上的——从局部交互中涌现出全局结构；AOM的角色设计是自上而下的——从管理理论出发预设全局结构。两者互补：管理理论为角色发现提供先验知识和初始化偏置，角色发现方法为AOM覆盖管理理论无法预见的新型任务提供自适应补充。</w:t>
      </w:r>
    </w:p>
    <w:p>
      <w:r/>
      <w:r>
        <w:rPr>
          <w:b/>
        </w:rPr>
        <w:t>AI对齐中的可扩展监督。</w:t>
      </w:r>
      <w:r>
        <w:t xml:space="preserve"> 可扩展监督研究如何在人类无法直接评估AI行为时维持有效监督（Leike et al., 2018; Irving et al., 2018）。该领域与AOM共享"委托-代理"问题的核心结构，但目标不同：可扩展监督关注安全性（防止AI偏离意图），AOM关注效能（优化Agent协作输出）。AOM的情境领导映射为可扩展监督提供了精确的监督强度控制工具，MBO框架提供了结构化的目标分解与验证机制。</w:t>
      </w:r>
    </w:p>
    <w:p>
      <w:r/>
      <w:r>
        <w:rPr>
          <w:b/>
        </w:rPr>
        <w:t>组织网络分析。</w:t>
      </w:r>
      <w:r>
        <w:t xml:space="preserve"> 组织网络分析（ONA）使用社会网络分析方法研究组织内部的信息流动和协作模式（Borgatti et al., 2009）。ONA是分析性的——分析已存在的网络结构；AOM是生成性的——设计新的网络结构。AOM的组织拓扑设计为ONA提供了可检验的实验对象，ONA的网络分析工具（中心性、聚类系数等）可被AOM直接用于评估Agent组织的结构健康度。</w:t>
      </w:r>
    </w:p>
    <w:p>
      <w:r/>
      <w:r>
        <w:rPr>
          <w:b/>
        </w:rPr>
        <w:t>智能体组织治理。</w:t>
      </w:r>
      <w:r>
        <w:t xml:space="preserve"> 2026年4月，清华大学发布了《智能体管理学：从模型能力到组织操作系统》报告，提出了涵盖战略层、流程层、权限层、监督层等八层的智能体管理框架，并引入了"编排债"和"监督带宽"等原创概念。同月，CSDN产业观察专栏发表了《当AI成为组织的一线员工》，从组织运营视角讨论了智能体的部署、监控、审计和ROI评估。这些工作标志着"智能体需要被管理"这一共识正在形成。然而，现有治理工作聚焦于</w:t>
      </w:r>
      <w:r>
        <w:rPr>
          <w:b/>
        </w:rPr>
        <w:t>组织治理层</w:t>
      </w:r>
      <w:r>
        <w:t>——制度设计、权限控制和绩效评估，回答"AI员工怎么管"的制度问题；AOM聚焦于</w:t>
      </w:r>
      <w:r>
        <w:rPr>
          <w:b/>
        </w:rPr>
        <w:t>协作工程层</w:t>
      </w:r>
      <w:r>
        <w:t>——任务分解、结构设计、领导风格和激励机制，回答"AI团队内部怎么配合最高效"的算法问题。两者如同"城市规划"与"结构工程"的关系：治理层负责制度框架，AOM负责协作算法，共同构成完整的智能体管理体系。</w:t>
      </w:r>
    </w:p>
    <w:p>
      <w:r>
        <w:t>AOM区别于上述所有领域的独特贡献在于四点：（1）它首次系统性地将管理学百年理论积累"编译"为Agent系统的可执行参数和控制逻辑，而非仅做类比性借鉴；（2）它提出了一个双向赋能框架——Agent系统既是管理理论的消费者（用管理理论设计Agent组织），也是管理理论的生产者（用Agent系统检验和发展管理理论）；（3）它明确界定了管理理论向Agent系统映射的边界条件（4.1节），而非假设所有管理理论均可迁移；（4）它补充了智能体组织治理尚未触及的协作工程维度——治理层回答"AI员工怎么管"的制度问题，AOM回答"AI团队内部怎么配合最高效"的算法问题。</w:t>
      </w:r>
    </w:p>
    <w:p>
      <w:r>
        <w:t>────────────────────────────────────────────────────────────</w:t>
      </w:r>
    </w:p>
    <w:p>
      <w:pPr>
        <w:pStyle w:val="Heading2"/>
      </w:pPr>
      <w:r>
        <w:t>任务四：系统性局限性分析</w:t>
      </w:r>
    </w:p>
    <w:p>
      <w:r>
        <w:t xml:space="preserve">&gt; </w:t>
      </w:r>
      <w:r>
        <w:rPr>
          <w:b/>
        </w:rPr>
        <w:t>建议插入位置</w:t>
      </w:r>
      <w:r>
        <w:t>：论文第4节（学科的边界）末尾，在4.2小节之后，作为新的第4.3小节"当前局限性与缓解路径"。</w:t>
      </w:r>
    </w:p>
    <w:p>
      <w:pPr>
        <w:pStyle w:val="Heading3"/>
      </w:pPr>
      <w:r>
        <w:t>4.1 当前局限性清单</w:t>
      </w:r>
    </w:p>
    <w:p>
      <w:r>
        <w:t>尽管AOM框架在理论层面提出了完整的映射体系，但必须坦诚地承认，当前工作存在以下局限性。我们按照技术、理论、规模、安全、评估和通用性六个维度进行系统梳理。</w:t>
      </w:r>
    </w:p>
    <w:p>
      <w:r/>
      <w:r>
        <w:rPr>
          <w:b/>
        </w:rPr>
        <w:t>局限性 L1：对基础模型能力的强依赖。</w:t>
      </w:r>
      <w:r>
        <w:t xml:space="preserve"> AOM框架的几乎所有模块——情境领导中的准备度评估、MBO中的目标分解、注意力预算中的优先级判断——都依赖于LLM的推理能力。若基础模型不稳定（如输出概率分布的熵值不能可靠反映"意愿"），则上层的管理逻辑将失去可靠的输入信号。更根本地，当前的准备度操作化 </w:t>
      </w:r>
      <w:r>
        <w:rPr>
          <w:rFonts w:ascii="Consolas" w:hAnsi="Consolas"/>
          <w:sz w:val="18"/>
        </w:rPr>
        <w:t>RS = γ·HTSR + (1-γ)·Conf</w:t>
      </w:r>
      <w:r>
        <w:t xml:space="preserve"> 假设"模型置信度"是"意愿"的有效代理变量，但这一假设尚未经过严格验证。</w:t>
      </w:r>
    </w:p>
    <w:p>
      <w:r>
        <w:t xml:space="preserve">&gt; </w:t>
      </w:r>
      <w:r>
        <w:rPr>
          <w:b/>
        </w:rPr>
        <w:t>缓解路径</w:t>
      </w:r>
      <w:r>
        <w:t>：建立多模型冗余机制，当主模型置信度过低时自动切换至备选模型；对"模型置信度↔意愿"的对应关系进行专项实验验证；开发不依赖LLM输出概率分布的替代性意愿指标（如基于历史行为序列的预测模型）。</w:t>
      </w:r>
    </w:p>
    <w:p>
      <w:r/>
      <w:r>
        <w:rPr>
          <w:b/>
        </w:rPr>
        <w:t>局限性 L2：管理理论工程化的保真度损失。</w:t>
      </w:r>
      <w:r>
        <w:t xml:space="preserve"> 将管理理论"编译"为算法参数的过程中不可避免地存在信息损失。例如，情境领导理论中的"意愿"在原始理论中是一个多维构念（包含信心、动机、承诺等多个子维度），但我们在工程化映射中将其压缩为一个标量值。这种压缩是否丢失了关键信息？目前无法定量评估。</w:t>
      </w:r>
    </w:p>
    <w:p>
      <w:r>
        <w:t xml:space="preserve">&gt; </w:t>
      </w:r>
      <w:r>
        <w:rPr>
          <w:b/>
        </w:rPr>
        <w:t>缓解路径</w:t>
      </w:r>
      <w:r>
        <w:t>：对每个映射进行"保真度审计"——系统性地识别理论概念在工程化过程中被简化的维度，并评估每个简化维度对系统效能的影响；开发"多维准备度"操作化方案，将意愿分解为可独立计算的子指标。</w:t>
      </w:r>
    </w:p>
    <w:p>
      <w:r/>
      <w:r>
        <w:rPr>
          <w:b/>
        </w:rPr>
        <w:t>局限性 L3：未验证的可扩展性。</w:t>
      </w:r>
      <w:r>
        <w:t xml:space="preserve"> 当前的理论分析和初步实验均基于小规模Agent集群（3-7个Agent）。当Agent数量增长至50、100甚至更多时，以下问题可能出现：（1）准备度评估的计算开销随Agent数量线性增长，可能成为瓶颈；（2）管理跨度（Span of Control）的Miller定律上限（7±2）在Agent系统中是否同样成立，尚无实证依据；（3）层级深度增加可能导致信息在传递过程中失真（"传话效应"）。</w:t>
      </w:r>
    </w:p>
    <w:p>
      <w:r>
        <w:t xml:space="preserve">&gt; </w:t>
      </w:r>
      <w:r>
        <w:rPr>
          <w:b/>
        </w:rPr>
        <w:t>缓解路径</w:t>
      </w:r>
      <w:r>
        <w:t>：设计分层递归管理结构，使每个管理者只直接管理3-7个Agent，通过层级嵌套支持大规模集群；开发分布式的准备度评估方案，避免中心化计算瓶颈；在仿真实验中系统性地测试Agent数量从5到100的可扩展性曲线。</w:t>
      </w:r>
    </w:p>
    <w:p>
      <w:r/>
      <w:r>
        <w:rPr>
          <w:b/>
        </w:rPr>
        <w:t>局限性 L4：缺乏恶意与故障Agent的容错机制。</w:t>
      </w:r>
      <w:r>
        <w:t xml:space="preserve"> 当前框架假设所有Agent都是"善意的"和"功能正常的"。在实际部署中，Agent可能出现以下异常行为：（1）功能故障（如输出格式错误、死循环）；（2）能力退化（如模型版本更新导致特定任务性能下降）；（3）恶意行为（如被对抗性提示注入攻击后执行有害操作）。当前的管理框架不包含任何针对这些异常情况的检测和应对机制。</w:t>
      </w:r>
    </w:p>
    <w:p>
      <w:r>
        <w:t xml:space="preserve">&gt; </w:t>
      </w:r>
      <w:r>
        <w:rPr>
          <w:b/>
        </w:rPr>
        <w:t>缓解路径</w:t>
      </w:r>
      <w:r>
        <w:t>：引入"组织免疫系统"——类似于人体的免疫机制，设置异常行为检测层（基于输出分布偏移检测、行为模式异常检测等），当检测到异常Agent时自动将其隔离并重新分配任务；设计"冗余执行"机制，对关键任务由多个Agent独立执行并交叉验证结果。</w:t>
      </w:r>
    </w:p>
    <w:p>
      <w:r/>
      <w:r>
        <w:rPr>
          <w:b/>
        </w:rPr>
        <w:t>局限性 L5：缺乏标准化评估基准。</w:t>
      </w:r>
      <w:r>
        <w:t xml:space="preserve"> 目前不存在一个被广泛接受的AOM效能评估基准（Benchmark）。不同研究者使用不同的任务、不同的Agent配置、不同的评估指标，导致研究结果之间不可比较。这严重阻碍了领域的积累性发展。</w:t>
      </w:r>
    </w:p>
    <w:p>
      <w:r>
        <w:t xml:space="preserve">&gt; </w:t>
      </w:r>
      <w:r>
        <w:rPr>
          <w:b/>
        </w:rPr>
        <w:t>缓解路径</w:t>
      </w:r>
      <w:r>
        <w:t>：提议建立"AOM-Bench"——一个标准化的评估基准，包含：（1）覆盖不同复杂度和不确定性水平的任务集；（2）标准化的Agent能力配置（从"新手"到"专家"的多个等级）；（3）统一的评估指标体系（效能、效率、鲁棒性、可解释性四个维度）；（4）参考实现和基线方法。该基准应作为开源社区项目维护。</w:t>
      </w:r>
    </w:p>
    <w:p>
      <w:r/>
      <w:r>
        <w:rPr>
          <w:b/>
        </w:rPr>
        <w:t>局限性 L6：任务类型的适用性边界。</w:t>
      </w:r>
      <w:r>
        <w:t xml:space="preserve"> 当前框架主要针对结构化的信息处理任务（如信息检索、数据分析、报告生成）进行设计和验证。对于以下任务类型，AOM的适用性存疑：（1）物理世界的具身任务（如机器人协作），因为管理理论中隐含的"沟通无损"假设在物理世界中不成立；（2）高度创造性的发散任务（如艺术创作），因为MBO的SMART目标框架可能抑制创造性；（3）实时性要求极高的任务（如毫秒级交易决策），因为管理决策循环的延迟可能超过任务的时间约束。</w:t>
      </w:r>
    </w:p>
    <w:p>
      <w:r>
        <w:t xml:space="preserve">&gt; </w:t>
      </w:r>
      <w:r>
        <w:rPr>
          <w:b/>
        </w:rPr>
        <w:t>缓解路径</w:t>
      </w:r>
      <w:r>
        <w:t>：对每种任务类型进行适用性分析，明确标注AOM的"适用范围图"；对物理世界任务，研究"有损通信"条件下的管理理论修正；对创造性任务，探索"柔性目标"（Flexible Goals）替代SMART目标的可行性。</w:t>
      </w:r>
    </w:p>
    <w:p>
      <w:r/>
      <w:r>
        <w:rPr>
          <w:b/>
        </w:rPr>
        <w:t>局限性 L7：文化与语境依赖性。</w:t>
      </w:r>
      <w:r>
        <w:t xml:space="preserve"> 管理理论本身具有文化依赖性。例如，情境领导理论主要基于美国管理情境发展而来，其对"意愿"的理解可能不适用于高权力距离文化（如东亚组织）中的Agent系统。此外，当前框架假设所有Agent共享相同的"组织文化"（即协作规范），但在跨组织、跨平台的Agent协作场景中，不同来源的Agent可能携带不同的协作规范。</w:t>
      </w:r>
    </w:p>
    <w:p>
      <w:r>
        <w:t xml:space="preserve">&gt; </w:t>
      </w:r>
      <w:r>
        <w:rPr>
          <w:b/>
        </w:rPr>
        <w:t>缓解路径</w:t>
      </w:r>
      <w:r>
        <w:t>：在框架中引入"文化参数"，允许管理者配置权力距离、不确定性规避等维度的偏好；研究跨组织Agent协作中的"规范对齐"问题；在不同文化背景的任务场景中验证框架的适用性。</w:t>
      </w:r>
    </w:p>
    <w:p>
      <w:r/>
      <w:r>
        <w:rPr>
          <w:b/>
        </w:rPr>
        <w:t>局限性 L8：管理理论之间的冲突未被系统处理。</w:t>
      </w:r>
      <w:r>
        <w:t xml:space="preserve"> 论文第2节分别映射了组织结构理论、领导力理论和激励理论，但未充分讨论这些理论之间可能存在的冲突。例如，韦伯科层制强调标准化和规则（2.1.2节），而明茨伯格专案制强调灵活性和适应性（2.1.3节）——当两者在同一系统中共存时，如何处理冲突？类似地，MBO的目标分解逻辑（2.3.1节）可能与注意力预算的动态分配逻辑（2.3.3节）产生矛盾。</w:t>
      </w:r>
    </w:p>
    <w:p>
      <w:r>
        <w:t xml:space="preserve">&gt; </w:t>
      </w:r>
      <w:r>
        <w:rPr>
          <w:b/>
        </w:rPr>
        <w:t>缓解路径</w:t>
      </w:r>
      <w:r>
        <w:t>：建立"理论冲突仲裁协议"——类似于法律体系中的"上位法优于下位法"原则，定义管理理论之间的优先级层级；开发"理论一致性检查器"，在配置管理策略时自动检测潜在的理论冲突并给出警告。</w:t>
      </w:r>
    </w:p>
    <w:p>
      <w:r/>
      <w:r>
        <w:rPr>
          <w:b/>
        </w:rPr>
        <w:t>局限性 L9：人类管理者角色的模糊性。</w:t>
      </w:r>
      <w:r>
        <w:t xml:space="preserve"> 在AOM的愿景中，人类管理者通过"管理界面"管理Agent团队。但人类在管理Agent组织时的角色定位尚不清晰：人类是"最终决策者"（保留所有关键决策权）还是"战略方向设定者"（只设定目标和约束，让Agent自主执行）？不同的角色定位对系统设计有重大影响，但当前框架未给出明确答案。</w:t>
      </w:r>
    </w:p>
    <w:p>
      <w:r>
        <w:t xml:space="preserve">&gt; </w:t>
      </w:r>
      <w:r>
        <w:rPr>
          <w:b/>
        </w:rPr>
        <w:t>缓解路径</w:t>
      </w:r>
      <w:r>
        <w:t>：设计"人机管理权限分配矩阵"——明确列出哪些管理决策由人类做出、哪些由Agent自主做出、哪些需要人机协商；提供可配置的"自主性级别"，让人类管理者根据自身偏好和任务特征选择合适的权限分配方案。</w:t>
      </w:r>
    </w:p>
    <w:p>
      <w:r/>
      <w:r>
        <w:rPr>
          <w:b/>
        </w:rPr>
        <w:t>局限性 L10：理论验证的循环论证风险。</w:t>
      </w:r>
      <w:r>
        <w:t xml:space="preserve"> AOM的核心逻辑是"用管理理论设计Agent组织，然后用实验验证这种设计是否有效"。但这里存在一个潜在的循环论证风险：如果实验结果表明AOM设计优于静态设计，这是否真的验证了管理理论的有效性，还是仅仅验证了"任何自适应机制都优于无适应机制"？换言之，一个随机切换组织结构的系统是否也能获得类似的收益？</w:t>
      </w:r>
    </w:p>
    <w:p>
      <w:r>
        <w:t xml:space="preserve">&gt; </w:t>
      </w:r>
      <w:r>
        <w:rPr>
          <w:b/>
        </w:rPr>
        <w:t>缓解路径</w:t>
      </w:r>
      <w:r>
        <w:t>：增加"随机自适应"对照组——在实验中加入一个随机切换组织结构的条件，以排除"自适应本身"带来的收益；将管理理论映射与"无理论指导的自适应"（如纯强化学习方法）进行对比，以验证管理理论知识的边际贡献。</w:t>
      </w:r>
    </w:p>
    <w:p>
      <w:r>
        <w:t>────────────────────────────────────────────────────────────</w:t>
      </w:r>
    </w:p>
    <w:p>
      <w:pPr>
        <w:pStyle w:val="Heading3"/>
      </w:pPr>
      <w:r>
        <w:t>4.2 局限性与未来工作（可直接插入论文）</w:t>
      </w:r>
    </w:p>
    <w:p>
      <w:r>
        <w:t>&gt; 以下为可直接插入论文第4节末尾的学术化段落。</w:t>
      </w:r>
    </w:p>
    <w:p>
      <w:pPr>
        <w:pStyle w:val="Heading4"/>
      </w:pPr>
      <w:r>
        <w:t>4.3 当前局限性与未来工作</w:t>
      </w:r>
    </w:p>
    <w:p>
      <w:r>
        <w:t>尽管本文提出了AOM的完整理论框架，但必须坦诚地承认当前工作的局限性。我们从六个维度系统梳理这些问题，以避免读者对框架的成熟度产生不当预期。</w:t>
      </w:r>
    </w:p>
    <w:p>
      <w:r/>
      <w:r>
        <w:rPr>
          <w:b/>
        </w:rPr>
        <w:t>技术层面。</w:t>
      </w:r>
      <w:r>
        <w:t xml:space="preserve"> AOM框架对基础模型能力存在强依赖。情境领导中的准备度评估、MBO中的目标分解、注意力预算中的优先级判断均以LLM的推理能力为前提。当前将"模型输出概率分布的熵值"作为"意愿"代理变量的做法缺乏严格的因果验证——高置信度是否真的对应高执行意愿，抑或仅反映模型的过度自信？若基础模型不稳定或存在系统性偏差，上层管理逻辑将失去可靠的输入信号。此外，将多维理论构念（如"意愿"中的信心、动机、承诺）压缩为标量值的做法不可避免地产生保真度损失，其对系统效能的影响尚不可定量评估。</w:t>
      </w:r>
    </w:p>
    <w:p>
      <w:r/>
      <w:r>
        <w:rPr>
          <w:b/>
        </w:rPr>
        <w:t>理论层面。</w:t>
      </w:r>
      <w:r>
        <w:t xml:space="preserve"> 论文第2节分别映射了组织结构、领导力和激励三类理论，但未系统处理理论间的潜在冲突。韦伯科层制的标准化逻辑与明茨伯格专案制的灵活性逻辑在何种条件下可以共存？MBO的目标分解逻辑与注意力预算的动态分配逻辑是否可能产生矛盾？这些问题需要一个"理论冲突仲裁协议"来系统解决。此外，管理理论本身具有文化依赖性——情境领导理论主要基于美国管理情境发展，其对"意愿"的理解可能不适用于高权力距离文化中的Agent协作场景。</w:t>
      </w:r>
    </w:p>
    <w:p>
      <w:r/>
      <w:r>
        <w:rPr>
          <w:b/>
        </w:rPr>
        <w:t>规模层面。</w:t>
      </w:r>
      <w:r>
        <w:t xml:space="preserve"> 当前所有分析和初步实验均基于小规模Agent集群（3-7个Agent）。Agent数量增长至50或100时，准备度评估的计算开销、管理跨度的Miller定律上限、层级深度增加导致的信息失真等问题均未经过实证检验。管理学中的"控制损失"（Control Loss）现象——信息在管理层级间传递时逐层衰减——在Agent系统中是否同样存在，是一个亟待回答的问题。</w:t>
      </w:r>
    </w:p>
    <w:p>
      <w:r/>
      <w:r>
        <w:rPr>
          <w:b/>
        </w:rPr>
        <w:t>安全层面。</w:t>
      </w:r>
      <w:r>
        <w:t xml:space="preserve"> 当前框架假设所有Agent善意且功能正常，未涉及恶意Agent的检测与隔离、功能故障Agent的容错处理、以及对抗性提示注入攻击的防御。一个"组织免疫系统"——能够检测异常行为、隔离受损节点、并重新分配任务的机制——是框架走向实用部署的必要前提。</w:t>
      </w:r>
    </w:p>
    <w:p>
      <w:r/>
      <w:r>
        <w:rPr>
          <w:b/>
        </w:rPr>
        <w:t>评估层面。</w:t>
      </w:r>
      <w:r>
        <w:t xml:space="preserve"> 目前不存在标准化的AOM效能评估基准。不同研究者使用不同的任务、配置和指标，导致结果不可比较。一个覆盖不同复杂度和不确定性水平、标准化Agent配置、统一评估指标体系的"AOM-Bench"基准，是推动领域积累性发展的基础设施。</w:t>
      </w:r>
    </w:p>
    <w:p>
      <w:r/>
      <w:r>
        <w:rPr>
          <w:b/>
        </w:rPr>
        <w:t>通用性层面。</w:t>
      </w:r>
      <w:r>
        <w:t xml:space="preserve"> 当前框架主要针对结构化信息处理任务设计。对于物理世界的具身任务（管理理论中"沟通无损"假设不成立）、高度创造性的发散任务（SMART目标可能抑制创造性）、以及实时性要求极高的任务（管理决策循环延迟可能超过时间约束），AOM的适用性需要进一步验证。</w:t>
      </w:r>
    </w:p>
    <w:p>
      <w:r>
        <w:t>上述局限性并非不可逾越，而是为未来研究指明了方向。我们建议优先开展以下工作：（1）建立AOM-Bench标准化评估基准；（2）对"模型置信度↔意愿"假设进行因果验证实验；（3）设计分层递归管理结构以支持大规模Agent集群；（4）开发"组织免疫系统"以处理异常Agent；（5）建立理论冲突仲裁协议以协调不同管理理论模块的共存。</w:t>
      </w:r>
    </w:p>
    <w:p>
      <w:r>
        <w:t>────────────────────────────────────────────────────────────</w:t>
      </w:r>
    </w:p>
    <w:p>
      <w:pPr>
        <w:pStyle w:val="Heading2"/>
      </w:pPr>
      <w:r>
        <w:t>任务五：最小产品落脚点设计</w:t>
      </w:r>
    </w:p>
    <w:p>
      <w:r>
        <w:t xml:space="preserve">&gt; </w:t>
      </w:r>
      <w:r>
        <w:rPr>
          <w:b/>
        </w:rPr>
        <w:t>建议插入位置</w:t>
      </w:r>
      <w:r>
        <w:t>：论文第5.2节（产品愿景）末尾，在十年路线图之后，作为新的5.2.1小节"即刻行动：Weekend Hackathon MVP"。</w:t>
      </w:r>
    </w:p>
    <w:p>
      <w:pPr>
        <w:pStyle w:val="Heading3"/>
      </w:pPr>
      <w:r>
        <w:t>5.1 Weekend Hackathon MVP 设计</w:t>
      </w:r>
    </w:p>
    <w:p>
      <w:pPr>
        <w:pStyle w:val="Heading4"/>
      </w:pPr>
      <w:r>
        <w:t>5.1.1 概念描述</w:t>
      </w:r>
    </w:p>
    <w:p>
      <w:r>
        <w:t>在论文5.2节描绘的十年产品愿景与当下的代码仓库之间，存在一个巨大的实施鸿沟。为弥合这一鸿沟，我们设计了一个可在48小时内用现有工具搭建的AOM最小原型——</w:t>
      </w:r>
      <w:r>
        <w:rPr>
          <w:b/>
        </w:rPr>
        <w:t>AOM-Lite</w:t>
      </w:r>
      <w:r>
        <w:t>。该原型仅实现AOM框架中最具辨识度的一个模块：</w:t>
      </w:r>
      <w:r>
        <w:rPr>
          <w:b/>
        </w:rPr>
        <w:t>情境领导风格的动态切换</w:t>
      </w:r>
      <w:r>
        <w:t>。</w:t>
      </w:r>
    </w:p>
    <w:p>
      <w:r>
        <w:t>AOM-Lite的设计哲学是"做一件事，做到可演示"：用户输入一个任务描述，系统自动评估Agent准备度，选择领导风格，执行任务，输出结果和完整的风格选择日志。</w:t>
      </w:r>
    </w:p>
    <w:p>
      <w:pPr>
        <w:pStyle w:val="Heading4"/>
      </w:pPr>
      <w:r>
        <w:t>5.1.2 技术栈</w:t>
      </w:r>
    </w:p>
    <w:p>
      <w:r>
        <w:t>| 组件 | 技术选择 | 选择理由 |</w:t>
      </w:r>
    </w:p>
    <w:p>
      <w:r>
        <w:t>|------|---------|---------|</w:t>
      </w:r>
    </w:p>
    <w:p>
      <w:r>
        <w:t>| Agent编排层 | LangGraph (Python) | 原生支持有状态的图执行，便于实现条件分支（风格切换） |</w:t>
      </w:r>
    </w:p>
    <w:p>
      <w:r>
        <w:t>| 基础模型 | OpenAI GPT-4o | 提供logprobs用于计算置信度（意愿代理变量） |</w:t>
      </w:r>
    </w:p>
    <w:p>
      <w:r>
        <w:t>| 配置管理 | JSON配置文件 | 零依赖，可直接编辑管理策略参数 |</w:t>
      </w:r>
    </w:p>
    <w:p>
      <w:r>
        <w:t>| 日志与可视化 | Python logging + Rich库 | 终端内即可呈现风格切换的实时日志 |</w:t>
      </w:r>
    </w:p>
    <w:p>
      <w:pPr>
        <w:pStyle w:val="Heading4"/>
      </w:pPr>
      <w:r>
        <w:t>5.1.3 组件架构</w:t>
      </w:r>
    </w:p>
    <w:p>
      <w:r>
        <w:t>AOM-Lite仅包含三个核心组件：</w:t>
      </w:r>
    </w:p>
    <w:p>
      <w:r/>
      <w:r>
        <w:rPr>
          <w:b/>
        </w:rPr>
        <w:t>组件1：准备度评估器（Readiness Evaluator）</w:t>
      </w:r>
      <w:r/>
    </w:p>
    <w:p>
      <w:pPr>
        <w:pStyle w:val="ListBullet"/>
      </w:pPr>
      <w:r>
        <w:t>输入：Agent的历史任务记录 + 当前任务的模型输出logprobs</w:t>
      </w:r>
    </w:p>
    <w:p>
      <w:pPr>
        <w:pStyle w:val="ListBullet"/>
      </w:pPr>
      <w:r>
        <w:t>计算：</w:t>
      </w:r>
      <w:r>
        <w:rPr>
          <w:rFonts w:ascii="Consolas" w:hAnsi="Consolas"/>
          <w:sz w:val="18"/>
        </w:rPr>
        <w:t>RS = γ·HTSR + (1-γ)·Conf</w:t>
      </w:r>
      <w:r/>
    </w:p>
    <w:p>
      <w:r>
        <w:t xml:space="preserve">  - HTSR = 过去20次任务的成功率（从本地JSON文件读取）</w:t>
      </w:r>
    </w:p>
    <w:p>
      <w:r>
        <w:t xml:space="preserve">  - Conf = 1 - 归一化熵（从GPT-4o的logprobs计算）</w:t>
      </w:r>
    </w:p>
    <w:p>
      <w:r>
        <w:t xml:space="preserve">  - γ = 从config.json读取（默认0.6）</w:t>
      </w:r>
    </w:p>
    <w:p>
      <w:pPr>
        <w:pStyle w:val="ListBullet"/>
      </w:pPr>
      <w:r>
        <w:t>输出：准备度等级 R1/R2/R3/R4</w:t>
      </w:r>
    </w:p>
    <w:p>
      <w:r/>
      <w:r>
        <w:rPr>
          <w:b/>
        </w:rPr>
        <w:t>组件2：风格选择器（Style Selector）</w:t>
      </w:r>
      <w:r/>
    </w:p>
    <w:p>
      <w:pPr>
        <w:pStyle w:val="ListBullet"/>
      </w:pPr>
      <w:r>
        <w:t>输入：准备度等级 + config.json中的阈值配置</w:t>
      </w:r>
    </w:p>
    <w:p>
      <w:pPr>
        <w:pStyle w:val="ListBullet"/>
      </w:pPr>
      <w:r>
        <w:t>逻辑：根据论文2.2.1节的分段函数选择S1/S2/S3/S4</w:t>
      </w:r>
    </w:p>
    <w:p>
      <w:pPr>
        <w:pStyle w:val="ListBullet"/>
      </w:pPr>
      <w:r>
        <w:t>输出：领导风格 + 对应的JSON指令模板</w:t>
      </w:r>
    </w:p>
    <w:p>
      <w:r/>
      <w:r>
        <w:rPr>
          <w:b/>
        </w:rPr>
        <w:t>组件3：执行器（Executor）</w:t>
      </w:r>
      <w:r/>
    </w:p>
    <w:p>
      <w:pPr>
        <w:pStyle w:val="ListBullet"/>
      </w:pPr>
      <w:r>
        <w:t>输入：任务描述 + 领导风格指令模板</w:t>
      </w:r>
    </w:p>
    <w:p>
      <w:pPr>
        <w:pStyle w:val="ListBullet"/>
      </w:pPr>
      <w:r>
        <w:t>逻辑：将风格指令模板注入Agent的系统提示词，使用LangGraph编排任务执行流程</w:t>
      </w:r>
    </w:p>
    <w:p>
      <w:pPr>
        <w:pStyle w:val="ListBullet"/>
      </w:pPr>
      <w:r>
        <w:t>输出：任务结果 + 执行日志</w:t>
      </w:r>
    </w:p>
    <w:p>
      <w:pPr>
        <w:pStyle w:val="Heading4"/>
      </w:pPr>
      <w:r>
        <w:t>5.1.4 执行流程图</w:t>
      </w:r>
    </w:p>
    <w:p>
      <w:r>
        <w:rPr>
          <w:rFonts w:ascii="Consolas" w:hAnsi="Consolas"/>
          <w:sz w:val="18"/>
        </w:rPr>
        <w:t>┌─────────────────────────────────────────────────────────────────┐</w:t>
        <w:br/>
        <w:t>│                        AOM-Lite 执行流程                         │</w:t>
        <w:br/>
        <w:t>├─────────────────────────────────────────────────────────────────┤</w:t>
        <w:br/>
        <w:t>│                                                                 │</w:t>
        <w:br/>
        <w:t>│  [用户输入]                                                      │</w:t>
        <w:br/>
        <w:t>│  "分析2025年全球AI芯片供应链格局并撰写报告"                         │</w:t>
        <w:br/>
        <w:t>│         │                                                       │</w:t>
        <w:br/>
        <w:t>│         ▼                                                       │</w:t>
        <w:br/>
        <w:t>│  ┌──────────────────┐                                           │</w:t>
        <w:br/>
        <w:t>│  │  组件1: 准备度评估器 │                                          │</w:t>
        <w:br/>
        <w:t>│  │                  │                                           │</w:t>
        <w:br/>
        <w:t>│  │  HTSR ← 历史记录  │                                           │</w:t>
        <w:br/>
        <w:t>│  │  Conf ← logprobs  │                                           │</w:t>
        <w:br/>
        <w:t>│  │  RS = γ·HTSR      │                                           │</w:t>
        <w:br/>
        <w:t>│  │    + (1-γ)·Conf   │                                           │</w:t>
        <w:br/>
        <w:t>│  │                  │                                           │</w:t>
        <w:br/>
        <w:t>│  │  输出: R2         │                                           │</w:t>
        <w:br/>
        <w:t>│  └────────┬─────────┘                                           │</w:t>
        <w:br/>
        <w:t>│           │                                                     │</w:t>
        <w:br/>
        <w:t>│           ▼                                                     │</w:t>
        <w:br/>
        <w:t>│  ┌──────────────────┐                                           │</w:t>
        <w:br/>
        <w:t>│  │  组件2: 风格选择器  │                                           │</w:t>
        <w:br/>
        <w:t>│  │                  │                                           │</w:t>
        <w:br/>
        <w:t>│  │  R2 → S2-Selling  │                                           │</w:t>
        <w:br/>
        <w:t>│  │  (高任务结构化      │                                           │</w:t>
        <w:br/>
        <w:t>│  │   + 关系行为支持)   │                                           │</w:t>
        <w:br/>
        <w:t>│  │                  │                                           │</w:t>
        <w:br/>
        <w:t>│  │  输出: S2指令模板   │                                           │</w:t>
        <w:br/>
        <w:t>│  └────────┬─────────┘                                           │</w:t>
        <w:br/>
        <w:t>│           │                                                     │</w:t>
        <w:br/>
        <w:t>│           ▼                                                     │</w:t>
        <w:br/>
        <w:t>│  ┌──────────────────┐                                           │</w:t>
        <w:br/>
        <w:t>│  │  组件3: 执行器     │                                           │</w:t>
        <w:br/>
        <w:t>│  │                  │                                           │</w:t>
        <w:br/>
        <w:t>│  │  系统提示词注入     │                                           │</w:t>
        <w:br/>
        <w:t>│  │  S2指令模板        │                                           │</w:t>
        <w:br/>
        <w:t>│  │        │         │                                           │</w:t>
        <w:br/>
        <w:t>│  │        ▼         │                                           │</w:t>
        <w:br/>
        <w:t>│  │  ┌───────────┐   │                                           │</w:t>
        <w:br/>
        <w:t>│  │  │ LangGraph │   │                                           │</w:t>
        <w:br/>
        <w:t>│  │  │ 工作流执行  │   │                                           │</w:t>
        <w:br/>
        <w:t>│  │  └───────────┘   │                                           │</w:t>
        <w:br/>
        <w:t>│  │                  │                                           │</w:t>
        <w:br/>
        <w:t>│  │  输出:            │                                           │</w:t>
        <w:br/>
        <w:t>│  │  - 分析报告       │                                           │</w:t>
        <w:br/>
        <w:t>│  │  - 风格选择日志    │                                           │</w:t>
        <w:br/>
        <w:t>│  └────────┬─────────┘                                           │</w:t>
        <w:br/>
        <w:t>│           │                                                     │</w:t>
        <w:br/>
        <w:t>│           ▼                                                     │</w:t>
        <w:br/>
        <w:t>│  ┌──────────────────────────────────────────┐                    │</w:t>
        <w:br/>
        <w:t>│  │  输出                                     │                    │</w:t>
        <w:br/>
        <w:t>│  │                                          │                    │</w:t>
        <w:br/>
        <w:t>│  │  📊 分析报告: "2025年全球AI芯片供应链..."   │                    │</w:t>
        <w:br/>
        <w:t>│  │                                          │                    │</w:t>
        <w:br/>
        <w:t>│  │  📋 风格选择日志:                           │                    │</w:t>
        <w:br/>
        <w:t>│  │    准备度评估: RS = 0.52 (R2)              │                    │</w:t>
        <w:br/>
        <w:t>│  │    选择风格: S2-Selling                    │                    │</w:t>
        <w:br/>
        <w:t>│  │    原因: Agent有中等能力但信心不足,          │                    │</w:t>
        <w:br/>
        <w:t>│  │    需要高任务结构化+关系支持                  │                    │</w:t>
        <w:br/>
        <w:t>│  └──────────────────────────────────────────┘                    │</w:t>
        <w:br/>
        <w:t>│                                                                 │</w:t>
        <w:br/>
        <w:t>└─────────────────────────────────────────────────────────────────┘</w:t>
      </w:r>
    </w:p>
    <w:p>
      <w:pPr>
        <w:pStyle w:val="Heading4"/>
      </w:pPr>
      <w:r>
        <w:t>5.1.5 关键配置文件示例</w:t>
      </w:r>
    </w:p>
    <w:p>
      <w:r>
        <w:rPr>
          <w:rFonts w:ascii="Consolas" w:hAnsi="Consolas"/>
          <w:sz w:val="18"/>
        </w:rPr>
        <w:t>{</w:t>
        <w:br/>
        <w:t xml:space="preserve">  "aom_lite_config": {</w:t>
        <w:br/>
        <w:t xml:space="preserve">    "readiness": {</w:t>
        <w:br/>
        <w:t xml:space="preserve">      "gamma": 0.6,</w:t>
        <w:br/>
        <w:t xml:space="preserve">      "htsr_window": 20,</w:t>
        <w:br/>
        <w:t xml:space="preserve">      "readiness_thresholds": {</w:t>
        <w:br/>
        <w:t xml:space="preserve">        "R1": [0.0, 0.3],</w:t>
        <w:br/>
        <w:t xml:space="preserve">        "R2": [0.3, 0.6],</w:t>
        <w:br/>
        <w:t xml:space="preserve">        "R3": [0.6, 0.8],</w:t>
        <w:br/>
        <w:t xml:space="preserve">        "R4": [0.8, 1.0]</w:t>
        <w:br/>
        <w:t xml:space="preserve">      }</w:t>
        <w:br/>
        <w:t xml:space="preserve">    },</w:t>
        <w:br/>
        <w:t xml:space="preserve">    "style_mapping": {</w:t>
        <w:br/>
        <w:t xml:space="preserve">      "R1": "S1_TELLING",</w:t>
        <w:br/>
        <w:t xml:space="preserve">      "R2": "S2_SELLING",</w:t>
        <w:br/>
        <w:t xml:space="preserve">      "R3": "S3_PARTICIPATING",</w:t>
        <w:br/>
        <w:t xml:space="preserve">      "R4": "S4_DELEGATING"</w:t>
        <w:br/>
        <w:t xml:space="preserve">    },</w:t>
        <w:br/>
        <w:t xml:space="preserve">    "style_templates": {</w:t>
        <w:br/>
        <w:t xml:space="preserve">      "S1_TELLING": {</w:t>
        <w:br/>
        <w:t xml:space="preserve">        "system_prompt_suffix": "你正在执行一个需要严格指导的任务。请按以下步骤逐一执行，不要偏离指令。每完成一步，等待确认后再进行下一步。",</w:t>
        <w:br/>
        <w:t xml:space="preserve">        "temperature": 0.1,</w:t>
        <w:br/>
        <w:t xml:space="preserve">        "max_tokens": 2000</w:t>
        <w:br/>
        <w:t xml:space="preserve">      },</w:t>
        <w:br/>
        <w:t xml:space="preserve">      "S2_SELLING": {</w:t>
        <w:br/>
        <w:t xml:space="preserve">        "system_prompt_suffix": "你正在执行一个结构化任务。以下是详细的任务说明和理由。请理解任务目标后按计划执行，如有疑问请在执行前提出。",</w:t>
        <w:br/>
        <w:t xml:space="preserve">        "temperature": 0.3,</w:t>
        <w:br/>
        <w:t xml:space="preserve">        "max_tokens": 3000</w:t>
        <w:br/>
        <w:t xml:space="preserve">      },</w:t>
        <w:br/>
        <w:t xml:space="preserve">      "S3_PARTICIPATING": {</w:t>
        <w:br/>
        <w:t xml:space="preserve">        "system_prompt_suffix": "你正在执行一个有一定灵活性的任务。任务目标已明确，但执行路径由你自主决定。请在关键决策点说明你的推理过程。",</w:t>
        <w:br/>
        <w:t xml:space="preserve">        "temperature": 0.5,</w:t>
        <w:br/>
        <w:t xml:space="preserve">        "max_tokens": 4000</w:t>
        <w:br/>
        <w:t xml:space="preserve">      },</w:t>
        <w:br/>
        <w:t xml:space="preserve">      "S4_DELEGATING": {</w:t>
        <w:br/>
        <w:t xml:space="preserve">        "system_prompt_suffix": "你拥有完全的自主权来完成这个任务。目标是明确的，实现方式由你全权决定。只需提交最终结果。",</w:t>
        <w:br/>
        <w:t xml:space="preserve">        "temperature": 0.7,</w:t>
        <w:br/>
        <w:t xml:space="preserve">        "max_tokens": 5000</w:t>
        <w:br/>
        <w:t xml:space="preserve">      }</w:t>
        <w:br/>
        <w:t xml:space="preserve">    },</w:t>
        <w:br/>
        <w:t xml:space="preserve">    "task_execution": {</w:t>
        <w:br/>
        <w:t xml:space="preserve">      "max_retries": 2,</w:t>
        <w:br/>
        <w:t xml:space="preserve">      "timeout_seconds": 120</w:t>
        <w:br/>
        <w:t xml:space="preserve">    }</w:t>
        <w:br/>
        <w:t xml:space="preserve">  }</w:t>
        <w:br/>
        <w:t>}</w:t>
      </w:r>
    </w:p>
    <w:p>
      <w:pPr>
        <w:pStyle w:val="Heading4"/>
      </w:pPr>
      <w:r>
        <w:t>5.1.6 预估工作量分解</w:t>
      </w:r>
    </w:p>
    <w:p>
      <w:r>
        <w:t>| 工作项 | 预估时间 | 难度 |</w:t>
      </w:r>
    </w:p>
    <w:p>
      <w:r>
        <w:t>|--------|---------|:----:|</w:t>
      </w:r>
    </w:p>
    <w:p>
      <w:r>
        <w:t>| LangGraph基础框架搭建 | 4小时 | 低 |</w:t>
      </w:r>
    </w:p>
    <w:p>
      <w:r>
        <w:t>| 准备度评估器实现（HTSR + Conf计算） | 6小时 | 中 |</w:t>
      </w:r>
    </w:p>
    <w:p>
      <w:r>
        <w:t>| 风格选择器实现（阈值映射 + 指令模板） | 4小时 | 低 |</w:t>
      </w:r>
    </w:p>
    <w:p>
      <w:r>
        <w:t>| 执行器实现（系统提示词注入 + 工作流编排） | 6小时 | 中 |</w:t>
      </w:r>
    </w:p>
    <w:p>
      <w:r>
        <w:t>| 配置文件系统 | 2小时 | 低 |</w:t>
      </w:r>
    </w:p>
    <w:p>
      <w:r>
        <w:t>| 日志与可视化 | 4小时 | 低 |</w:t>
      </w:r>
    </w:p>
    <w:p>
      <w:r>
        <w:t>| 测试与调试 | 8小时 | 中 |</w:t>
      </w:r>
    </w:p>
    <w:p>
      <w:r>
        <w:t>| 文档与README | 4小时 | 低 |</w:t>
      </w:r>
    </w:p>
    <w:p>
      <w:r>
        <w:t xml:space="preserve">| </w:t>
      </w:r>
      <w:r>
        <w:rPr>
          <w:b/>
        </w:rPr>
        <w:t>总计</w:t>
      </w:r>
      <w:r>
        <w:t xml:space="preserve"> | </w:t>
      </w:r>
      <w:r>
        <w:rPr>
          <w:b/>
        </w:rPr>
        <w:t>38小时</w:t>
      </w:r>
      <w:r>
        <w:t xml:space="preserve"> | — |</w:t>
      </w:r>
    </w:p>
    <w:p>
      <w:pPr>
        <w:pStyle w:val="Heading3"/>
      </w:pPr>
      <w:r>
        <w:t>5.2 即刻行动小节（可直接插入论文）</w:t>
      </w:r>
    </w:p>
    <w:p>
      <w:r>
        <w:t>&gt; 以下为可直接插入论文5.2节末尾的段落（约280字）。</w:t>
      </w:r>
    </w:p>
    <w:p>
      <w:pPr>
        <w:pStyle w:val="Heading4"/>
      </w:pPr>
      <w:r>
        <w:t>5.2.1 即刻行动：AOM-Lite——从愿景到原型的48小时</w:t>
      </w:r>
    </w:p>
    <w:p>
      <w:r>
        <w:t>十年路线图的价值在于方向，但行动的价值在于起点。为证明AOM不仅是学术愿景而是今日可执行的工程方案，我们设计了AOM-Lite——一个可在48小时内用现有工具搭建的最小可行性原型。</w:t>
      </w:r>
    </w:p>
    <w:p>
      <w:r>
        <w:t>AOM-Lite仅实现AOM框架中最具辨识度的一个模块：</w:t>
      </w:r>
      <w:r>
        <w:rPr>
          <w:b/>
        </w:rPr>
        <w:t>情境领导风格的动态切换</w:t>
      </w:r>
      <w:r>
        <w:t>。技术栈基于LangGraph（Agent编排层）+ GPT-4o（基础模型）+ JSON配置文件（管理策略定义）。系统包含三个核心组件：准备度评估器（计算Agent能力与意愿的加权得分）、风格选择器（根据准备度选择S1-S4领导风格）、执行器（将风格指令注入Agent系统提示词并执行任务）。用户输入一个任务描述，系统自动完成"评估→选择→执行→输出"的全流程，并附带完整的风格选择决策日志。</w:t>
      </w:r>
    </w:p>
    <w:p>
      <w:r>
        <w:t>AOM-Lite的代码量预估不超过500行Python，总开发时间约38小时。它的意义不在于功能的完整性，而在于</w:t>
      </w:r>
      <w:r>
        <w:rPr>
          <w:b/>
        </w:rPr>
        <w:t>可行性证明</w:t>
      </w:r>
      <w:r>
        <w:t>：AOM的核心机制——根据Agent状态动态调整管理策略——今天就可以用现有工具实现。我们鼓励研究者和开发者在AOM-Lite的基础上迭代扩展，从一个模块的原型走向多模块的集成系统，最终走向论文5.2节描绘的完整愿景。</w:t>
      </w:r>
    </w:p>
    <w:p>
      <w:r>
        <w:t>AOM不仅是下一个十年的愿景，更是这个周末就可以开始做的事。</w:t>
      </w:r>
    </w:p>
    <w:p>
      <w:r>
        <w:t>────────────────────────────────────────────────────────────</w:t>
      </w:r>
    </w:p>
    <w:p>
      <w:pPr>
        <w:pStyle w:val="Heading2"/>
      </w:pPr>
      <w:r>
        <w:t>附录：参考文献补充建议</w:t>
      </w:r>
    </w:p>
    <w:p>
      <w:r>
        <w:t>论文当前参考文献仅15篇，建议补充以下关键文献以增强学术可信度：</w:t>
      </w:r>
    </w:p>
    <w:p>
      <w:pPr>
        <w:pStyle w:val="Heading3"/>
      </w:pPr>
      <w:r>
        <w:t>计算组织理论方向</w:t>
      </w:r>
    </w:p>
    <w:p>
      <w:pPr>
        <w:pStyle w:val="ListBullet"/>
      </w:pPr>
      <w:r>
        <w:t xml:space="preserve">Carley, K. M., &amp; Prietula, M. J. (1994). ACTS theory: Extending the model of bounded rationality. </w:t>
      </w:r>
      <w:r>
        <w:rPr>
          <w:i/>
        </w:rPr>
        <w:t>Computational Organization Theory</w:t>
      </w:r>
      <w:r>
        <w:t>, 55-88.</w:t>
      </w:r>
    </w:p>
    <w:p>
      <w:pPr>
        <w:pStyle w:val="ListBullet"/>
      </w:pPr>
      <w:r>
        <w:t xml:space="preserve">Prietula, M. J., Carley, K. M., &amp; Gasser, L. (1998). </w:t>
      </w:r>
      <w:r>
        <w:rPr>
          <w:i/>
        </w:rPr>
        <w:t>Simulating Organizations: Computational Models of Institutions and Groups</w:t>
      </w:r>
      <w:r>
        <w:t>. MIT Press.</w:t>
      </w:r>
    </w:p>
    <w:p>
      <w:pPr>
        <w:pStyle w:val="ListBullet"/>
      </w:pPr>
      <w:r>
        <w:t xml:space="preserve">Crowston, K. (1997). A coordination theory approach to organizational process design. </w:t>
      </w:r>
      <w:r>
        <w:rPr>
          <w:i/>
        </w:rPr>
        <w:t>Organization Science</w:t>
      </w:r>
      <w:r>
        <w:t>, 8(2), 157-175.</w:t>
      </w:r>
    </w:p>
    <w:p>
      <w:pPr>
        <w:pStyle w:val="Heading3"/>
      </w:pPr>
      <w:r>
        <w:t>多智能体协调方向</w:t>
      </w:r>
    </w:p>
    <w:p>
      <w:pPr>
        <w:pStyle w:val="ListBullet"/>
      </w:pPr>
      <w:r>
        <w:t xml:space="preserve">Smith, R. G. (1980). The contract net protocol: High-level communication and control in a distributed problem solver. </w:t>
      </w:r>
      <w:r>
        <w:rPr>
          <w:i/>
        </w:rPr>
        <w:t>IEEE Transactions on Computers</w:t>
      </w:r>
      <w:r>
        <w:t>, C-29(12), 1104-1113.</w:t>
      </w:r>
    </w:p>
    <w:p>
      <w:pPr>
        <w:pStyle w:val="ListBullet"/>
      </w:pPr>
      <w:r>
        <w:t xml:space="preserve">Wooldridge, M., &amp; Jennings, N. R. (1995). Intelligent agents: Theory and practice. </w:t>
      </w:r>
      <w:r>
        <w:rPr>
          <w:i/>
        </w:rPr>
        <w:t>The Knowledge Engineering Review</w:t>
      </w:r>
      <w:r>
        <w:t>, 10(2), 115-152.</w:t>
      </w:r>
    </w:p>
    <w:p>
      <w:pPr>
        <w:pStyle w:val="ListBullet"/>
      </w:pPr>
      <w:r>
        <w:t xml:space="preserve">Wang, T., et al. (2020). RODE: Learning roles to decompose multi-agent tasks. </w:t>
      </w:r>
      <w:r>
        <w:rPr>
          <w:i/>
        </w:rPr>
        <w:t>ICLR 2021</w:t>
      </w:r>
      <w:r>
        <w:t>.</w:t>
      </w:r>
    </w:p>
    <w:p>
      <w:pPr>
        <w:pStyle w:val="Heading3"/>
      </w:pPr>
      <w:r>
        <w:t>AI对齐与可扩展监督方向</w:t>
      </w:r>
    </w:p>
    <w:p>
      <w:pPr>
        <w:pStyle w:val="ListBullet"/>
      </w:pPr>
      <w:r>
        <w:t xml:space="preserve">Leike, J., et al. (2018). Scalable agent alignment via reward modeling. </w:t>
      </w:r>
      <w:r>
        <w:rPr>
          <w:i/>
        </w:rPr>
        <w:t>arXiv:1811.07871</w:t>
      </w:r>
      <w:r>
        <w:t>.</w:t>
      </w:r>
    </w:p>
    <w:p>
      <w:pPr>
        <w:pStyle w:val="ListBullet"/>
      </w:pPr>
      <w:r>
        <w:t xml:space="preserve">Irving, G., Christiano, P., &amp; Amodei, D. (2018). AI safety via debate. </w:t>
      </w:r>
      <w:r>
        <w:rPr>
          <w:i/>
        </w:rPr>
        <w:t>arXiv:1805.00899</w:t>
      </w:r>
      <w:r>
        <w:t>.</w:t>
      </w:r>
    </w:p>
    <w:p>
      <w:pPr>
        <w:pStyle w:val="ListBullet"/>
      </w:pPr>
      <w:r>
        <w:t xml:space="preserve">Bai, Y., et al. (2022). Constitutional AI: Harmlessness from AI feedback. </w:t>
      </w:r>
      <w:r>
        <w:rPr>
          <w:i/>
        </w:rPr>
        <w:t>arXiv:2212.08073</w:t>
      </w:r>
      <w:r>
        <w:t>.</w:t>
      </w:r>
    </w:p>
    <w:p>
      <w:pPr>
        <w:pStyle w:val="Heading3"/>
      </w:pPr>
      <w:r>
        <w:t>组织网络分析方向</w:t>
      </w:r>
    </w:p>
    <w:p>
      <w:pPr>
        <w:pStyle w:val="ListBullet"/>
      </w:pPr>
      <w:r>
        <w:t xml:space="preserve">Borgatti, S. P., Mehra, A., Brass, D. J., &amp; Labianca, G. (2009). Network analysis in the social sciences. </w:t>
      </w:r>
      <w:r>
        <w:rPr>
          <w:i/>
        </w:rPr>
        <w:t>Science</w:t>
      </w:r>
      <w:r>
        <w:t>, 323(5916), 892-895.</w:t>
      </w:r>
    </w:p>
    <w:p>
      <w:pPr>
        <w:pStyle w:val="ListBullet"/>
      </w:pPr>
      <w:r>
        <w:t xml:space="preserve">Cross, R., &amp; Parker, A. (2004). </w:t>
      </w:r>
      <w:r>
        <w:rPr>
          <w:i/>
        </w:rPr>
        <w:t>The Hidden Power of Social Networks</w:t>
      </w:r>
      <w:r>
        <w:t>. Harvard Business School Press.</w:t>
      </w:r>
    </w:p>
    <w:p>
      <w:pPr>
        <w:pStyle w:val="Heading3"/>
      </w:pPr>
      <w:r>
        <w:t>LangGraph与最新Agent框架</w:t>
      </w:r>
    </w:p>
    <w:p>
      <w:pPr>
        <w:pStyle w:val="ListBullet"/>
      </w:pPr>
      <w:r>
        <w:t xml:space="preserve">LangChain. (2024). LangGraph: Build stateful, multi-actor applications with LLMs. </w:t>
      </w:r>
      <w:r>
        <w:rPr>
          <w:i/>
        </w:rPr>
        <w:t>GitHub Repository</w:t>
      </w:r>
      <w:r>
        <w:t>.</w:t>
      </w:r>
    </w:p>
    <w:p>
      <w:pPr>
        <w:pStyle w:val="ListBullet"/>
      </w:pPr>
      <w:r>
        <w:t xml:space="preserve">Hong, S., et al. (2023). MetaGPT: Meta programming for a multi-agent collaborative framework. </w:t>
      </w:r>
      <w:r>
        <w:rPr>
          <w:i/>
        </w:rPr>
        <w:t>arXiv:2308.00352</w:t>
      </w:r>
      <w:r>
        <w:t>.</w:t>
      </w:r>
    </w:p>
    <w:p>
      <w:r>
        <w:t>────────────────────────────────────────────────────────────</w:t>
      </w:r>
    </w:p>
    <w:p>
      <w:r/>
      <w:r>
        <w:rPr>
          <w:i/>
        </w:rPr>
        <w:t>本文档生成于2026年5月30日，基于论文v1.0内容。所有模拟数据和理论猜想均为假设性内容，需通过实际实验验证。</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