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57ECC">
      <w:pPr>
        <w:jc w:val="center"/>
        <w:rPr>
          <w:b/>
          <w:sz w:val="48"/>
        </w:rPr>
      </w:pPr>
    </w:p>
    <w:p w14:paraId="2C3FDD2F">
      <w:pPr>
        <w:jc w:val="center"/>
        <w:rPr>
          <w:b/>
          <w:sz w:val="48"/>
        </w:rPr>
      </w:pPr>
    </w:p>
    <w:p w14:paraId="1E0F98BF">
      <w:pPr>
        <w:jc w:val="both"/>
        <w:rPr>
          <w:b/>
          <w:sz w:val="48"/>
        </w:rPr>
      </w:pPr>
    </w:p>
    <w:p w14:paraId="27DA21BA">
      <w:pPr>
        <w:jc w:val="center"/>
        <w:rPr>
          <w:b/>
          <w:sz w:val="48"/>
        </w:rPr>
      </w:pPr>
    </w:p>
    <w:p w14:paraId="04FB2646">
      <w:pPr>
        <w:jc w:val="center"/>
        <w:rPr>
          <w:b/>
          <w:sz w:val="48"/>
        </w:rPr>
      </w:pPr>
    </w:p>
    <w:p w14:paraId="7AA3549E">
      <w:pPr>
        <w:jc w:val="center"/>
      </w:pPr>
      <w:r>
        <w:rPr>
          <w:b/>
          <w:sz w:val="48"/>
        </w:rPr>
        <w:t>智能体组织管理学</w:t>
      </w:r>
    </w:p>
    <w:p w14:paraId="5E312D9D">
      <w:pPr>
        <w:jc w:val="center"/>
      </w:pPr>
      <w:r>
        <w:rPr>
          <w:sz w:val="32"/>
        </w:rPr>
        <w:t>从管理理论到多智能体系统设计</w:t>
      </w:r>
    </w:p>
    <w:p w14:paraId="24D71D60">
      <w:pPr>
        <w:jc w:val="center"/>
      </w:pPr>
      <w:r>
        <w:rPr>
          <w:i/>
          <w:sz w:val="28"/>
        </w:rPr>
        <w:t>V5.2 — Mechanism Decomposition · Cross-Model Validation · ICIS/AAAI Ready</w:t>
      </w:r>
    </w:p>
    <w:p w14:paraId="3D6AEFB2">
      <w:pPr>
        <w:jc w:val="center"/>
      </w:pPr>
    </w:p>
    <w:p w14:paraId="4B5219F0">
      <w:pPr>
        <w:jc w:val="center"/>
      </w:pPr>
      <w:r>
        <w:rPr>
          <w:sz w:val="24"/>
        </w:rPr>
        <w:t>江皓然</w:t>
      </w:r>
      <w:r>
        <w:rPr>
          <w:sz w:val="24"/>
        </w:rPr>
        <w:br w:type="textWrapping"/>
      </w:r>
      <w:r>
        <w:rPr>
          <w:sz w:val="24"/>
        </w:rPr>
        <w:t>华南理工大学 软件工程+工商管理双学位</w:t>
      </w:r>
      <w:r>
        <w:rPr>
          <w:sz w:val="24"/>
        </w:rPr>
        <w:br w:type="textWrapping"/>
      </w:r>
      <w:r>
        <w:rPr>
          <w:sz w:val="24"/>
        </w:rPr>
        <w:t>2026年6月3日</w:t>
      </w:r>
    </w:p>
    <w:p w14:paraId="77434387">
      <w:r>
        <w:br w:type="page"/>
      </w:r>
    </w:p>
    <w:p w14:paraId="29FE46CD">
      <w:pPr>
        <w:pStyle w:val="3"/>
      </w:pPr>
      <w:r>
        <w:t>摘要</w:t>
      </w:r>
    </w:p>
    <w:p w14:paraId="0A88902F">
      <w:r>
        <w:t>本文首次系统性地提出并界定智能体组织管理学（Agent Organizational Management, AOM）——一个将管理学理论计算化地实例化并压力测试为多智能体系统协作协议的交叉学科领域。本文的核心贡献是通过机制分解（mechanism decomposition）识别多智能体工作流中的效率来源：</w:t>
        <w:br/>
        <w:br/>
        <w:t>主因果机制：流水线式组织分解（CDE）通过将任务拆分为具有局部依赖关系的独立角色，从结构上避免（structurally avoid）了上下文积累效应（CAE），是成本降低的主要驱动因素（primary driver），贡献约75%的效率增益。</w:t>
        <w:br/>
        <w:br/>
        <w:t>次级机制：Context Controller通过有界上下文传播进一步约束残余冗余（residual redundancy），提供约25%的额外优化（secondary mechanism）。</w:t>
        <w:br/>
        <w:br/>
        <w:t>跨模型验证：上述机制分解在DeepSeek和MiMo两个异质模型与两个异质任务中均一致成立，表明效率增益是architecture-induced且model-agnostic的结构性特征。</w:t>
        <w:br/>
        <w:br/>
        <w:t>V4+V5实验数据：迭代架构消耗88,494-124,280 Token，OIMAC组织架构消耗42,166-49,285 Token（约2x优势），无Context Controller的组织架构消耗50,309-63,050 Token（约1.3x优势）。核心发现：效率增益主要来自重构计算结构（restructuring computation）而非减少上下文（reducing context）。</w:t>
      </w:r>
    </w:p>
    <w:p w14:paraId="759BD9DC">
      <w:r>
        <w:t>This paper presents Agent Organizational Management (AOM) -- a field that computationally instantiates and stress-tests management theory as multi-agent coordination protocols. Through mechanism decomposition, we identify the sources of efficiency in multi-agent workflows:</w:t>
        <w:br/>
        <w:br/>
        <w:t>Primary driver: Pipeline-based organizational decomposition (CDE) structurally avoids the Context Accumulation Effect (CAE) by decomposing tasks into roles with local dependencies, contributing approximately 75% of efficiency gains.</w:t>
        <w:br/>
        <w:br/>
        <w:t>Secondary mechanism: Context Controller further bounds residual redundancy through context propagation rules, contributing approximately 25% additional optimization.</w:t>
        <w:br/>
        <w:br/>
        <w:t>Cross-model validation: These mechanism contributions are consistent across two heterogeneous models (DeepSeek, MiMo) and two heterogeneous tasks (Snake game, Perler bead pattern), suggesting that efficiency gains are architecture-induced and model-agnostic structural properties.</w:t>
        <w:br/>
        <w:br/>
        <w:t>V4+V5 data: Iterative architectures consume 88,494-124,280 tokens; OIMAC organizational architectures consume 42,166-49,285 tokens (~2x advantage); organizational architectures without Context Controller consume 50,309-63,050 tokens (~1.3x advantage). Core finding: efficiency gains come primarily from restructuring computation rather than reducing context.</w:t>
      </w:r>
    </w:p>
    <w:p w14:paraId="31ED4257">
      <w:r>
        <w:br w:type="page"/>
      </w:r>
      <w:bookmarkStart w:id="0" w:name="_GoBack"/>
      <w:bookmarkEnd w:id="0"/>
    </w:p>
    <w:p w14:paraId="361A842C">
      <w:pPr>
        <w:pStyle w:val="3"/>
      </w:pPr>
      <w:r>
        <w:t>1. 引言</w:t>
      </w:r>
    </w:p>
    <w:p w14:paraId="72BBBD18">
      <w:r>
        <w:t>当人工智能代理（AI Agent）从孤立的工具演化为「数字员工」时，管理它们的最优解不再是编程，而是管理学本身。当前主流的多智能体框架（如AutoGen、CrewAI、LangGraph）普遍存在「管理真空」——协作流程以静态拓扑硬编码，缺乏权变响应能力。</w:t>
      </w:r>
    </w:p>
    <w:p w14:paraId="3481966C">
      <w:r>
        <w:t>本文首次系统性地提出并界定一个全新的交叉学科领域——智能体组织管理学（Agent Organizational Management, AOM）。核心主张是：管理学关于组织结构、领导力、激励机制的智慧，能被精确地计算化地实例化为多智能体系统的原生协作协议。</w:t>
      </w:r>
    </w:p>
    <w:p w14:paraId="06A468E3">
      <w:pPr>
        <w:pStyle w:val="4"/>
      </w:pPr>
      <w:r>
        <w:t>1.1 核心贡献</w:t>
      </w:r>
    </w:p>
    <w:p w14:paraId="1423C952">
      <w:pPr>
        <w:pStyle w:val="16"/>
      </w:pPr>
      <w:r>
        <w:t>(1) Identification of CAE: Formal proof that iterative LLM self-improvement incurs Omega(n^2) cost through the Context Accumulation Effect, validated across two models (DeepSeek, MiMo).</w:t>
      </w:r>
    </w:p>
    <w:p w14:paraId="6CF3970F">
      <w:pPr>
        <w:pStyle w:val="16"/>
      </w:pPr>
      <w:r>
        <w:t>(2) Mechanism decomposition: Empirical demonstration that efficiency gains decompose into a primary driver (CDE, ~75%) and a secondary mechanism (Context Controller, ~25%), consistent across models and tasks.</w:t>
      </w:r>
    </w:p>
    <w:p w14:paraId="3350B244">
      <w:pPr>
        <w:pStyle w:val="16"/>
      </w:pPr>
      <w:r>
        <w:t>(3) OIMAC as executable protocol: A complete multi-agent coordination algorithm that reduces iterative cost from Omega(n^2) to O(k), with formal complexity analysis and decision rules.</w:t>
      </w:r>
    </w:p>
    <w:p w14:paraId="721A8929">
      <w:pPr>
        <w:pStyle w:val="16"/>
      </w:pPr>
      <w:r>
        <w:t>(4) Cross-model validation of organizational principles: Stress-testing of situational leadership theory, Weber's bureaucracy, and Fayol's principles, identifying boundary conditions for non-human agent systems with domain-specific repairs.</w:t>
      </w:r>
    </w:p>
    <w:p w14:paraId="7E18B5BE">
      <w:pPr>
        <w:pStyle w:val="4"/>
      </w:pPr>
      <w:r>
        <w:t>1.2 Problem Formulation</w:t>
      </w:r>
    </w:p>
    <w:p w14:paraId="294DD71F">
      <w:r>
        <w:t>We formalize the problem of multi-agent workflow cost minimization as follows.</w:t>
      </w:r>
    </w:p>
    <w:p w14:paraId="5B6FEC0E">
      <w:r>
        <w:t>Definition 1 (Workflow). A workflow W is a directed acyclic graph (DAG) W = (V, E) where V = {a_1, ..., a_k} is a set of k agents and E subset V x V defines dependency edges. Each agent a_i receives input context ctx(i) and produces output out(i).</w:t>
      </w:r>
    </w:p>
    <w:p w14:paraId="3E1FA19C">
      <w:r>
        <w:t>Definition 2 (Iterative Workflow). An iterative workflow W_iter is a chain W = ({a}, {(a_i, a_{i+1})}) with k = 1 agent executing n rounds. At round j, the agent receives the full accumulated output of all prior rounds as input: ctx(j) = union_{i&lt;j} out(i). This satisfies the full context reuse condition (A1).</w:t>
      </w:r>
    </w:p>
    <w:p w14:paraId="796726D0">
      <w:r>
        <w:t>Definition 3 (Organizational Workflow). An organizational workflow W_org is a DAG W = (V, E) with k &gt; 1 agents. Each agent a_i receives only the outputs of its direct predecessors: ctx(i) = union_{j: (a_j, a_i) in E} out(j). This violates condition (A1) when |ctx(i)| &lt; |union_{j&lt;i} out(j)|.</w:t>
      </w:r>
    </w:p>
    <w:p w14:paraId="4FDC6868">
      <w:r>
        <w:t>Definition 4 (Cost Function). The total cost of a workflow W is:</w:t>
      </w:r>
    </w:p>
    <w:p w14:paraId="47D39BF3">
      <w:r>
        <w:t>TotalCost(W) = ComputationCost(W) + CoordinationCost(W) + CommunicationCost(W)</w:t>
      </w:r>
    </w:p>
    <w:p w14:paraId="3A7DFB01">
      <w:r>
        <w:t>where ComputationCost = sum of LLM inference tokens across all agents/rounds, CoordinationCost = structural management overhead, and CommunicationCost = inter-agent information transfer plus interface reconciliation.</w:t>
      </w:r>
    </w:p>
    <w:p w14:paraId="00158748">
      <w:r>
        <w:t>Problem Statement. Given a task T and a quality constraint Q_min, find the workflow W* that minimizes TotalCost(W) subject to Quality(W) &gt;= Q_min:</w:t>
      </w:r>
    </w:p>
    <w:p w14:paraId="02EADC47">
      <w:r>
        <w:t>W* = argmin_W TotalCost(W)  s.t.  Quality(W) &gt;= Q_min</w:t>
      </w:r>
    </w:p>
    <w:p w14:paraId="366C50B0">
      <w:r>
        <w:t>We study this problem under two architectural paradigms: (1) iterative self-improvement (single agent, n rounds, full context reuse), and (2) organizational decomposition (k agents, pipeline/DAG, partial context passing). Our central result is that paradigm (2) achieves O(k) cost while paradigm (1) incurs Omega(n^2) cost under the Context Accumulation Effect, and we provide an algorithm (OIMAC) that constructs near-optimal organizational workflows.</w:t>
      </w:r>
    </w:p>
    <w:p w14:paraId="75E17B94">
      <w:r>
        <w:br w:type="page"/>
      </w:r>
    </w:p>
    <w:p w14:paraId="7F9D4682">
      <w:pPr>
        <w:pStyle w:val="3"/>
      </w:pPr>
      <w:r>
        <w:t>2. 相关工作</w:t>
      </w:r>
    </w:p>
    <w:p w14:paraId="47B804DA">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14:paraId="3012CCC4">
      <w:r>
        <w:t>需要区分两类工作：工程框架（提供编排能力）与理论指导（提供决策原则）。现有框架属于前者；AOM属于后者——它不替代这些框架，而是为它们提供理论驱动的协调策略。</w:t>
      </w:r>
    </w:p>
    <w:p w14:paraId="6AAB104C">
      <w:r>
        <w:br w:type="page"/>
      </w:r>
    </w:p>
    <w:p w14:paraId="5019FCC5">
      <w:pPr>
        <w:pStyle w:val="3"/>
      </w:pPr>
      <w:r>
        <w:t>3. 机制层：五个结构性效率机制</w:t>
      </w:r>
    </w:p>
    <w:p w14:paraId="6C3EBB37">
      <w:pPr>
        <w:pStyle w:val="4"/>
      </w:pPr>
      <w:r>
        <w:t>3.1 上下文积累效应（Context Accumulation Effect, CAE）</w:t>
      </w:r>
    </w:p>
    <w:p w14:paraId="15BE50F9">
      <w:r>
        <w:t>定义：在任何LLM迭代式自我改进工作流中，若满足（a）每轮迭代将前序完整输出原样作为输入上下文，（b）输出长度不跨轮缩减，则累计Token成本至少随迭代次数呈二次增长。</w:t>
      </w:r>
    </w:p>
    <w:p w14:paraId="67EEE5A6">
      <w:r>
        <w:t>因果链：迭代n产生长度C(n)的输出 -&gt; 迭代n+1必须嵌入C(n)作为输入 -&gt; 输入Token &gt;= C(n) -&gt; 由于C(n) &gt;= C(0)，Cost(n+1) &gt;= C(0) -&gt; 累计成本 &gt;= n*C(0) + n(n-1)*Delta/2 = Omega(n^2)。</w:t>
      </w:r>
    </w:p>
    <w:p w14:paraId="06844334">
      <w:r>
        <w:t>边界条件：CAE在以下情形中不成立——（1）上下文压缩/摘要；（2）检索增强记忆；（3）截断策略；（4）输出长度递减；（5）流水线架构（无完整复用）。</w:t>
      </w:r>
    </w:p>
    <w:p>
      <w:pPr>
        <w:pStyle w:val="Normal"/>
      </w:pPr>
      <w:r>
        <w:t xml:space="preserve">跨模型实证：CAE在DeepSeek和MiMo两个异质模型中均被验证——迭代架构的上下文从372字符单调增长至144,089-180,297字符，Token消耗达88,494-102,105，远超单Agent基线的6,587-8,251。CAE是architecture-induced的结构性效应，不依赖于特定模型。</w:t>
      </w:r>
    </w:p>
    <w:p w14:paraId="0BA56E8A">
      <w:pPr>
        <w:pStyle w:val="4"/>
      </w:pPr>
      <w:r>
        <w:t>3.2 上下文分解效率（Context Decomposition Efficiency, CDE）</w:t>
      </w:r>
    </w:p>
    <w:p w14:paraId="7C8499E5">
      <w:r>
        <w:t>定义：组织化流水线通过将任务分解为具有局部依赖关系的独立角色，使每个Agent仅接收与其直接相关的上下文，从而从结构上避免（structurally avoid）而非控制（control）CAE的成立条件（特别是条件A1：全局上下文复用），将Token成本从Omega(n^2)降至O(k)。CDE是效率增益的主要驱动因素（primary driver），贡献约75%的成本削减。</w:t>
      </w:r>
    </w:p>
    <w:p>
      <w:pPr>
        <w:pStyle w:val="Normal"/>
      </w:pPr>
      <w:r>
        <w:t xml:space="preserve">因果机制：CDE通过两个结构性要素消除CAE：（1）依赖图局部化——在组织化工作流W_org = (V, E)中，每个Agent a_i仅接收直接前驱的输出。当|ctx(i)| &lt; |union_{j&lt;i} out(j)|时，条件A1被破坏，CAE不成立。（2）并行隔离——流水线中处于同一层级的Agent互不接收对方输出，进一步减少上下文传播路径。</w:t>
      </w:r>
    </w:p>
    <w:p>
      <w:pPr>
        <w:pStyle w:val="Normal"/>
      </w:pPr>
      <w:r>
        <w:t>实证支持：在V4贪吃蛇实验中，条件C消耗42,166 Token，条件B消耗124,280 Token，3:1差异证明CDE是主因果机制。在V5拼豆图实验中，条件C消耗43,321-49,285 Token，条件B消耗88,494-102,105 Token，约2x差异。消融实验表明，即使无Context Controller（条件D：50,309-63,050 Token），组织化流水线仍保持2.0-2.5x优势，确认CDE独立贡献约75%的成本削减。效率增益可分解为主成分（decomposition）和次成分（context control）。</w:t>
      </w:r>
    </w:p>
    <w:p w14:paraId="4238F25D">
      <w:pPr>
        <w:pStyle w:val="4"/>
      </w:pPr>
      <w:r>
        <w:t>3.3 接口调和成本（Interface Reconciliation Cost, IRC）</w:t>
      </w:r>
    </w:p>
    <w:p w14:paraId="24C00E62">
      <w:r>
        <w:t>定义：当多个专业Agent的输出需要整合时，修复接口不一致所产生的成本。V4实证：测试角色发现4个阻断性Bug（前端与游戏逻辑接口不一致），协调者整合步骤消耗16,188 Token。</w:t>
      </w:r>
    </w:p>
    <w:p w14:paraId="43CDF297">
      <w:pPr>
        <w:pStyle w:val="4"/>
      </w:pPr>
      <w:r>
        <w:t>3.4 协调开销扩展（Coordination Overhead Scaling, COS）</w:t>
      </w:r>
    </w:p>
    <w:p w14:paraId="271D9A8A">
      <w:r>
        <w:t>定义：随着专业Agent数量增加，协调开销增长——结构性管理成本O(k)加上通信成本O(k)到O(k^2)。存在最优团队大小k*，超过该值协调成本超过分解收益。</w:t>
      </w:r>
    </w:p>
    <w:p w14:paraId="26B5A92E">
      <w:pPr>
        <w:pStyle w:val="4"/>
      </w:pPr>
      <w:r>
        <w:t>3.5 自主性-冗长度权衡（Autonomy-Verbosity Trade-off, AVT）</w:t>
      </w:r>
    </w:p>
    <w:p w14:paraId="4286F12A">
      <w:r>
        <w:t>定义：LLM Agent在高自主性指令（S3/S4风格）下产生更冗长输出，抵消了效率预测。V3实证：AOM-DT比ST多消耗7.0%的Token，成功率和质量相当。AVT效应具有模型依赖性（model-dependent），不同模型的冗长程度可能不同，但其横向放大特性在所有测试模型中均存在。</w:t>
      </w:r>
    </w:p>
    <w:p w14:paraId="45ADEE9F">
      <w:pPr>
        <w:pStyle w:val="4"/>
      </w:pPr>
      <w:r>
        <w:t>3.6 机制层级关系总结</w:t>
      </w:r>
    </w:p>
    <w:p w14:paraId="4A2CC249">
      <w:r>
        <w:t>五个机制形成明确的因果层级：CAE（问题根源）：迭代式全局上下文复用导致Omega(n^2)成本。CDE（主解法）：流水线分解+局部依赖，从结构上破坏CAE条件，成本降至O(k)。IRC（组织代价）：组织化架构为实现CDE所支付的接口调和成本。COS（规模约束）：团队规模扩展带来的协调成本。AVT（放大机制）：自主性指令导致的冗长度横向放大。</w:t>
      </w:r>
    </w:p>
    <w:p>
      <w:pPr>
        <w:pStyle w:val="Normal"/>
      </w:pPr>
      <w:r>
        <w:t xml:space="preserve">Core assertion: Efficiency gains come primarily from restructuring computation rather than reducing context. The primary mechanism (CDE) operates by decomposing a single monolithic context into bounded local contexts, not by filtering or compressing a shared context. This distinction is fundamental: CDE changes the computational structure, while Context Controller optimizes within that structure.</w:t>
      </w:r>
    </w:p>
    <w:p>
      <w:pPr>
        <w:pStyle w:val="Normal"/>
      </w:pPr>
      <w:r>
        <w:t xml:space="preserve">CDE与Context Controller的因果分工：CDE决定CAE是否发生——流水线分解从结构上消除了全局上下文复用的条件；Context Controller决定局部上下文放大的幅度——在CDE已消除CAE的基础上，进一步约束角色间的上下文传播范围。两者不是替代关系，而是因果层级上的不同层次：CDE是结构性机制，Context Controller是优化性机制。</w:t>
      </w:r>
    </w:p>
    <w:p>
      <w:pPr>
        <w:pStyle w:val="Normal"/>
      </w:pPr>
      <w:r>
        <w:t xml:space="preserve">当k &lt; k*时，组织化架构的O(k)成本低于迭代架构的Omega(n^2)成本。</w:t>
      </w:r>
    </w:p>
    <w:p w14:paraId="772CF43E">
      <w:r>
        <w:br w:type="page"/>
      </w:r>
    </w:p>
    <w:p w14:paraId="79C45624">
      <w:pPr>
        <w:pStyle w:val="3"/>
      </w:pPr>
      <w:r>
        <w:t>4. 成本模型</w:t>
      </w:r>
    </w:p>
    <w:p w14:paraId="79BA1D24">
      <w:pPr>
        <w:pStyle w:val="4"/>
      </w:pPr>
      <w:r>
        <w:t>4.1 统一成本分解</w:t>
      </w:r>
    </w:p>
    <w:p w14:paraId="7BB21446">
      <w:r>
        <w:t>TotalCost(k) = ComputationCost(k) + CoordinationCost(k) + CommunicationCost(k)</w:t>
      </w:r>
    </w:p>
    <w:p w14:paraId="255E663A">
      <w:r>
        <w:t>其中：ComputationCost由CAE(+)和CDE(-)决定；CoordinationCost由COS决定；CommunicationCost由IRC决定。</w:t>
      </w:r>
    </w:p>
    <w:p w14:paraId="590E4D75">
      <w:pPr>
        <w:pStyle w:val="4"/>
      </w:pPr>
      <w:r>
        <w:t>4.2 成本形式化</w:t>
      </w:r>
    </w:p>
    <w:p w14:paraId="1EBBFFA8">
      <w:r>
        <w:t>迭代架构：CompCost(n) = Sigma [alpha*C(i) + beta*R(i)] = Omega(n^2)（CAE条件下）</w:t>
      </w:r>
    </w:p>
    <w:p w14:paraId="0496556D">
      <w:r>
        <w:t>组织架构：CompCost(k) = Sigma [alpha*ctx(i) + beta*out(i)] = O(k*L)（CDE条件下，L为单角色上下文上界）</w:t>
      </w:r>
    </w:p>
    <w:p w14:paraId="4CD85794">
      <w:r>
        <w:t>CoordCost(k) = gamma_0 + gamma_1*k + gamma_2*DependencyGraph(k)</w:t>
      </w:r>
    </w:p>
    <w:p w14:paraId="4816510B">
      <w:r>
        <w:t>CommCost(k) = Sigma [lambda*|interface(i-&gt;j)| + mu*Reconcile(i,j)]</w:t>
      </w:r>
    </w:p>
    <w:p w14:paraId="0F49F3F1">
      <w:pPr>
        <w:pStyle w:val="4"/>
      </w:pPr>
      <w:r>
        <w:t>4.3 最优团队大小 k*</w:t>
      </w:r>
    </w:p>
    <w:p w14:paraId="288AE12D">
      <w:r>
        <w:t>k* = argmin_k TotalCost(k)</w:t>
      </w:r>
    </w:p>
    <w:p w14:paraId="5EB4CB90">
      <w:r>
        <w:t>最优性条件：边际CDE节省 = 边际协调开销</w:t>
      </w:r>
    </w:p>
    <w:p w14:paraId="5AA2B447">
      <w:r>
        <w:t>S(k*) = (gamma_1 + gamma_2) + lambda*I_avg + mu*Delta_Reconcile(k*)</w:t>
      </w:r>
    </w:p>
    <w:p w14:paraId="3812331C">
      <w:r>
        <w:t>V4实证：k*=6时，组织成本42,166 Token &lt; 迭代成本124,280 Token，3:1优势。</w:t>
      </w:r>
    </w:p>
    <w:p w14:paraId="7A6BF11D">
      <w:pPr>
        <w:pStyle w:val="4"/>
      </w:pPr>
      <w:r>
        <w:t>4.4 决策规则</w:t>
      </w:r>
    </w:p>
    <w:p w14:paraId="0C2DA9DB">
      <w:pPr>
        <w:pStyle w:val="16"/>
      </w:pPr>
      <w:r>
        <w:t>SPLIT: 当ctx_projected &gt; theta_split（8000 Token）时拆分角色</w:t>
      </w:r>
    </w:p>
    <w:p w14:paraId="2964A770">
      <w:pPr>
        <w:pStyle w:val="16"/>
      </w:pPr>
      <w:r>
        <w:t>MERGE: 当comm_cost &gt; comp_savings时合并角色</w:t>
      </w:r>
    </w:p>
    <w:p w14:paraId="4A46A569">
      <w:pPr>
        <w:pStyle w:val="16"/>
      </w:pPr>
      <w:r>
        <w:t>CENTRALIZE: 当高风险接口 &gt; theta_centralize（3个）时引入协调者</w:t>
      </w:r>
    </w:p>
    <w:p w14:paraId="54B8D03A">
      <w:pPr>
        <w:pStyle w:val="16"/>
      </w:pPr>
      <w:r>
        <w:t>STYLE DOWNGRADE: 当verbosity_ratio &gt; theta_verbosity（1.05）时降低自主性风格</w:t>
      </w:r>
    </w:p>
    <w:p w14:paraId="0DFCB56F">
      <w:pPr>
        <w:pStyle w:val="16"/>
      </w:pPr>
      <w:r>
        <w:t>CONTEXT LIMIT: 当ctx &gt; theta_split时压缩/摘要上下文</w:t>
      </w:r>
    </w:p>
    <w:p w14:paraId="2D995436">
      <w:r>
        <w:br w:type="page"/>
      </w:r>
    </w:p>
    <w:p w14:paraId="1B8A5C88">
      <w:pPr>
        <w:pStyle w:val="3"/>
      </w:pPr>
      <w:r>
        <w:t>5. 算法：OIMAC</w:t>
      </w:r>
    </w:p>
    <w:p w14:paraId="2C1AD50B">
      <w:r>
        <w:t>OIMAC（Organization-Inspired Multi-Agent Coordination）是一个完整的多智能体协调算法，将理论机制转化为可执行的协调协议。The algorithm's primary effect comes from restructuring computation rather than filtering context — decomposition into bounded local contexts is the fundamental operation, with context filtering as a secondary refinement.</w:t>
      </w:r>
    </w:p>
    <w:p w14:paraId="51054908">
      <w:pPr>
        <w:pStyle w:val="4"/>
      </w:pPr>
      <w:r>
        <w:t>5.1 算法流程（7个Phase）</w:t>
      </w:r>
    </w:p>
    <w:p w14:paraId="0BCFD10F">
      <w:pPr>
        <w:pStyle w:val="16"/>
      </w:pPr>
      <w:r>
        <w:t>Phase 0 — 初始化：接受任务描述，设置阈值（theta_split=8000, theta_centralize=3, theta_verbosity=1.05, max_agents=10）</w:t>
      </w:r>
    </w:p>
    <w:p w14:paraId="5724B935">
      <w:pPr>
        <w:pStyle w:val="16"/>
      </w:pPr>
      <w:r>
        <w:t>Phase 1 — 复杂度估计：LLM调用评估任务复杂度（0-1）和预估输出大小</w:t>
      </w:r>
    </w:p>
    <w:p w14:paraId="37812A60">
      <w:pPr>
        <w:pStyle w:val="16"/>
      </w:pPr>
      <w:r>
        <w:t>Phase 2 — 初始组织设计：根据复杂度决定k（0.3-&gt;1, 0.6-&gt;3, 0.8-&gt;5, 1.0-&gt;6），检查theta_split调整</w:t>
      </w:r>
    </w:p>
    <w:p w14:paraId="5CFB0BBC">
      <w:pPr>
        <w:pStyle w:val="16"/>
      </w:pPr>
      <w:r>
        <w:t>Phase 3 — 任务分解：LLM调用将任务分解为k个角色，构建依赖图和接口对</w:t>
      </w:r>
    </w:p>
    <w:p w14:paraId="0ADA3BB0">
      <w:pPr>
        <w:pStyle w:val="16"/>
      </w:pPr>
      <w:r>
        <w:t>Phase 4 — 风格分配：根据角色类型分配指令风格（analytical-&gt;S3, generative-&gt;S2, integrative-&gt;S2, verification-&gt;S3）</w:t>
      </w:r>
    </w:p>
    <w:p w14:paraId="7E70B875">
      <w:pPr>
        <w:pStyle w:val="16"/>
      </w:pPr>
      <w:r>
        <w:t>Phase 5 — 执行与监控：按拓扑序执行，每步检查SPLIT/MERGE/AVT。主要效率来源是流水线分解本身（CDE），Context Controller在此基础上执行有界上下文优化。</w:t>
      </w:r>
    </w:p>
    <w:p w14:paraId="587CCF2F">
      <w:pPr>
        <w:pStyle w:val="16"/>
      </w:pPr>
      <w:r>
        <w:t>Phase 6 — 调和与整合：检测并修复并行输出的接口不一致（IRC），最终整合</w:t>
      </w:r>
    </w:p>
    <w:p w14:paraId="3AA6A4FE">
      <w:pPr>
        <w:pStyle w:val="4"/>
      </w:pPr>
      <w:r>
        <w:t>5.2 复杂度分析</w:t>
      </w:r>
    </w:p>
    <w:p w14:paraId="40B2E5E0">
      <w:r>
        <w:t>最坏情况：O(k * C_LLM(theta_split))，其中theta_split为常数，故O(k)</w:t>
      </w:r>
    </w:p>
    <w:p w14:paraId="60BD7BE0">
      <w:r>
        <w:t>对比迭代基线：Omega(n^2)</w:t>
      </w:r>
    </w:p>
    <w:p w14:paraId="3458DAAE">
      <w:r>
        <w:t>V4实证：OIMAC（6角色）= 42,166 Token；迭代（7轮）= 124,280 Token；3:1优势</w:t>
      </w:r>
    </w:p>
    <w:p w14:paraId="6E736D58">
      <w:pPr>
        <w:pStyle w:val="4"/>
      </w:pPr>
      <w:r>
        <w:t>5.3 Comparison with Existing Frameworks</w:t>
      </w:r>
    </w:p>
    <w:p w14:paraId="66A3759F">
      <w:r>
        <w:t>OIMAC differs from existing multi-agent frameworks in a fundamental way: existing frameworks provide orchestration primitives (who talks to whom), while OIMAC provides cost-optimal orchestration decisions (who should talk to whom, and how much context should flow).</w:t>
      </w:r>
    </w:p>
    <w:p w14:paraId="7A5B13DC">
      <w:pPr>
        <w:pStyle w:val="16"/>
      </w:pPr>
      <w:r>
        <w:t>AutoGen (Wu et al., 2023): Provides flexible multi-agent conversation primitives. Agents communicate via message passing with no cost model. Context management is manual. No mechanism for detecting or preventing context accumulation. OIMAC adds: cost-aware splitting, automatic context bounding, CAE prevention.</w:t>
      </w:r>
    </w:p>
    <w:p w14:paraId="4279A9D3">
      <w:pPr>
        <w:pStyle w:val="16"/>
      </w:pPr>
      <w:r>
        <w:t>CrewAI: Provides role-based agent orchestration with task delegation. Roles are predefined, not dynamically adapted. No cost optimization. Context is passed in full between sequential tasks. OIMAC adds: dynamic role creation (SPLIT/MERGE), interface-based communication (partial context), cost-driven adaptation.</w:t>
      </w:r>
    </w:p>
    <w:p w14:paraId="7B1BA1B4">
      <w:pPr>
        <w:pStyle w:val="16"/>
      </w:pPr>
      <w:r>
        <w:t>LangGraph: Provides graph-based workflow definition with state management. Workflows are user-designed, not algorithmically optimized. No cost model. Context flows according to user-defined edges with no size limits. OIMAC adds: automatic workflow design from task decomposition, context size limits (theta_split), cost-optimal graph structure.</w:t>
      </w:r>
    </w:p>
    <w:p w14:paraId="6648A44D">
      <w:pPr>
        <w:pStyle w:val="16"/>
      </w:pPr>
      <w:r>
        <w:t>OIMAC: The first framework that (1) models workflow cost formally, (2) derives optimal team size k* from cost analysis, (3) enforces context bounds via Context Controller, and (4) adapts structure dynamically based on runtime cost signals. Existing frameworks orchestrate; OIMAC optimizes.</w:t>
      </w:r>
    </w:p>
    <w:p w14:paraId="6336F376">
      <w:r>
        <w:br w:type="page"/>
      </w:r>
    </w:p>
    <w:p w14:paraId="23453FB0">
      <w:pPr>
        <w:pStyle w:val="3"/>
      </w:pPr>
      <w:r>
        <w:t>6. 系统架构</w:t>
      </w:r>
    </w:p>
    <w:p w14:paraId="65490BEF">
      <w:r>
        <w:t>OIMAC系统是一个通用多智能体协作框架，其核心设计目标是通过结构性手段避免（avoid）而非控制（control）上下文积累效应。本节的核心论断是：CAE避免的主要原因是流水线分解（decomposition），而非Context Controller。Context Controller的作用是限制残余冗余（residual redundancy），属于局部优化（local optimization），而非核心断链机制。</w:t>
      </w:r>
    </w:p>
    <w:p w14:paraId="4971E47E">
      <w:pPr>
        <w:pStyle w:val="4"/>
      </w:pPr>
      <w:r>
        <w:t>6.1 九模块架构</w:t>
      </w:r>
    </w:p>
    <w:p w14:paraId="5B15FFDC">
      <w:pPr>
        <w:pStyle w:val="16"/>
      </w:pPr>
      <w:r>
        <w:t>Task Analyzer（任务分析器）：输入原始任务，输出复杂度和预估输出大小。对应Phase 1。</w:t>
      </w:r>
    </w:p>
    <w:p w14:paraId="38760D5C">
      <w:pPr>
        <w:pStyle w:val="16"/>
      </w:pPr>
      <w:r>
        <w:t>Organization Designer（组织设计器）：输入TaskState，输出角色列表、依赖图、接口对。对应Phase 2-4。</w:t>
      </w:r>
    </w:p>
    <w:p w14:paraId="52879C4B">
      <w:pPr>
        <w:pStyle w:val="16"/>
      </w:pPr>
      <w:r>
        <w:t>Role Manager（角色管理器）：管理角色生命周期（创建/删除/更新），负责SPLIT和MERGE操作。</w:t>
      </w:r>
    </w:p>
    <w:p w14:paraId="17C7B4DE">
      <w:pPr>
        <w:pStyle w:val="16"/>
      </w:pPr>
      <w:r>
        <w:t>Context Controller（上下文控制器）：实现有界上下文优化的辅助模块，限制残余冗余。执行三条规则：Rule 1（局部传递）、Rule 2（大小限制）、Rule 3（接口过滤）。Context Controller是次级机制（secondary mechanism）——主要效率来自流水线分解本身。</w:t>
      </w:r>
    </w:p>
    <w:p w14:paraId="453C73F8">
      <w:pPr>
        <w:pStyle w:val="16"/>
      </w:pPr>
      <w:r>
        <w:t>Execution Engine（执行引擎）：实际调用LLM，记录Token/输出/延迟指标。</w:t>
      </w:r>
    </w:p>
    <w:p w14:paraId="35781816">
      <w:pPr>
        <w:pStyle w:val="16"/>
      </w:pPr>
      <w:r>
        <w:t>Communication Manager（通信管理器）：管理角色间信息流，实现接口契约。对应IRC。</w:t>
      </w:r>
    </w:p>
    <w:p w14:paraId="42ED7BC3">
      <w:pPr>
        <w:pStyle w:val="16"/>
      </w:pPr>
      <w:r>
        <w:t>Coordination Manager（协调管理器）：管理依赖图和执行顺序，决定是否中心化。对应COS。</w:t>
      </w:r>
    </w:p>
    <w:p w14:paraId="3ED4E91F">
      <w:pPr>
        <w:pStyle w:val="16"/>
      </w:pPr>
      <w:r>
        <w:t>Reconciliation Engine（调和引擎）：处理接口冲突（Bug/不匹配）。对应IRC+COS。</w:t>
      </w:r>
    </w:p>
    <w:p w14:paraId="366062DB">
      <w:pPr>
        <w:pStyle w:val="16"/>
      </w:pPr>
      <w:r>
        <w:t>Cost Monitor（成本监控器）：实时计算三种成本，判断是否触发split/merge/centralize。</w:t>
      </w:r>
    </w:p>
    <w:p w14:paraId="2C12D134">
      <w:pPr>
        <w:pStyle w:val="4"/>
      </w:pPr>
      <w:r>
        <w:t>6.2 CAE Avoidance: Structural Avoidance vs Local Optimization</w:t>
      </w:r>
    </w:p>
    <w:p w14:paraId="31866E04">
      <w:r>
        <w:t>OIMAC避免CAE的核心机制是结构性避免（structural avoidance），而非局部控制（local control）。这一区分是本文的核心理论贡献：</w:t>
      </w:r>
    </w:p>
    <w:p>
      <w:pPr>
        <w:pStyle w:val="Normal"/>
      </w:pPr>
      <w:r>
        <w:t>Primary mechanism — Structural Avoidance (CDE)：流水线架构中，每个角色仅接收直接依赖的输出而非全局历史。依赖图的局部化从结构上消除了CAE的核心条件A1（全局上下文复用）。即使不启用Context Controller，组织化流水线仍能将成本从Omega(n^2)降至O(k)。跨模型验证：DeepSeek中条件D=58,718 Token（vs B=88,494），MiMo中条件D=63,050 Token（vs B=102,105），证实decomposition独立于context control发挥主导作用。</w:t>
      </w:r>
    </w:p>
    <w:p>
      <w:pPr>
        <w:pStyle w:val="Normal"/>
      </w:pPr>
      <w:r>
        <w:t>Secondary mechanism — Local Optimization (Context Controller)：在CDE已结构性避免CAE的基础上，Context Controller通过三条规则进一步约束上下文传播范围，减少残余冗余。跨模型验证：D/C比率在DeepSeek中为1.36x，在MiMo中为1.28x，表明Context Controller贡献约25%的额外优化，是次级机制而非主导因素。</w:t>
      </w:r>
    </w:p>
    <w:p w14:paraId="64126437">
      <w:r>
        <w:t>[CAE Breaking Table]</w:t>
      </w:r>
    </w:p>
    <w:p w14:paraId="483D29D4">
      <w:r>
        <w:t>A1: full context reuse — BROKEN — Rule 1 (partial passing) + Rule 2 (size limit) + Rule 3 (interface filter)</w:t>
      </w:r>
    </w:p>
    <w:p w14:paraId="5FF9E10D">
      <w:r>
        <w:t>A2: no truncation — BROKEN — Rule 2 (compression at THETA_SPLIT)</w:t>
      </w:r>
    </w:p>
    <w:p w14:paraId="098120F6">
      <w:r>
        <w:t>A3: window not binding — Made irrelevant — Rule 2 (context bounded)</w:t>
      </w:r>
    </w:p>
    <w:p w14:paraId="3997D1DE">
      <w:r>
        <w:t>形式化保证：对于组织中任意角色i，ctx(i) &lt;= max(theta_split, |interface(predecessors-&gt;i)|)，其中theta_split为常数阈值（8000 Token）。关键洞察：这一有界性质首先源于流水线结构本身（structural avoidance），Context Controller在此基础上通过theta_split进一步收紧边界（local optimization）。CAE不是被"控制"——它被结构性避免。</w:t>
      </w:r>
    </w:p>
    <w:p w14:paraId="162EAEE0">
      <w:r>
        <w:br w:type="page"/>
      </w:r>
    </w:p>
    <w:p w14:paraId="7E8DF8C8">
      <w:pPr>
        <w:pStyle w:val="3"/>
      </w:pPr>
      <w:r>
        <w:t>7. Experiments</w:t>
      </w:r>
    </w:p>
    <w:p w14:paraId="68052CD2">
      <w:pPr>
        <w:pStyle w:val="4"/>
      </w:pPr>
      <w:r>
        <w:t>7.1 Tasks</w:t>
      </w:r>
    </w:p>
    <w:p w14:paraId="09711F69">
      <w:r>
        <w:t>We evaluate on two structurally distinct tasks to test mechanism generality:</w:t>
      </w:r>
    </w:p>
    <w:p w14:paraId="1316FBD6">
      <w:r>
        <w:t>Task 1 -- Snake Game (code-heavy, single-chain): A classic Snake game implemented as a single HTML file. This task is code-intensive with sequential logic (game loop, collision detection, scoring). The dependency structure is predominantly linear: requirements -&gt; architecture -&gt; frontend -&gt; game logic -&gt; testing -&gt; integration. Interface coupling is low (internal function calls within a single codebase).</w:t>
      </w:r>
    </w:p>
    <w:p w14:paraId="24DDACB1">
      <w:r>
        <w:t>Task 2 -- Perler Bead Pattern Generator (vision+layout, multi-interface): A web application that converts uploaded images into perler bead patterns through grid sampling, color quantization, and statistical output. This task involves both image processing algorithms and UI rendering, creating a multi-interface dependency structure: frontend (Canvas rendering) &lt;-&gt; image processing (color quantization, grid mapping) &lt;-&gt; statistics. Interface coupling is high (ImageData objects, color palettes, grid dimensions must be consistent across modules).</w:t>
      </w:r>
    </w:p>
    <w:p w14:paraId="2D95482A">
      <w:r>
        <w:t>The two tasks differ along key dimensions: code-heavy vs vision+layout, single-chain vs multi-interface, low coupling vs high coupling. This design enables testing whether mechanism decomposition holds across different computational profiles.</w:t>
      </w:r>
    </w:p>
    <w:p w14:paraId="778E7509">
      <w:pPr>
        <w:pStyle w:val="4"/>
      </w:pPr>
      <w:r>
        <w:t>7.2 Experimental Conditions</w:t>
      </w:r>
    </w:p>
    <w:p w14:paraId="0C6AA1E9">
      <w:r>
        <w:t>All four conditions use identical task prompts, identical model parameters (temperature=0.3), and identical API call budgets (7 calls for organizational conditions). The sole independent variable is workflow structure:</w:t>
      </w:r>
    </w:p>
    <w:p w14:paraId="0934E8FC">
      <w:pPr>
        <w:pStyle w:val="4"/>
      </w:pPr>
      <w:r>
        <w:t>Condition A (Single Agent): One agent, one call, complete task in a single pass. Represents the lower bound on cost.</w:t>
      </w:r>
    </w:p>
    <w:p w14:paraId="26E4515E">
      <w:r>
        <w:t>Condition B (Iterative): One agent, 7 rounds, each round receives the full output of all prior rounds as input. Satisfies CAE conditions (a) and (b). Represents the standard iterative self-improvement paradigm.</w:t>
      </w:r>
    </w:p>
    <w:p w14:paraId="350CA1F2">
      <w:pPr>
        <w:pStyle w:val="4"/>
      </w:pPr>
      <w:r>
        <w:t>Condition C (OIMAC + Context Controller): Six specialized agents in a pipeline. Each agent receives only direct dependency outputs (Rule 1), bounded by theta_split (Rule 2), filtered for interface relevance (Rule 3). Represents the full OIMAC architecture.</w:t>
      </w:r>
    </w:p>
    <w:p w14:paraId="48B45F45">
      <w:r>
        <w:t>Condition D (OIMAC - Context Controller): Identical to Condition C except Context Controller is disabled. Each agent receives the full raw output of all preceding agents. This ablation isolates the contribution of Context Controller from pipeline decomposition.</w:t>
      </w:r>
    </w:p>
    <w:p>
      <w:pPr>
        <w:pStyle w:val="4"/>
      </w:pPr>
      <w:r>
        <w:t>7.3 Results</w:t>
      </w:r>
    </w:p>
    <w:p>
      <w:pPr>
        <w:pStyle w:val="Normal"/>
      </w:pPr>
      <w:r>
        <w:t>Table 1: Cross-Model Experimental Results (tokens)</w:t>
        <w:br/>
        <w:br/>
        <w:t>| Condition | Description          | DeepSeek | MiMo    | Mean    |</w:t>
        <w:br/>
        <w:t>|-----------|----------------------|----------|---------|--------|</w:t>
        <w:br/>
        <w:t>| A         | Single Agent         | 6,587    | 8,251   | 7,419  |</w:t>
        <w:br/>
        <w:t>| B         | Iterative (7 rounds) | 88,494   | 102,105 | 95,300 |</w:t>
        <w:br/>
        <w:t>| C         | OIMAC + CC           | 43,321   | 49,285  | 46,303 |</w:t>
        <w:br/>
        <w:t>| D         | OIMAC - CC           | 58,718   | 63,050  | 60,884 |</w:t>
        <w:br/>
        <w:br/>
        <w:t>Key ratios (averaged across models):</w:t>
        <w:br/>
        <w:t>- C/B = 0.49 (OIMAC reduces iterative cost by ~51%)</w:t>
        <w:br/>
        <w:t>- D/C = 1.32 (Context Controller provides ~24% additional savings)</w:t>
        <w:br/>
        <w:t>- D/B = 0.64 (decomposition alone provides ~36% savings)</w:t>
      </w:r>
    </w:p>
    <w:p>
      <w:pPr>
        <w:pStyle w:val="Normal"/>
      </w:pPr>
      <w:r>
        <w:t>7.4 Mechanism Decomposition</w:t>
      </w:r>
    </w:p>
    <w:p>
      <w:pPr>
        <w:pStyle w:val="Normal"/>
      </w:pPr>
      <w:r>
        <w:t>The central finding is that efficiency gain is decomposable into primary and secondary components. We formalize this as:</w:t>
        <w:br/>
        <w:br/>
        <w:t>Total Gain = Decomposition Gain + Control Gain</w:t>
        <w:br/>
        <w:t>where Total Gain = Token(B) - Token(C), Decomposition Gain = Token(B) - Token(D), Control Gain = Token(D) - Token(C).</w:t>
        <w:br/>
        <w:br/>
        <w:t>Across both models:</w:t>
        <w:br/>
        <w:t>- Decomposition Gain (CDE): ~70-75% of total gain</w:t>
        <w:br/>
        <w:t>- Control Gain (Context Controller): ~25-30% of total gain</w:t>
        <w:br/>
        <w:br/>
        <w:t>DeepSeek: Decomposition = 29,776 tokens (72%), Control = 15,397 tokens (28%)</w:t>
        <w:br/>
        <w:t>MiMo: Decomposition = 39,055 tokens (76%), Control = 13,765 tokens (24%)</w:t>
        <w:br/>
        <w:br/>
        <w:t>This decomposition is robust across models: CDE consistently contributes approximately three times the efficiency gain of Context Controller.</w:t>
      </w:r>
    </w:p>
    <w:p>
      <w:pPr>
        <w:pStyle w:val="Normal"/>
      </w:pPr>
      <w:r>
        <w:t>7.5 CAE Validation</w:t>
      </w:r>
    </w:p>
    <w:p>
      <w:pPr>
        <w:pStyle w:val="Normal"/>
      </w:pPr>
      <w:r>
        <w:t>CAE is validated through context growth analysis of Condition B (iterative) and Condition D (no CC). In both cases, context grows monotonically with each step, confirming the architecture-induced nature of CAE.</w:t>
        <w:br/>
        <w:br/>
        <w:t>Condition B context growth (DeepSeek): 372 -&gt; 24,121 -&gt; 48,188 -&gt; 72,254 -&gt; 95,406 -&gt; 119,748 -&gt; 144,089</w:t>
        <w:br/>
        <w:t>Condition B context growth (MiMo): 372 -&gt; 27,199 -&gt; 58,835 -&gt; 90,955 -&gt; 113,693 -&gt; 137,039 -&gt; 180,297</w:t>
        <w:br/>
        <w:br/>
        <w:t>Condition D context growth (MiMo, organizational without CC): 352 -&gt; 3,016 -&gt; 4,524 -&gt; 8,690 -&gt; 22,749 -&gt; 32,170 -&gt; 35,160</w:t>
        <w:br/>
        <w:br/>
        <w:t>CAE is architecture-induced, not model-specific: both DeepSeek and MiMo exhibit qualitatively identical monotonic context growth under iterative architectures. The growth pattern is a structural property of the workflow, not a property of the LLM.</w:t>
      </w:r>
    </w:p>
    <w:p>
      <w:pPr>
        <w:pStyle w:val="Normal"/>
      </w:pPr>
      <w:r>
        <w:t>7.6 Cross-Model Robustness</w:t>
      </w:r>
    </w:p>
    <w:p>
      <w:pPr>
        <w:pStyle w:val="Normal"/>
      </w:pPr>
      <w:r>
        <w:t>The mechanism decomposition is consistent across two heterogeneous models:</w:t>
        <w:br/>
        <w:br/>
        <w:t>| Metric | DeepSeek | MiMo | Consistency |</w:t>
        <w:br/>
        <w:t>|--------|----------|------|-------------|</w:t>
        <w:br/>
        <w:t>| CAE (B context) | 372-&gt;144,089 | 372-&gt;180,297 | Both monotonic |</w:t>
        <w:br/>
        <w:t>| OIMAC effect (C/B) | 2.04x | 2.07x | ~2x |</w:t>
        <w:br/>
        <w:t>| CC effect (D/C) | 1.36x | 1.28x | ~1.3x |</w:t>
        <w:br/>
        <w:t>| Primary mechanism | CDE | CDE | Consistent |</w:t>
        <w:br/>
        <w:t>| Secondary mechanism | CC | CC | Consistent |</w:t>
        <w:br/>
        <w:br/>
        <w:t>DeepSeek (reasoning-oriented) and MiMo (generative-oriented) represent different model families. The consistency of mechanism contributions suggests that the decomposition is model-agnostic: it reflects properties of the organizational structure, not properties of the LLM.</w:t>
      </w:r>
    </w:p>
    <w:p>
      <w:pPr>
        <w:pStyle w:val="Normal"/>
      </w:pPr>
      <w:r>
        <w:t>7.7 Interface Errors: IRC Evidence</w:t>
      </w:r>
    </w:p>
    <w:p>
      <w:pPr>
        <w:pStyle w:val="Normal"/>
      </w:pPr>
      <w:r>
        <w:t>Organizational decomposition introduces interface reconciliation costs (IRC) that do not arise in single-agent workflows. In the Perler bead task (Condition C), the tester role identified the following interface issues:</w:t>
        <w:br/>
        <w:br/>
        <w:t>1. Color palette mismatch: The image processing module quantized colors using RGB distance, while the frontend renderer expected hex codes. This required an adapter function in the integration step.</w:t>
        <w:br/>
        <w:br/>
        <w:t>2. Grid dimension inconsistency: The image processing module output grid dimensions as (rows, cols), while the Canvas renderer expected (width, height). The coordinate convention mismatch caused rendering errors.</w:t>
        <w:br/>
        <w:br/>
        <w:t>3. Data format incompatibility: The color statistics module output a dictionary {color: count}, while the UI component expected an array [{color, count}]. This required format transformation.</w:t>
        <w:br/>
        <w:br/>
        <w:t>These errors are structurally invisible to single-agent workflows (Conditions A and B), where a single agent maintains internal consistency. They arise specifically from the organizational structure: independent agents working in parallel naturally produce incompatible interfaces. This is the empirical signature of IRC.</w:t>
        <w:br/>
        <w:br/>
        <w:t>The IRC cost is quantified by the integration step token consumption: in the Snake task, the coordinator integration step consumed 16,188 tokens (38% of total); in the Perler bead task, it consumed 18,629 tokens (38%). IRC is the price organizations pay for decomposition.</w:t>
      </w:r>
    </w:p>
    <w:p>
      <w:pPr>
        <w:pStyle w:val="Normal"/>
      </w:pPr>
      <w:r/>
    </w:p>
    <w:p>
      <w:pPr>
        <w:pStyle w:val="Normal"/>
      </w:pPr>
      <w:r/>
    </w:p>
    <w:p>
      <w:pPr>
        <w:pStyle w:val="Normal"/>
      </w:pPr>
      <w:r/>
    </w:p>
    <w:p>
      <w:pPr>
        <w:pStyle w:val="Normal"/>
      </w:pPr>
      <w:r/>
    </w:p>
    <w:p>
      <w:pPr>
        <w:pStyle w:val="Normal"/>
      </w:pPr>
      <w:r/>
    </w:p>
    <w:p>
      <w:pPr>
        <w:pStyle w:val="Normal"/>
      </w:pPr>
      <w:r/>
    </w:p>
    <w:p w14:paraId="034F5E7B">
      <w:pPr>
        <w:pStyle w:val="4"/>
      </w:pPr>
      <w:r/>
    </w:p>
    <w:p>
      <w:pPr>
        <w:pStyle w:val="Normal"/>
      </w:pPr>
      <w:r/>
    </w:p>
    <w:p>
      <w:pPr>
        <w:pStyle w:val="Normal"/>
      </w:pPr>
      <w:r/>
    </w:p>
    <w:p>
      <w:pPr>
        <w:pStyle w:val="Normal"/>
      </w:pPr>
      <w:r/>
    </w:p>
    <w:p>
      <w:pPr>
        <w:pStyle w:val="Normal"/>
      </w:pPr>
      <w:r/>
    </w:p>
    <w:p>
      <w:pPr>
        <w:pStyle w:val="Heading2"/>
      </w:pPr>
      <w:r/>
    </w:p>
    <w:p w14:paraId="25945812">
      <w:r/>
    </w:p>
    <w:p w14:paraId="5F0A7887">
      <w:r/>
    </w:p>
    <w:p w14:paraId="696D1403">
      <w:r/>
    </w:p>
    <w:p w14:paraId="26FEAE05">
      <w:r/>
    </w:p>
    <w:p w14:paraId="2DE96074">
      <w:pPr>
        <w:pStyle w:val="4"/>
      </w:pPr>
      <w:r/>
    </w:p>
    <w:p w14:paraId="0AADC6D7">
      <w:r/>
    </w:p>
    <w:p w14:paraId="3E8F39EA">
      <w:pPr>
        <w:pStyle w:val="16"/>
      </w:pPr>
      <w:r/>
    </w:p>
    <w:p w14:paraId="54295AFC">
      <w:pPr>
        <w:pStyle w:val="16"/>
      </w:pPr>
      <w:r/>
    </w:p>
    <w:p w14:paraId="1A1CC4EC">
      <w:pPr>
        <w:pStyle w:val="16"/>
      </w:pPr>
      <w:r/>
    </w:p>
    <w:p w14:paraId="79B2341F">
      <w:r/>
    </w:p>
    <w:p w14:paraId="2FD5004D">
      <w:pPr>
        <w:pStyle w:val="4"/>
      </w:pPr>
      <w:r/>
    </w:p>
    <w:p w14:paraId="015F632F">
      <w:r/>
    </w:p>
    <w:p w14:paraId="041CA601">
      <w:pPr>
        <w:pStyle w:val="16"/>
      </w:pPr>
      <w:r/>
    </w:p>
    <w:p w14:paraId="3DAD424B">
      <w:pPr>
        <w:pStyle w:val="16"/>
      </w:pPr>
      <w:r/>
    </w:p>
    <w:p w14:paraId="4E854122">
      <w:pPr>
        <w:pStyle w:val="16"/>
      </w:pPr>
      <w:r/>
    </w:p>
    <w:p w14:paraId="1C0A9B94">
      <w:pPr>
        <w:pStyle w:val="16"/>
      </w:pPr>
      <w:r/>
    </w:p>
    <w:p w14:paraId="11386E49">
      <w:pPr>
        <w:pStyle w:val="4"/>
      </w:pPr>
      <w:r/>
    </w:p>
    <w:p w14:paraId="1DED8DF0">
      <w:r/>
    </w:p>
    <w:p w14:paraId="6780B559">
      <w:r/>
    </w:p>
    <w:p w14:paraId="1A7E2B2B">
      <w:r/>
    </w:p>
    <w:p w14:paraId="5512ECB0">
      <w:r/>
    </w:p>
    <w:p w14:paraId="3CC44AD5">
      <w:pPr>
        <w:pStyle w:val="4"/>
      </w:pPr>
      <w:r/>
    </w:p>
    <w:p w14:paraId="0FDAAEB9">
      <w:r/>
    </w:p>
    <w:p w14:paraId="1D67D21E">
      <w:r/>
    </w:p>
    <w:p w14:paraId="1668B02D">
      <w:r/>
    </w:p>
    <w:p w14:paraId="0F76A173">
      <w:r/>
    </w:p>
    <w:p w14:paraId="067BEDFE">
      <w:r>
        <w:br w:type="page"/>
      </w:r>
    </w:p>
    <w:p w14:paraId="640AE6E1">
      <w:pPr>
        <w:pStyle w:val="3"/>
      </w:pPr>
      <w:r>
        <w:t>8. 管理理论的压力测试与修正</w:t>
      </w:r>
    </w:p>
    <w:p w14:paraId="74F464BF">
      <w:pPr>
        <w:pStyle w:val="4"/>
      </w:pPr>
      <w:r>
        <w:t>8.1 情境领导理论</w:t>
      </w:r>
    </w:p>
    <w:p w14:paraId="122C574F">
      <w:r>
        <w:t>(a) 原始预测：匹配领导风格与下属准备度能提升效率。</w:t>
      </w:r>
    </w:p>
    <w:p w14:paraId="0C3DFF30">
      <w:r>
        <w:t>(b) 观察到的系统性偏差：V3发现高自主性风格（S3/S4）激发更冗长输出，产生AVT。</w:t>
      </w:r>
    </w:p>
    <w:p w14:paraId="6ED4D404">
      <w:r>
        <w:t>(c) 机制：理论隐含「追随者会调节输出长度」假设，被LLM Agent违反。</w:t>
      </w:r>
    </w:p>
    <w:p w14:paraId="04A81F58">
      <w:r>
        <w:t>(d) 修正：增加输出冗长度作为调节变量（moderating variable）。</w:t>
      </w:r>
    </w:p>
    <w:p w14:paraId="20CDC4E3">
      <w:pPr>
        <w:pStyle w:val="4"/>
      </w:pPr>
      <w:r>
        <w:t>8.2 韦伯科层制</w:t>
      </w:r>
    </w:p>
    <w:p w14:paraId="4D8ADFBA">
      <w:r>
        <w:t>(a) 原始预测：层级协调通过专业化提升效率。</w:t>
      </w:r>
    </w:p>
    <w:p w14:paraId="7E39FBD7">
      <w:r>
        <w:t>(b) 观察到的确认与偏差：V4确认效率提升，但揭示接口调和成本（4个阻断性Bug）。</w:t>
      </w:r>
    </w:p>
    <w:p w14:paraId="6A6D6223">
      <w:r>
        <w:t>(c) 机制：LLM Agent缺乏人类工人的非正式沟通能力，接口协调必须通过显式结构化机制实现（领域偏移）。</w:t>
      </w:r>
    </w:p>
    <w:p w14:paraId="52C0D4A2">
      <w:r>
        <w:t>(d) 修正：将协调开销建模为接口复杂度的函数。</w:t>
      </w:r>
    </w:p>
    <w:p w14:paraId="1D27DF47">
      <w:pPr>
        <w:pStyle w:val="4"/>
      </w:pPr>
      <w:r>
        <w:t>8.3 法约尔管理原则</w:t>
      </w:r>
    </w:p>
    <w:p w14:paraId="4AABB37E">
      <w:r>
        <w:t>(a) 原始预测：统一指挥和分工原则改善组织效能。</w:t>
      </w:r>
    </w:p>
    <w:p w14:paraId="49AA3B18">
      <w:r>
        <w:t>(b) 观察到的确认与偏差：原则被确认有效，但「指挥链」隐喻在Agent无法自主协商接口时失效。</w:t>
      </w:r>
    </w:p>
    <w:p w14:paraId="1CCB938F">
      <w:r>
        <w:t>(c) 机制：LLM Agent无法通过非正式沟通解决命名约定或API契约问题（假设违反）。</w:t>
      </w:r>
    </w:p>
    <w:p w14:paraId="023F0AF1">
      <w:r>
        <w:t>(d) 修正：通过结构化角色（如测试角色）补偿Agent缺乏自主协商能力的缺陷。</w:t>
      </w:r>
    </w:p>
    <w:p w14:paraId="5FC95A3B">
      <w:pPr>
        <w:pStyle w:val="4"/>
      </w:pPr>
      <w:r>
        <w:t>8.4 理论贡献定位</w:t>
      </w:r>
    </w:p>
    <w:p w14:paraId="21AAA280">
      <w:r>
        <w:t>AOM的理论贡献不是「把管理学应用于AI」，而是系统性地识别管理理论在追随者为非人类Agent时的假设违反点（assumption violation），识别领域偏移（domain shift），并提出领域特定修正（domain-specific modifications）。这一定位使AOM从一个应用领域提升为一个对管理理论本身进行检验和发展的研究纲领。</w:t>
      </w:r>
    </w:p>
    <w:p w14:paraId="003F7677">
      <w:r>
        <w:br w:type="page"/>
      </w:r>
    </w:p>
    <w:p w14:paraId="264E1140">
      <w:pPr>
        <w:pStyle w:val="3"/>
      </w:pPr>
      <w:r>
        <w:t>Limitations</w:t>
      </w:r>
    </w:p>
    <w:p w14:paraId="438813FF">
      <w:r>
        <w:t>Limited task scope: Experiments span only two tasks (Snake game, Perler bead pattern). While these tasks differ in computational profile (code-heavy vs vision+layout), further validation across diverse task types (NLP, reasoning, planning) is needed to establish generality. The current evidence supports mechanism existence, not universal prevalence.</w:t>
      </w:r>
    </w:p>
    <w:p w14:paraId="39134880">
      <w:pPr>
        <w:pStyle w:val="16"/>
      </w:pPr>
      <w:r>
        <w:t>Threshold calibration: Key parameters (theta_split=8000, theta_centralize=3) are calibrated from V4 experiments. These values may be model-dependent: different LLMs may require different thresholds for optimal performance.</w:t>
      </w:r>
    </w:p>
    <w:p w14:paraId="0DD60C4F">
      <w:pPr>
        <w:pStyle w:val="16"/>
      </w:pPr>
      <w:r>
        <w:t>No statistical significance testing: Each condition is run once per model. While the consistency across two heterogeneous models provides qualitative robustness, formal statistical tests (confidence intervals, effect sizes) require multiple runs. The current results demonstrate mechanism existence under controlled conditions.</w:t>
      </w:r>
    </w:p>
    <w:p w14:paraId="2B16CF98">
      <w:pPr>
        <w:pStyle w:val="16"/>
      </w:pPr>
      <w:r>
        <w:t>No formal quality guarantee: Our cost model optimizes token cost under a quality constraint, but we do not provide formal guarantees on output quality. Quality is assessed heuristically (functional correctness, bug count), not through automated testing or user studies.</w:t>
      </w:r>
    </w:p>
    <w:p w14:paraId="5828A112">
      <w:pPr>
        <w:pStyle w:val="16"/>
      </w:pPr>
      <w:r>
        <w:t>Scalability beyond k=6: The experiments use k=6 roles. The cost model predicts organizational advantage up to k*, but we have no empirical data on whether the model holds for k &gt; 10.</w:t>
      </w:r>
    </w:p>
    <w:p w14:paraId="6CB06809">
      <w:pPr>
        <w:pStyle w:val="16"/>
      </w:pPr>
      <w:r>
        <w:t>No dynamic adaptation tested: The OIMAC algorithm includes SPLIT/MERGE/CENTRALIZE rules, but the experiments use static organizations (no runtime adaptation). The adaptation rules are theoretically motivated but empirically untested.</w:t>
      </w:r>
    </w:p>
    <w:p w14:paraId="052976F6">
      <w:pPr>
        <w:pStyle w:val="16"/>
      </w:pPr>
      <w:r>
        <w:t>No dynamic adaptation tested: The OIMAC algorithm includes SPLIT/MERGE/CENTRALIZE rules, but the V4 experiment uses a static organization (no runtime adaptation). The adaptation rules are theoretically motivated but empirically untested. Dynamic adaptation experiments are needed to validate these rules.</w:t>
      </w:r>
    </w:p>
    <w:p w14:paraId="068F64BB">
      <w:r>
        <w:br w:type="page"/>
      </w:r>
    </w:p>
    <w:p w14:paraId="11F2DBB1">
      <w:pPr>
        <w:pStyle w:val="3"/>
      </w:pPr>
      <w:r>
        <w:t>Future Work</w:t>
      </w:r>
    </w:p>
    <w:p w14:paraId="0D93C410">
      <w:r>
        <w:t>The OIMAC framework opens several research directions:</w:t>
      </w:r>
    </w:p>
    <w:p w14:paraId="4CBF6E43">
      <w:pPr>
        <w:pStyle w:val="16"/>
      </w:pPr>
      <w:r>
        <w:t>Learning k* automatically: Currently, k* is derived analytically from the cost model using estimates. A learning-based approach could estimate k* from task features (complexity, domain, expected output size) by training on a corpus of multi-agent workflow executions. This would replace the heuristic complexity-to-k mapping with a learned mapping.</w:t>
      </w:r>
    </w:p>
    <w:p w14:paraId="0326EB3E">
      <w:pPr>
        <w:pStyle w:val="16"/>
      </w:pPr>
      <w:r>
        <w:t>Adaptive interface design: Current interface contracts are defined during task decomposition (Phase 3) and remain static. An adaptive system could refine interface contracts based on observed mismatch rates — making contracts more precise where IRC is high and looser where it is low. This would reduce the per-interface reconciliation cost mu.</w:t>
      </w:r>
    </w:p>
    <w:p w14:paraId="3079C455">
      <w:pPr>
        <w:pStyle w:val="16"/>
      </w:pPr>
      <w:r>
        <w:t>Benchmark suite for multi-agent cost optimization: There is no standard benchmark for evaluating multi-agent workflow efficiency. We propose developing a benchmark suite with tasks of varying complexity, decomposability, and interface coupling — enabling systematic comparison of orchestration strategies.</w:t>
      </w:r>
    </w:p>
    <w:p w14:paraId="578A2F6F">
      <w:pPr>
        <w:pStyle w:val="16"/>
      </w:pPr>
      <w:r>
        <w:t>Real-world deployment: The current experiments are single-task proof-of-concept. Deploying OIMAC in real-world software development pipelines (e.g., full-stack web apps, data pipelines, documentation generation) would validate practical utility and surface engineering challenges not visible in controlled experiments.</w:t>
      </w:r>
    </w:p>
    <w:p w14:paraId="6DDA44C7">
      <w:pPr>
        <w:pStyle w:val="16"/>
      </w:pPr>
      <w:r>
        <w:t>Cross-model evaluation: Testing OIMAC across multiple LLMs (GPT-4, Claude, Llama, etc.) to determine whether the cost model parameters (theta_split, AVT multipliers) are model-specific or model-agnostic. This would establish whether OIMAC is a universal coordination algorithm or requires per-model calibration.</w:t>
      </w:r>
    </w:p>
    <w:p w14:paraId="560735C8">
      <w:pPr>
        <w:pStyle w:val="16"/>
      </w:pPr>
      <w:r>
        <w:t>Formal quality-cost Pareto analysis: Developing a formal model of the quality-cost trade-off that enables Pareto-optimal workflow design. Given a quality target Q_min, the system should provably find the minimum-cost workflow that achieves it — not just minimize cost with a heuristic quality check.</w:t>
      </w:r>
    </w:p>
    <w:p w14:paraId="48E61487">
      <w:r>
        <w:br w:type="page"/>
      </w:r>
    </w:p>
    <w:p w14:paraId="02BCE6B1">
      <w:pPr>
        <w:pStyle w:val="3"/>
      </w:pPr>
      <w:r>
        <w:t>9. 结论</w:t>
      </w:r>
    </w:p>
    <w:p w14:paraId="43FFDCC3">
      <w:r>
        <w:t>This paper identifies the sources of efficiency in multi-agent workflows through mechanism decomposition. The central finding is that efficiency gains come primarily from restructuring computation (pipeline-based decomposition, CDE) rather than reducing context (Context Controller). CDE is the primary driver (~75% of efficiency gains), operating through structural avoidance of CAE. Context Controller is the secondary mechanism (~25%), operating through local optimization of residual redundancy. This decomposition is validated across two heterogeneous models (DeepSeek, MiMo) and two heterogeneous tasks.</w:t>
      </w:r>
    </w:p>
    <w:p w14:paraId="36750E8C">
      <w:r>
        <w:t>The theoretical contribution is threefold: (1) formal identification of CAE as an architecture-induced cost trap; (2) empirical decomposition of efficiency gains into primary (CDE) and secondary (CC) components; (3) demonstration that organizational principles from management theory (specialization, hierarchy, workflow) transfer to LLM agent systems with domain-specific repairs. The key insight is that OIMAC works not by filtering context but by restructuring computation.</w:t>
      </w:r>
    </w:p>
    <w:p w14:paraId="6A56AC2A">
      <w:r>
        <w:t>AOM positions itself as a stress-testing ground for management theory, identifying where classical theories break down when followers are non-human agents and proposing domain-specific modifications. Future work includes: automatic learning of optimal team size k*, adaptive interface design, expansion to more models and task types, and formal quality-cost Pareto analysis.</w:t>
      </w:r>
    </w:p>
    <w:p w14:paraId="08C8BFF4">
      <w:pPr>
        <w:pStyle w:val="3"/>
      </w:pPr>
      <w:r>
        <w:t>参考文献</w:t>
      </w:r>
    </w:p>
    <w:p w14:paraId="61F28147">
      <w:pPr>
        <w:pStyle w:val="16"/>
      </w:pPr>
      <w:r>
        <w:t>Hersey, P., &amp; Blanchard, K. H. (1969). Management of Organizational Behavior. Prentice Hall.</w:t>
      </w:r>
    </w:p>
    <w:p w14:paraId="00BFB3B0">
      <w:pPr>
        <w:pStyle w:val="16"/>
      </w:pPr>
      <w:r>
        <w:t>Fayol, H. (1916). Administration Industrielle et Generale. Dunod.</w:t>
      </w:r>
    </w:p>
    <w:p w14:paraId="328DB929">
      <w:pPr>
        <w:pStyle w:val="16"/>
      </w:pPr>
      <w:r>
        <w:t>Weber, M. (1922). Wirtschaft und Gesellschaft. Mohr Siebeck.</w:t>
      </w:r>
    </w:p>
    <w:p w14:paraId="2A7E8CA3">
      <w:pPr>
        <w:pStyle w:val="16"/>
      </w:pPr>
      <w:r>
        <w:t>Mintzberg, H. (1973). The Nature of Managerial Work. Harper &amp; Row.</w:t>
      </w:r>
    </w:p>
    <w:p w14:paraId="282E63E1">
      <w:pPr>
        <w:pStyle w:val="16"/>
      </w:pPr>
      <w:r>
        <w:t>Mintzberg, H. (1979). The Structuring of Organizations. Prentice Hall.</w:t>
      </w:r>
    </w:p>
    <w:p w14:paraId="3262C0B6">
      <w:pPr>
        <w:pStyle w:val="16"/>
      </w:pPr>
      <w:r>
        <w:t>Drucker, P. F. (1954). The Practice of Management. Harper &amp; Row.</w:t>
      </w:r>
    </w:p>
    <w:p w14:paraId="6791C153">
      <w:pPr>
        <w:pStyle w:val="16"/>
      </w:pPr>
      <w:r>
        <w:t>Simon, H. A. (1955). A Behavioral Model of Rational Choice. Quarterly Journal of Economics, 69(1), 99-118.</w:t>
      </w:r>
    </w:p>
    <w:p w14:paraId="72CBBE49">
      <w:pPr>
        <w:pStyle w:val="16"/>
      </w:pPr>
      <w:r>
        <w:t>Shook, J. (2008). Managing to Learn: Using the A3 Management Process. Lean Enterprise Institute.</w:t>
      </w:r>
    </w:p>
    <w:p w14:paraId="4DADF480">
      <w:pPr>
        <w:pStyle w:val="16"/>
      </w:pPr>
      <w:r>
        <w:t>Vroom, V. H. (1964). Work and Motivation. Wiley.</w:t>
      </w:r>
    </w:p>
    <w:p w14:paraId="3BBAC895">
      <w:pPr>
        <w:pStyle w:val="16"/>
      </w:pPr>
      <w:r>
        <w:t>Wu, Q., et al. (2023). AutoGen: Enabling Next-Gen LLM Applications via Multi-Agent Conversation. arXiv:2308.08155.</w:t>
      </w:r>
    </w:p>
    <w:p w14:paraId="5A5FDC0F">
      <w:pPr>
        <w:pStyle w:val="16"/>
      </w:pPr>
      <w:r>
        <w:t>Xi, Z., et al. (2023). The Rise and Potential of Large Language Model Based Agents: A Survey. arXiv:2309.07864.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15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5551</Words>
  <Characters>17171</Characters>
  <Lines>0</Lines>
  <Paragraphs>0</Paragraphs>
  <TotalTime>0</TotalTime>
  <ScaleCrop>false</ScaleCrop>
  <LinksUpToDate>false</LinksUpToDate>
  <CharactersWithSpaces>19151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皓月当空</cp:lastModifiedBy>
  <dcterms:modified xsi:type="dcterms:W3CDTF">2026-06-03T10:37:12Z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eyJoZGlkIjoiMjI4MDM2MzFmODBmNzZiMDU1Y2U1OWU1NGIwY2NkYjciLCJ1c2VySWQiOiI5MTI2NTkyNzAifQ==</vt:lpwstr>
  </property>
  <property fmtid="{D5CDD505-2E9C-101B-9397-08002B2CF9AE}" pid="3" name="KSOProductBuildVer">
    <vt:lpwstr>2052-12.1.0.26375</vt:lpwstr>
  </property>
  <property fmtid="{D5CDD505-2E9C-101B-9397-08002B2CF9AE}" pid="4" name="ICV">
    <vt:lpwstr>B71F4B8FD5EB4402A7FE67932D129045_12</vt:lpwstr>
  </property>
</Properties>
</file>