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
    <w:p>
      <w:pPr>
        <w:spacing w:after="240"/>
        <w:jc w:val="center"/>
      </w:pPr>
      <w:r>
        <w:rPr>
          <w:rFonts w:ascii="Times New Roman" w:hAnsi="Times New Roman"/>
          <w:b/>
          <w:sz w:val="28"/>
        </w:rPr>
        <w:t>Efficiency Decomposition in Multi-Agent Workflows:</w:t>
        <w:br/>
        <w:t>Pipeline Structure as Primary Driver</w:t>
      </w:r>
    </w:p>
    <w:p>
      <w:pPr>
        <w:spacing w:after="120"/>
        <w:jc w:val="center"/>
      </w:pPr>
      <w:r>
        <w:rPr>
          <w:rFonts w:ascii="Times New Roman" w:hAnsi="Times New Roman"/>
          <w:i/>
          <w:sz w:val="20"/>
        </w:rPr>
        <w:t>Anonymous Submission</w:t>
      </w:r>
    </w:p>
    <w:p>
      <w:pPr>
        <w:spacing w:after="80"/>
      </w:pPr>
      <w:r>
        <w:rPr>
          <w:rFonts w:ascii="Times New Roman" w:hAnsi="Times New Roman"/>
          <w:b/>
          <w:sz w:val="20"/>
        </w:rPr>
        <w:t>Abstract</w:t>
      </w:r>
    </w:p>
    <w:p>
      <w:pPr>
        <w:spacing w:after="120" w:before="0"/>
      </w:pPr>
      <w:r>
        <w:rPr>
          <w:rFonts w:ascii="Times New Roman" w:hAnsi="Times New Roman"/>
          <w:b w:val="0"/>
          <w:i w:val="0"/>
          <w:sz w:val="18"/>
        </w:rPr>
        <w:t>This paper identifies the sources of efficiency in LLM-based multi-agent workflows through mechanism decomposition. We formalize the Context Accumulation Effect (CAE) — an Omega(n^2) cost trap in iterative self-improvement — and demonstrate that pipeline-based organizational decomposition (CDE) structurally avoids this effect, contributing approximately 75% of efficiency gains. Context Controller provides secondary optimization (~25%) through bounded context propagation. We validate this decomposition across two heterogeneous models (DeepSeek, MiMo) and two tasks (code generation, image processing), confirming the result is model-agnostic. The key insight is that efficiency gains come primarily from restructuring computation rather than reducing context. These findings bridge management theory and multi-agent system design, demonstrating that organizational principles (specialization, hierarchy, workflow) transfer to AI agent coordination with domain-specific repairs.</w:t>
      </w:r>
    </w:p>
    <w:p>
      <w:pPr>
        <w:spacing w:after="240"/>
      </w:pPr>
      <w:r>
        <w:rPr>
          <w:rFonts w:ascii="Times New Roman" w:hAnsi="Times New Roman"/>
          <w:b/>
          <w:sz w:val="18"/>
        </w:rPr>
        <w:t xml:space="preserve">Keywords: </w:t>
      </w:r>
      <w:r>
        <w:rPr>
          <w:rFonts w:ascii="Times New Roman" w:hAnsi="Times New Roman"/>
          <w:sz w:val="18"/>
        </w:rPr>
        <w:t>Multi-agent systems, organizational management, context accumulation, cost optimization, mechanism decomposition</w:t>
      </w:r>
    </w:p>
    <w:p>
      <w:pPr>
        <w:sectPr>
          <w:pgSz w:w="12240" w:h="15840"/>
          <w:pgMar w:top="1440" w:right="1800" w:bottom="1440" w:left="1800" w:header="720" w:footer="720" w:gutter="0"/>
          <w:cols w:space="0.25in" w:num="1"/>
          <w:docGrid w:linePitch="360"/>
        </w:sectPr>
      </w:pPr>
    </w:p>
    <w:p>
      <w:pPr>
        <w:pStyle w:val="Heading1"/>
      </w:pPr>
      <w:r>
        <w:t>1. Introduction</w:t>
      </w:r>
    </w:p>
    <w:p>
      <w:pPr>
        <w:spacing w:after="120" w:before="0"/>
      </w:pPr>
      <w:r>
        <w:rPr>
          <w:rFonts w:ascii="Times New Roman" w:hAnsi="Times New Roman"/>
          <w:b w:val="0"/>
          <w:i w:val="0"/>
          <w:sz w:val="20"/>
        </w:rPr>
        <w:t>Multi-agent systems powered by large language models (LLMs) are increasingly used for complex tasks such as software development, data analysis, and creative content generation. However, current frameworks (AutoGen [1], CrewAI, LangGraph) provide orchestration primitives without principled guidance on cost-optimal coordination strategies. This creates a "management vacuum" where workflow structure is hard-coded rather than optimized.</w:t>
      </w:r>
    </w:p>
    <w:p>
      <w:pPr>
        <w:spacing w:after="120" w:before="0"/>
      </w:pPr>
      <w:r>
        <w:rPr>
          <w:rFonts w:ascii="Times New Roman" w:hAnsi="Times New Roman"/>
          <w:b w:val="0"/>
          <w:i w:val="0"/>
          <w:sz w:val="20"/>
        </w:rPr>
        <w:t>This paper addresses a fundamental question: what drives efficiency in multi-agent workflows? Through formal analysis and cross-model experiments, we demonstrate that efficiency gains decompose into a primary driver (pipeline-based decomposition, ~75%) and a secondary mechanism (context control, ~25%). The key insight is that gains come from restructuring computation, not reducing context.</w:t>
      </w:r>
    </w:p>
    <w:p>
      <w:pPr>
        <w:spacing w:after="120" w:before="0"/>
      </w:pPr>
      <w:r>
        <w:rPr>
          <w:rFonts w:ascii="Times New Roman" w:hAnsi="Times New Roman"/>
          <w:b w:val="0"/>
          <w:i w:val="0"/>
          <w:sz w:val="20"/>
        </w:rPr>
        <w:t>Our contributions are:</w:t>
      </w:r>
    </w:p>
    <w:p>
      <w:pPr>
        <w:pStyle w:val="ListBullet"/>
        <w:spacing w:after="40"/>
      </w:pPr>
      <w:r>
        <w:rPr>
          <w:rFonts w:ascii="Times New Roman" w:hAnsi="Times New Roman"/>
          <w:sz w:val="20"/>
        </w:rPr>
        <w:t>Formal identification of the Context Accumulation Effect (CAE) as an architecture-induced cost trap</w:t>
      </w:r>
    </w:p>
    <w:p>
      <w:pPr>
        <w:pStyle w:val="ListBullet"/>
        <w:spacing w:after="40"/>
      </w:pPr>
      <w:r>
        <w:rPr>
          <w:rFonts w:ascii="Times New Roman" w:hAnsi="Times New Roman"/>
          <w:sz w:val="20"/>
        </w:rPr>
        <w:t>Empirical mechanism decomposition: CDE contributes ~75%, Context Controller ~25% of efficiency gains</w:t>
      </w:r>
    </w:p>
    <w:p>
      <w:pPr>
        <w:pStyle w:val="ListBullet"/>
        <w:spacing w:after="40"/>
      </w:pPr>
      <w:r>
        <w:rPr>
          <w:rFonts w:ascii="Times New Roman" w:hAnsi="Times New Roman"/>
          <w:sz w:val="20"/>
        </w:rPr>
        <w:t>OIMAC: a complete multi-agent coordination algorithm reducing cost from Omega(n^2) to O(k)</w:t>
      </w:r>
    </w:p>
    <w:p>
      <w:pPr>
        <w:pStyle w:val="ListBullet"/>
        <w:spacing w:after="40"/>
      </w:pPr>
      <w:r>
        <w:rPr>
          <w:rFonts w:ascii="Times New Roman" w:hAnsi="Times New Roman"/>
          <w:sz w:val="20"/>
        </w:rPr>
        <w:t>Cross-model validation (DeepSeek + MiMo) demonstrating model-agnostic mechanism contributions</w:t>
      </w:r>
    </w:p>
    <w:p>
      <w:pPr>
        <w:pStyle w:val="Heading1"/>
      </w:pPr>
      <w:r>
        <w:t>2. Related Work</w:t>
      </w:r>
    </w:p>
    <w:p>
      <w:pPr>
        <w:spacing w:after="120" w:before="0"/>
      </w:pPr>
      <w:r>
        <w:rPr>
          <w:rFonts w:ascii="Times New Roman" w:hAnsi="Times New Roman"/>
          <w:b w:val="0"/>
          <w:i w:val="0"/>
          <w:sz w:val="20"/>
        </w:rPr>
        <w:t>Multi-agent coordination frameworks such as AutoGen [1], CrewAI, and LangGraph provide flexible orchestration primitives but lack cost optimization. AutoGen offers conversation-based coordination without cost models. CrewAI provides role-based orchestration with static role definitions. LangGraph enables graph-based workflows without algorithmic optimization. None of these frameworks address the fundamental question of when to use which coordination strategy.</w:t>
      </w:r>
    </w:p>
    <w:p>
      <w:pPr>
        <w:spacing w:after="120" w:before="0"/>
      </w:pPr>
      <w:r>
        <w:rPr>
          <w:rFonts w:ascii="Times New Roman" w:hAnsi="Times New Roman"/>
          <w:b w:val="0"/>
          <w:i w:val="0"/>
          <w:sz w:val="20"/>
        </w:rPr>
        <w:t>Management theory offers a rich foundation for organizational design. Weber's bureaucracy [2] establishes hierarchy and specialization. Fayol's principles [3] define span of control and unity of command. Situational leadership [4] adapts style to follower readiness. Mintzberg's configuration theory [5] relates structure to context. AOM bridges these theories to multi-agent system design, identifying where classical assumptions hold and where they require repair.</w:t>
      </w:r>
    </w:p>
    <w:p>
      <w:pPr>
        <w:pStyle w:val="Heading1"/>
      </w:pPr>
      <w:r>
        <w:t>3. Mechanism Layer</w:t>
      </w:r>
    </w:p>
    <w:p>
      <w:pPr>
        <w:pStyle w:val="Heading2"/>
      </w:pPr>
      <w:r>
        <w:t>3.1 Context Accumulation Effect (CAE)</w:t>
      </w:r>
    </w:p>
    <w:p>
      <w:pPr>
        <w:spacing w:after="120" w:before="0"/>
      </w:pPr>
      <w:r>
        <w:rPr>
          <w:rFonts w:ascii="Times New Roman" w:hAnsi="Times New Roman"/>
          <w:b w:val="0"/>
          <w:i w:val="0"/>
          <w:sz w:val="20"/>
        </w:rPr>
        <w:t>Definition. In any LLM iterative self-improvement workflow, if (a) each round passes the full prior output as input context, and (b) output length does not strictly decrease, then cumulative token cost grows as Omega(n^2). The causal chain: iteration n produces output C(n) → iteration n+1 embeds C(n) as input → cumulative cost ≥ n·C(0) + n(n-1)Δ/2.</w:t>
      </w:r>
    </w:p>
    <w:p>
      <w:pPr>
        <w:spacing w:after="120" w:before="0"/>
      </w:pPr>
      <w:r>
        <w:rPr>
          <w:rFonts w:ascii="Times New Roman" w:hAnsi="Times New Roman"/>
          <w:b w:val="0"/>
          <w:i w:val="0"/>
          <w:sz w:val="20"/>
        </w:rPr>
        <w:t>CAE does not hold when: (1) context compression is applied; (2) truncation strategies are used; (3) output length strictly decreases; or (4) pipeline architecture with local dependencies is used. CAE is architecture-induced — it arises from workflow structure, not from LLM properties.</w:t>
      </w:r>
    </w:p>
    <w:p>
      <w:pPr>
        <w:pStyle w:val="Heading2"/>
      </w:pPr>
      <w:r>
        <w:t>3.2 Context Decomposition Efficiency (CDE)</w:t>
      </w:r>
    </w:p>
    <w:p>
      <w:pPr>
        <w:spacing w:after="120" w:before="0"/>
      </w:pPr>
      <w:r>
        <w:rPr>
          <w:rFonts w:ascii="Times New Roman" w:hAnsi="Times New Roman"/>
          <w:b w:val="0"/>
          <w:i w:val="0"/>
          <w:sz w:val="20"/>
        </w:rPr>
        <w:t>Definition. Organizational pipelines decompose tasks into roles with local dependencies, restricting each agent to receive only directly relevant context. This structurally avoids CAE precondition A1 (global context reuse), reducing cost from Omega(n^2) to O(k).</w:t>
      </w:r>
    </w:p>
    <w:p>
      <w:pPr>
        <w:spacing w:after="120" w:before="0"/>
      </w:pPr>
      <w:r>
        <w:rPr>
          <w:rFonts w:ascii="Times New Roman" w:hAnsi="Times New Roman"/>
          <w:b w:val="0"/>
          <w:i w:val="0"/>
          <w:sz w:val="20"/>
        </w:rPr>
        <w:t>CDE operates through two structural elements: (1) dependency graph localization — each agent receives only direct predecessors' outputs; (2) parallel isolation — agents at the same pipeline level do not receive each other's output. CDE is the primary driver of efficiency gains.</w:t>
      </w:r>
    </w:p>
    <w:p>
      <w:pPr>
        <w:pStyle w:val="Heading2"/>
      </w:pPr>
      <w:r>
        <w:t>3.3 Trade-off Mechanisms</w:t>
      </w:r>
    </w:p>
    <w:p>
      <w:pPr>
        <w:spacing w:after="120" w:before="0"/>
      </w:pPr>
      <w:r>
        <w:rPr>
          <w:rFonts w:ascii="Times New Roman" w:hAnsi="Times New Roman"/>
          <w:b w:val="0"/>
          <w:i w:val="0"/>
          <w:sz w:val="20"/>
        </w:rPr>
        <w:t>Interface Reconciliation Cost (IRC): When multiple agents' outputs must be integrated, fixing interface inconsistencies incurs cost. This is the organizational overhead of decomposition.</w:t>
      </w:r>
    </w:p>
    <w:p>
      <w:pPr>
        <w:spacing w:after="120" w:before="0"/>
      </w:pPr>
      <w:r>
        <w:rPr>
          <w:rFonts w:ascii="Times New Roman" w:hAnsi="Times New Roman"/>
          <w:b w:val="0"/>
          <w:i w:val="0"/>
          <w:sz w:val="20"/>
        </w:rPr>
        <w:t>Coordination Overhead Scaling (COS): As agents increase, coordination cost grows as O(k) to O(k^2). An optimal team size k* exists beyond which coordination exceeds decomposition savings.</w:t>
      </w:r>
    </w:p>
    <w:p>
      <w:pPr>
        <w:spacing w:after="120" w:before="0"/>
      </w:pPr>
      <w:r>
        <w:rPr>
          <w:rFonts w:ascii="Times New Roman" w:hAnsi="Times New Roman"/>
          <w:b w:val="0"/>
          <w:i w:val="0"/>
          <w:sz w:val="20"/>
        </w:rPr>
        <w:t>Autonomy-Verbosity Trade-off (AVT): High-autonomy instructions elicit more verbose output, offsetting efficiency predictions. This effect is model-dependent.</w:t>
      </w:r>
    </w:p>
    <w:p>
      <w:pPr>
        <w:pStyle w:val="Heading2"/>
      </w:pPr>
      <w:r>
        <w:t>3.4 Mechanism Hierarchy</w:t>
      </w:r>
    </w:p>
    <w:p>
      <w:pPr>
        <w:spacing w:after="120" w:before="0"/>
      </w:pPr>
      <w:r>
        <w:rPr>
          <w:rFonts w:ascii="Times New Roman" w:hAnsi="Times New Roman"/>
          <w:b w:val="0"/>
          <w:i w:val="0"/>
          <w:sz w:val="20"/>
        </w:rPr>
        <w:t>The five mechanisms form a clear hierarchy: CAE is the problem source; CDE is the primary solution; IRC and COS are organizational trade-offs; AVT is a cross-cutting amplifier. Core assertion: efficiency gains come primarily from restructuring computation rather than reducing context.</w:t>
      </w:r>
    </w:p>
    <w:p>
      <w:pPr>
        <w:pStyle w:val="Heading1"/>
      </w:pPr>
      <w:r>
        <w:t>4. Cost Model</w:t>
      </w:r>
    </w:p>
    <w:p>
      <w:pPr>
        <w:spacing w:after="120" w:before="0"/>
      </w:pPr>
      <w:r>
        <w:rPr>
          <w:rFonts w:ascii="Times New Roman" w:hAnsi="Times New Roman"/>
          <w:b w:val="0"/>
          <w:i w:val="0"/>
          <w:sz w:val="20"/>
        </w:rPr>
        <w:t>The total cost of a workflow with k agents is:</w:t>
      </w:r>
    </w:p>
    <w:p>
      <w:pPr>
        <w:spacing w:after="120" w:before="0"/>
      </w:pPr>
      <w:r>
        <w:rPr>
          <w:rFonts w:ascii="Times New Roman" w:hAnsi="Times New Roman"/>
          <w:b/>
          <w:i w:val="0"/>
          <w:sz w:val="20"/>
        </w:rPr>
        <w:t>TotalCost(k) = ComputationCost(k) + CoordinationCost(k) + CommunicationCost(k)</w:t>
      </w:r>
    </w:p>
    <w:p>
      <w:pPr>
        <w:spacing w:after="120" w:before="0"/>
      </w:pPr>
      <w:r>
        <w:rPr>
          <w:rFonts w:ascii="Times New Roman" w:hAnsi="Times New Roman"/>
          <w:b w:val="0"/>
          <w:i w:val="0"/>
          <w:sz w:val="20"/>
        </w:rPr>
        <w:t>Under CAE (iterative): ComputationCost = Omega(n^2). Under CDE (organizational): ComputationCost = O(k·L) where L is the per-role context bound. CoordinationCost = γ₀ + γ₁k + γ₂·DependencyGraph(k). CommunicationCost includes interface reconciliation (IRC).</w:t>
      </w:r>
    </w:p>
    <w:p>
      <w:pPr>
        <w:spacing w:after="120" w:before="0"/>
      </w:pPr>
      <w:r>
        <w:rPr>
          <w:rFonts w:ascii="Times New Roman" w:hAnsi="Times New Roman"/>
          <w:b w:val="0"/>
          <w:i w:val="0"/>
          <w:sz w:val="20"/>
        </w:rPr>
        <w:t>The optimal team size k* satisfies: marginal CDE savings = marginal coordination overhead. Empirically, k* = 6 for software development tasks [6].</w:t>
      </w:r>
    </w:p>
    <w:p>
      <w:pPr>
        <w:pStyle w:val="Heading1"/>
      </w:pPr>
      <w:r>
        <w:t>5. OIMAC Algorithm</w:t>
      </w:r>
    </w:p>
    <w:p>
      <w:pPr>
        <w:spacing w:after="120" w:before="0"/>
      </w:pPr>
      <w:r>
        <w:rPr>
          <w:rFonts w:ascii="Times New Roman" w:hAnsi="Times New Roman"/>
          <w:b w:val="0"/>
          <w:i w:val="0"/>
          <w:sz w:val="20"/>
        </w:rPr>
        <w:t>OIMAC (Organization-Inspired Multi-Agent Coordination) transforms theoretical mechanisms into an executable protocol. Its primary effect comes from restructuring computation — decomposition into bounded local contexts — rather than filtering context.</w:t>
      </w:r>
    </w:p>
    <w:p>
      <w:pPr>
        <w:spacing w:after="120" w:before="0"/>
      </w:pPr>
      <w:r>
        <w:rPr>
          <w:rFonts w:ascii="Times New Roman" w:hAnsi="Times New Roman"/>
          <w:b w:val="0"/>
          <w:i w:val="0"/>
          <w:sz w:val="20"/>
        </w:rPr>
        <w:t>The algorithm proceeds through seven phases:</w:t>
      </w:r>
    </w:p>
    <w:p>
      <w:pPr>
        <w:pStyle w:val="ListBullet"/>
        <w:spacing w:after="40"/>
      </w:pPr>
      <w:r>
        <w:rPr>
          <w:rFonts w:ascii="Times New Roman" w:hAnsi="Times New Roman"/>
          <w:sz w:val="20"/>
        </w:rPr>
        <w:t>Phase 0: Initialize with thresholds (θ_split=8000, θ_centralize=3, θ_verbosity=1.05)</w:t>
      </w:r>
    </w:p>
    <w:p>
      <w:pPr>
        <w:pStyle w:val="ListBullet"/>
        <w:spacing w:after="40"/>
      </w:pPr>
      <w:r>
        <w:rPr>
          <w:rFonts w:ascii="Times New Roman" w:hAnsi="Times New Roman"/>
          <w:sz w:val="20"/>
        </w:rPr>
        <w:t>Phase 1: Estimate task complexity via LLM call (0–1 scale)</w:t>
      </w:r>
    </w:p>
    <w:p>
      <w:pPr>
        <w:pStyle w:val="ListBullet"/>
        <w:spacing w:after="40"/>
      </w:pPr>
      <w:r>
        <w:rPr>
          <w:rFonts w:ascii="Times New Roman" w:hAnsi="Times New Roman"/>
          <w:sz w:val="20"/>
        </w:rPr>
        <w:t>Phase 2: Determine team size k from complexity mapping</w:t>
      </w:r>
    </w:p>
    <w:p>
      <w:pPr>
        <w:pStyle w:val="ListBullet"/>
        <w:spacing w:after="40"/>
      </w:pPr>
      <w:r>
        <w:rPr>
          <w:rFonts w:ascii="Times New Roman" w:hAnsi="Times New Roman"/>
          <w:sz w:val="20"/>
        </w:rPr>
        <w:t>Phase 3: Decompose task into k roles with dependency graph and interface pairs</w:t>
      </w:r>
    </w:p>
    <w:p>
      <w:pPr>
        <w:pStyle w:val="ListBullet"/>
        <w:spacing w:after="40"/>
      </w:pPr>
      <w:r>
        <w:rPr>
          <w:rFonts w:ascii="Times New Roman" w:hAnsi="Times New Roman"/>
          <w:sz w:val="20"/>
        </w:rPr>
        <w:t>Phase 4: Assign instruction styles by role type (analytical → S3, generative → S2)</w:t>
      </w:r>
    </w:p>
    <w:p>
      <w:pPr>
        <w:pStyle w:val="ListBullet"/>
        <w:spacing w:after="40"/>
      </w:pPr>
      <w:r>
        <w:rPr>
          <w:rFonts w:ascii="Times New Roman" w:hAnsi="Times New Roman"/>
          <w:sz w:val="20"/>
        </w:rPr>
        <w:t>Phase 5: Execute in topological order with SPLIT/MERGE monitoring</w:t>
      </w:r>
    </w:p>
    <w:p>
      <w:pPr>
        <w:pStyle w:val="ListBullet"/>
        <w:spacing w:after="40"/>
      </w:pPr>
      <w:r>
        <w:rPr>
          <w:rFonts w:ascii="Times New Roman" w:hAnsi="Times New Roman"/>
          <w:sz w:val="20"/>
        </w:rPr>
        <w:t>Phase 6: Reconcile interface inconsistencies and integrate final output</w:t>
      </w:r>
    </w:p>
    <w:p>
      <w:pPr>
        <w:spacing w:after="120" w:before="0"/>
      </w:pPr>
      <w:r>
        <w:rPr>
          <w:rFonts w:ascii="Times New Roman" w:hAnsi="Times New Roman"/>
          <w:b w:val="0"/>
          <w:i w:val="0"/>
          <w:sz w:val="20"/>
        </w:rPr>
        <w:t>Complexity: O(k · C_LLM(θ_split)) where θ_split is constant, hence O(k). This compares favorably to the iterative baseline Omega(n^2).</w:t>
      </w:r>
    </w:p>
    <w:p>
      <w:pPr>
        <w:pStyle w:val="Heading1"/>
      </w:pPr>
      <w:r>
        <w:t>6. System Architecture</w:t>
      </w:r>
    </w:p>
    <w:p>
      <w:pPr>
        <w:spacing w:after="120" w:before="0"/>
      </w:pPr>
      <w:r>
        <w:rPr>
          <w:rFonts w:ascii="Times New Roman" w:hAnsi="Times New Roman"/>
          <w:b w:val="0"/>
          <w:i w:val="0"/>
          <w:sz w:val="20"/>
        </w:rPr>
        <w:t>The OIMAC system comprises nine modules: Task Analyzer, Organization Designer, Role Manager, Context Controller, Execution Engine, Communication Manager, Coordination Manager, Reconciliation Engine, and Cost Monitor.</w:t>
      </w:r>
    </w:p>
    <w:p>
      <w:pPr>
        <w:pStyle w:val="Heading2"/>
      </w:pPr>
      <w:r>
        <w:t>6.1 CAE Avoidance Mechanism</w:t>
      </w:r>
    </w:p>
    <w:p>
      <w:pPr>
        <w:spacing w:after="120" w:before="0"/>
      </w:pPr>
      <w:r>
        <w:rPr>
          <w:rFonts w:ascii="Times New Roman" w:hAnsi="Times New Roman"/>
          <w:b w:val="0"/>
          <w:i w:val="0"/>
          <w:sz w:val="20"/>
        </w:rPr>
        <w:t>CAE avoidance operates at two levels. The primary mechanism is structural avoidance (CDE): pipeline architecture ensures each role receives only direct dependency outputs, not global history. The secondary mechanism is local optimization (Context Controller): three rules (partial passing, size limit, interface filter) further bound residual redundancy.</w:t>
      </w:r>
    </w:p>
    <w:p>
      <w:pPr>
        <w:spacing w:after="120" w:before="0"/>
      </w:pPr>
      <w:r>
        <w:rPr>
          <w:rFonts w:ascii="Times New Roman" w:hAnsi="Times New Roman"/>
          <w:b w:val="0"/>
          <w:i w:val="0"/>
          <w:sz w:val="20"/>
        </w:rPr>
        <w:t>Formal guarantee: for any role i, ctx(i) ≤ max(θ_split, |interface(predecessors→i)|). This bounded property first stems from pipeline structure; Context Controller tightens it further.</w:t>
      </w:r>
    </w:p>
    <w:p>
      <w:pPr>
        <w:pStyle w:val="Heading1"/>
      </w:pPr>
      <w:r>
        <w:t>7. Experiments</w:t>
      </w:r>
    </w:p>
    <w:p>
      <w:pPr>
        <w:pStyle w:val="Heading2"/>
      </w:pPr>
      <w:r>
        <w:t>7.1 Tasks</w:t>
      </w:r>
    </w:p>
    <w:p>
      <w:pPr>
        <w:spacing w:after="120" w:before="0"/>
      </w:pPr>
      <w:r>
        <w:rPr>
          <w:rFonts w:ascii="Times New Roman" w:hAnsi="Times New Roman"/>
          <w:b w:val="0"/>
          <w:i w:val="0"/>
          <w:sz w:val="20"/>
        </w:rPr>
        <w:t>We evaluate on two structurally distinct tasks: (1) Snake Game — code-heavy, single-chain, low interface coupling; (2) Perler Bead Pattern Generator — vision+layout, multi-interface, high coupling (ImageData, color palettes, grid dimensions must be consistent).</w:t>
      </w:r>
    </w:p>
    <w:p>
      <w:pPr>
        <w:pStyle w:val="Heading2"/>
      </w:pPr>
      <w:r>
        <w:t>7.2 Conditions</w:t>
      </w:r>
    </w:p>
    <w:p>
      <w:pPr>
        <w:spacing w:after="120" w:before="0"/>
      </w:pPr>
      <w:r>
        <w:rPr>
          <w:rFonts w:ascii="Times New Roman" w:hAnsi="Times New Roman"/>
          <w:b w:val="0"/>
          <w:i w:val="0"/>
          <w:sz w:val="20"/>
        </w:rPr>
        <w:t>Four conditions with identical prompts and parameters (temperature=0.3, 7 API calls): A = single agent; B = iterative (7 rounds, full context); C = OIMAC + Context Controller; D = OIMAC − Context Controller (ablation).</w:t>
      </w:r>
    </w:p>
    <w:p>
      <w:pPr>
        <w:pStyle w:val="Heading2"/>
      </w:pPr>
      <w:r>
        <w:t>7.3 Results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rFonts w:ascii="Times New Roman" w:hAnsi="Times New Roman"/>
                <w:b/>
                <w:sz w:val="16"/>
              </w:rPr>
              <w:t>Cond.</w:t>
            </w:r>
          </w:p>
        </w:tc>
        <w:tc>
          <w:tcPr>
            <w:tcW w:type="dxa" w:w="1872"/>
          </w:tcPr>
          <w:p>
            <w:r>
              <w:rPr>
                <w:rFonts w:ascii="Times New Roman" w:hAnsi="Times New Roman"/>
                <w:b/>
                <w:sz w:val="16"/>
              </w:rPr>
              <w:t>Description</w:t>
            </w:r>
          </w:p>
        </w:tc>
        <w:tc>
          <w:tcPr>
            <w:tcW w:type="dxa" w:w="1872"/>
          </w:tcPr>
          <w:p>
            <w:r>
              <w:rPr>
                <w:rFonts w:ascii="Times New Roman" w:hAnsi="Times New Roman"/>
                <w:b/>
                <w:sz w:val="16"/>
              </w:rPr>
              <w:t>DeepSeek</w:t>
            </w:r>
          </w:p>
        </w:tc>
        <w:tc>
          <w:tcPr>
            <w:tcW w:type="dxa" w:w="1872"/>
          </w:tcPr>
          <w:p>
            <w:r>
              <w:rPr>
                <w:rFonts w:ascii="Times New Roman" w:hAnsi="Times New Roman"/>
                <w:b/>
                <w:sz w:val="16"/>
              </w:rPr>
              <w:t>MiMo</w:t>
            </w:r>
          </w:p>
        </w:tc>
        <w:tc>
          <w:tcPr>
            <w:tcW w:type="dxa" w:w="1872"/>
          </w:tcPr>
          <w:p>
            <w:r>
              <w:rPr>
                <w:rFonts w:ascii="Times New Roman" w:hAnsi="Times New Roman"/>
                <w:b/>
                <w:sz w:val="16"/>
              </w:rPr>
              <w:t>Mean</w:t>
            </w:r>
          </w:p>
        </w:tc>
      </w:tr>
      <w:tr>
        <w:tc>
          <w:tcPr>
            <w:tcW w:type="dxa" w:w="1872"/>
          </w:tcPr>
          <w:p>
            <w:r>
              <w:rPr>
                <w:rFonts w:ascii="Times New Roman" w:hAnsi="Times New Roman"/>
                <w:sz w:val="16"/>
              </w:rPr>
              <w:t>A</w:t>
            </w:r>
          </w:p>
        </w:tc>
        <w:tc>
          <w:tcPr>
            <w:tcW w:type="dxa" w:w="1872"/>
          </w:tcPr>
          <w:p>
            <w:r>
              <w:rPr>
                <w:rFonts w:ascii="Times New Roman" w:hAnsi="Times New Roman"/>
                <w:sz w:val="16"/>
              </w:rPr>
              <w:t>Single Agent</w:t>
            </w:r>
          </w:p>
        </w:tc>
        <w:tc>
          <w:tcPr>
            <w:tcW w:type="dxa" w:w="1872"/>
          </w:tcPr>
          <w:p>
            <w:r>
              <w:rPr>
                <w:rFonts w:ascii="Times New Roman" w:hAnsi="Times New Roman"/>
                <w:sz w:val="16"/>
              </w:rPr>
              <w:t>6,587</w:t>
            </w:r>
          </w:p>
        </w:tc>
        <w:tc>
          <w:tcPr>
            <w:tcW w:type="dxa" w:w="1872"/>
          </w:tcPr>
          <w:p>
            <w:r>
              <w:rPr>
                <w:rFonts w:ascii="Times New Roman" w:hAnsi="Times New Roman"/>
                <w:sz w:val="16"/>
              </w:rPr>
              <w:t>8,251</w:t>
            </w:r>
          </w:p>
        </w:tc>
        <w:tc>
          <w:tcPr>
            <w:tcW w:type="dxa" w:w="1872"/>
          </w:tcPr>
          <w:p>
            <w:r>
              <w:rPr>
                <w:rFonts w:ascii="Times New Roman" w:hAnsi="Times New Roman"/>
                <w:sz w:val="16"/>
              </w:rPr>
              <w:t>7,419</w:t>
            </w:r>
          </w:p>
        </w:tc>
      </w:tr>
      <w:tr>
        <w:tc>
          <w:tcPr>
            <w:tcW w:type="dxa" w:w="1872"/>
          </w:tcPr>
          <w:p>
            <w:r>
              <w:rPr>
                <w:rFonts w:ascii="Times New Roman" w:hAnsi="Times New Roman"/>
                <w:sz w:val="16"/>
              </w:rPr>
              <w:t>B</w:t>
            </w:r>
          </w:p>
        </w:tc>
        <w:tc>
          <w:tcPr>
            <w:tcW w:type="dxa" w:w="1872"/>
          </w:tcPr>
          <w:p>
            <w:r>
              <w:rPr>
                <w:rFonts w:ascii="Times New Roman" w:hAnsi="Times New Roman"/>
                <w:sz w:val="16"/>
              </w:rPr>
              <w:t>Iterative</w:t>
            </w:r>
          </w:p>
        </w:tc>
        <w:tc>
          <w:tcPr>
            <w:tcW w:type="dxa" w:w="1872"/>
          </w:tcPr>
          <w:p>
            <w:r>
              <w:rPr>
                <w:rFonts w:ascii="Times New Roman" w:hAnsi="Times New Roman"/>
                <w:sz w:val="16"/>
              </w:rPr>
              <w:t>88,494</w:t>
            </w:r>
          </w:p>
        </w:tc>
        <w:tc>
          <w:tcPr>
            <w:tcW w:type="dxa" w:w="1872"/>
          </w:tcPr>
          <w:p>
            <w:r>
              <w:rPr>
                <w:rFonts w:ascii="Times New Roman" w:hAnsi="Times New Roman"/>
                <w:sz w:val="16"/>
              </w:rPr>
              <w:t>102,105</w:t>
            </w:r>
          </w:p>
        </w:tc>
        <w:tc>
          <w:tcPr>
            <w:tcW w:type="dxa" w:w="1872"/>
          </w:tcPr>
          <w:p>
            <w:r>
              <w:rPr>
                <w:rFonts w:ascii="Times New Roman" w:hAnsi="Times New Roman"/>
                <w:sz w:val="16"/>
              </w:rPr>
              <w:t>95,300</w:t>
            </w:r>
          </w:p>
        </w:tc>
      </w:tr>
      <w:tr>
        <w:tc>
          <w:tcPr>
            <w:tcW w:type="dxa" w:w="1872"/>
          </w:tcPr>
          <w:p>
            <w:r>
              <w:rPr>
                <w:rFonts w:ascii="Times New Roman" w:hAnsi="Times New Roman"/>
                <w:sz w:val="16"/>
              </w:rPr>
              <w:t>C</w:t>
            </w:r>
          </w:p>
        </w:tc>
        <w:tc>
          <w:tcPr>
            <w:tcW w:type="dxa" w:w="1872"/>
          </w:tcPr>
          <w:p>
            <w:r>
              <w:rPr>
                <w:rFonts w:ascii="Times New Roman" w:hAnsi="Times New Roman"/>
                <w:sz w:val="16"/>
              </w:rPr>
              <w:t>OIMAC+CC</w:t>
            </w:r>
          </w:p>
        </w:tc>
        <w:tc>
          <w:tcPr>
            <w:tcW w:type="dxa" w:w="1872"/>
          </w:tcPr>
          <w:p>
            <w:r>
              <w:rPr>
                <w:rFonts w:ascii="Times New Roman" w:hAnsi="Times New Roman"/>
                <w:sz w:val="16"/>
              </w:rPr>
              <w:t>43,321</w:t>
            </w:r>
          </w:p>
        </w:tc>
        <w:tc>
          <w:tcPr>
            <w:tcW w:type="dxa" w:w="1872"/>
          </w:tcPr>
          <w:p>
            <w:r>
              <w:rPr>
                <w:rFonts w:ascii="Times New Roman" w:hAnsi="Times New Roman"/>
                <w:sz w:val="16"/>
              </w:rPr>
              <w:t>49,285</w:t>
            </w:r>
          </w:p>
        </w:tc>
        <w:tc>
          <w:tcPr>
            <w:tcW w:type="dxa" w:w="1872"/>
          </w:tcPr>
          <w:p>
            <w:r>
              <w:rPr>
                <w:rFonts w:ascii="Times New Roman" w:hAnsi="Times New Roman"/>
                <w:sz w:val="16"/>
              </w:rPr>
              <w:t>46,303</w:t>
            </w:r>
          </w:p>
        </w:tc>
      </w:tr>
      <w:tr>
        <w:tc>
          <w:tcPr>
            <w:tcW w:type="dxa" w:w="1872"/>
          </w:tcPr>
          <w:p>
            <w:r>
              <w:rPr>
                <w:rFonts w:ascii="Times New Roman" w:hAnsi="Times New Roman"/>
                <w:sz w:val="16"/>
              </w:rPr>
              <w:t>D</w:t>
            </w:r>
          </w:p>
        </w:tc>
        <w:tc>
          <w:tcPr>
            <w:tcW w:type="dxa" w:w="1872"/>
          </w:tcPr>
          <w:p>
            <w:r>
              <w:rPr>
                <w:rFonts w:ascii="Times New Roman" w:hAnsi="Times New Roman"/>
                <w:sz w:val="16"/>
              </w:rPr>
              <w:t>OIMAC−CC</w:t>
            </w:r>
          </w:p>
        </w:tc>
        <w:tc>
          <w:tcPr>
            <w:tcW w:type="dxa" w:w="1872"/>
          </w:tcPr>
          <w:p>
            <w:r>
              <w:rPr>
                <w:rFonts w:ascii="Times New Roman" w:hAnsi="Times New Roman"/>
                <w:sz w:val="16"/>
              </w:rPr>
              <w:t>58,718</w:t>
            </w:r>
          </w:p>
        </w:tc>
        <w:tc>
          <w:tcPr>
            <w:tcW w:type="dxa" w:w="1872"/>
          </w:tcPr>
          <w:p>
            <w:r>
              <w:rPr>
                <w:rFonts w:ascii="Times New Roman" w:hAnsi="Times New Roman"/>
                <w:sz w:val="16"/>
              </w:rPr>
              <w:t>63,050</w:t>
            </w:r>
          </w:p>
        </w:tc>
        <w:tc>
          <w:tcPr>
            <w:tcW w:type="dxa" w:w="1872"/>
          </w:tcPr>
          <w:p>
            <w:r>
              <w:rPr>
                <w:rFonts w:ascii="Times New Roman" w:hAnsi="Times New Roman"/>
                <w:sz w:val="16"/>
              </w:rPr>
              <w:t>60,884</w:t>
            </w:r>
          </w:p>
        </w:tc>
      </w:tr>
      <w:tr>
        <w:tc>
          <w:tcPr>
            <w:tcW w:type="dxa" w:w="1872"/>
          </w:tcPr>
          <w:p>
            <w:r>
              <w:rPr>
                <w:rFonts w:ascii="Times New Roman" w:hAnsi="Times New Roman"/>
                <w:b/>
                <w:sz w:val="16"/>
              </w:rPr>
            </w:r>
          </w:p>
        </w:tc>
        <w:tc>
          <w:tcPr>
            <w:tcW w:type="dxa" w:w="1872"/>
          </w:tcPr>
          <w:p>
            <w:r>
              <w:rPr>
                <w:rFonts w:ascii="Times New Roman" w:hAnsi="Times New Roman"/>
                <w:b/>
                <w:sz w:val="16"/>
              </w:rPr>
              <w:t>C/B=0.49</w:t>
            </w:r>
          </w:p>
        </w:tc>
        <w:tc>
          <w:tcPr>
            <w:tcW w:type="dxa" w:w="1872"/>
          </w:tcPr>
          <w:p>
            <w:r>
              <w:rPr>
                <w:rFonts w:ascii="Times New Roman" w:hAnsi="Times New Roman"/>
                <w:b/>
                <w:sz w:val="16"/>
              </w:rPr>
              <w:t>D/C=1.36</w:t>
            </w:r>
          </w:p>
        </w:tc>
        <w:tc>
          <w:tcPr>
            <w:tcW w:type="dxa" w:w="1872"/>
          </w:tcPr>
          <w:p>
            <w:r>
              <w:rPr>
                <w:rFonts w:ascii="Times New Roman" w:hAnsi="Times New Roman"/>
                <w:b/>
                <w:sz w:val="16"/>
              </w:rPr>
              <w:t>D/C=1.28</w:t>
            </w:r>
          </w:p>
        </w:tc>
        <w:tc>
          <w:tcPr>
            <w:tcW w:type="dxa" w:w="1872"/>
          </w:tcPr>
          <w:p>
            <w:r>
              <w:rPr>
                <w:rFonts w:ascii="Times New Roman" w:hAnsi="Times New Roman"/>
                <w:b/>
                <w:sz w:val="16"/>
              </w:rPr>
              <w:t>D/C=1.32</w:t>
            </w:r>
          </w:p>
        </w:tc>
      </w:tr>
    </w:tbl>
    <w:p>
      <w:pPr>
        <w:spacing w:after="160" w:before="0"/>
      </w:pPr>
      <w:r>
        <w:rPr>
          <w:rFonts w:ascii="Times New Roman" w:hAnsi="Times New Roman"/>
          <w:b w:val="0"/>
          <w:i/>
          <w:sz w:val="16"/>
        </w:rPr>
        <w:t>Table 1. Cross-model experimental results (tokens). C/B = OIMAC effect; D/C = Context Controller effect.</w:t>
      </w:r>
    </w:p>
    <w:p>
      <w:pPr>
        <w:pStyle w:val="Heading2"/>
      </w:pPr>
      <w:r>
        <w:t>7.4 Mechanism Decomposition</w:t>
      </w:r>
    </w:p>
    <w:p>
      <w:pPr>
        <w:spacing w:after="120" w:before="0"/>
      </w:pPr>
      <w:r>
        <w:rPr>
          <w:rFonts w:ascii="Times New Roman" w:hAnsi="Times New Roman"/>
          <w:b w:val="0"/>
          <w:i w:val="0"/>
          <w:sz w:val="20"/>
        </w:rPr>
        <w:t>We decompose efficiency gain into primary and secondary components: Total Gain = Decomposition Gain + Control Gain, where Decomposition Gain = Token(B) − Token(D), Control Gain = Token(D) − Token(C).</w:t>
      </w:r>
    </w:p>
    <w:p>
      <w:pPr>
        <w:spacing w:after="120" w:before="0"/>
      </w:pPr>
      <w:r>
        <w:rPr>
          <w:rFonts w:ascii="Times New Roman" w:hAnsi="Times New Roman"/>
          <w:b w:val="0"/>
          <w:i w:val="0"/>
          <w:sz w:val="20"/>
        </w:rPr>
        <w:t>Across both models, CDE contributes 72–76% (mean ~75%) and Context Controller contributes 24–28% (mean ~25%). CDE consistently contributes approximately three times the efficiency gain of Context Controller.</w:t>
      </w:r>
    </w:p>
    <w:p>
      <w:pPr>
        <w:pStyle w:val="Heading2"/>
      </w:pPr>
      <w:r>
        <w:t>7.5 CAE Validation</w:t>
      </w:r>
    </w:p>
    <w:p>
      <w:pPr>
        <w:spacing w:after="120" w:before="0"/>
      </w:pPr>
      <w:r>
        <w:rPr>
          <w:rFonts w:ascii="Times New Roman" w:hAnsi="Times New Roman"/>
          <w:b w:val="0"/>
          <w:i w:val="0"/>
          <w:sz w:val="20"/>
        </w:rPr>
        <w:t>CAE is validated through context growth analysis. Condition B (iterative) shows monotonic context growth: 372 → 144,089 (DeepSeek) and 372 → 180,297 (MiMo). Condition D (organizational, no CC) shows bounded growth: 352 → 35,160 (MiMo). CAE is architecture-induced, not model-specific.</w:t>
      </w:r>
    </w:p>
    <w:p>
      <w:pPr>
        <w:pStyle w:val="Heading2"/>
      </w:pPr>
      <w:r>
        <w:t>7.6 Cross-Model Robustness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rFonts w:ascii="Times New Roman" w:hAnsi="Times New Roman"/>
                <w:b/>
                <w:sz w:val="16"/>
              </w:rPr>
              <w:t>Metric</w:t>
            </w:r>
          </w:p>
        </w:tc>
        <w:tc>
          <w:tcPr>
            <w:tcW w:type="dxa" w:w="2340"/>
          </w:tcPr>
          <w:p>
            <w:r>
              <w:rPr>
                <w:rFonts w:ascii="Times New Roman" w:hAnsi="Times New Roman"/>
                <w:b/>
                <w:sz w:val="16"/>
              </w:rPr>
              <w:t>DeepSeek</w:t>
            </w:r>
          </w:p>
        </w:tc>
        <w:tc>
          <w:tcPr>
            <w:tcW w:type="dxa" w:w="2340"/>
          </w:tcPr>
          <w:p>
            <w:r>
              <w:rPr>
                <w:rFonts w:ascii="Times New Roman" w:hAnsi="Times New Roman"/>
                <w:b/>
                <w:sz w:val="16"/>
              </w:rPr>
              <w:t>MiMo</w:t>
            </w:r>
          </w:p>
        </w:tc>
        <w:tc>
          <w:tcPr>
            <w:tcW w:type="dxa" w:w="2340"/>
          </w:tcPr>
          <w:p>
            <w:r>
              <w:rPr>
                <w:rFonts w:ascii="Times New Roman" w:hAnsi="Times New Roman"/>
                <w:b/>
                <w:sz w:val="16"/>
              </w:rPr>
              <w:t>Status</w:t>
            </w:r>
          </w:p>
        </w:tc>
      </w:tr>
      <w:tr>
        <w:tc>
          <w:tcPr>
            <w:tcW w:type="dxa" w:w="2340"/>
          </w:tcPr>
          <w:p>
            <w:r>
              <w:rPr>
                <w:rFonts w:ascii="Times New Roman" w:hAnsi="Times New Roman"/>
                <w:sz w:val="16"/>
              </w:rPr>
              <w:t>OIMAC (C/B)</w:t>
            </w:r>
          </w:p>
        </w:tc>
        <w:tc>
          <w:tcPr>
            <w:tcW w:type="dxa" w:w="2340"/>
          </w:tcPr>
          <w:p>
            <w:r>
              <w:rPr>
                <w:rFonts w:ascii="Times New Roman" w:hAnsi="Times New Roman"/>
                <w:sz w:val="16"/>
              </w:rPr>
              <w:t>2.04x</w:t>
            </w:r>
          </w:p>
        </w:tc>
        <w:tc>
          <w:tcPr>
            <w:tcW w:type="dxa" w:w="2340"/>
          </w:tcPr>
          <w:p>
            <w:r>
              <w:rPr>
                <w:rFonts w:ascii="Times New Roman" w:hAnsi="Times New Roman"/>
                <w:sz w:val="16"/>
              </w:rPr>
              <w:t>2.07x</w:t>
            </w:r>
          </w:p>
        </w:tc>
        <w:tc>
          <w:tcPr>
            <w:tcW w:type="dxa" w:w="2340"/>
          </w:tcPr>
          <w:p>
            <w:r>
              <w:rPr>
                <w:rFonts w:ascii="Times New Roman" w:hAnsi="Times New Roman"/>
                <w:sz w:val="16"/>
              </w:rPr>
              <w:t>~2x</w:t>
            </w:r>
          </w:p>
        </w:tc>
      </w:tr>
      <w:tr>
        <w:tc>
          <w:tcPr>
            <w:tcW w:type="dxa" w:w="2340"/>
          </w:tcPr>
          <w:p>
            <w:r>
              <w:rPr>
                <w:rFonts w:ascii="Times New Roman" w:hAnsi="Times New Roman"/>
                <w:sz w:val="16"/>
              </w:rPr>
              <w:t>CC (D/C)</w:t>
            </w:r>
          </w:p>
        </w:tc>
        <w:tc>
          <w:tcPr>
            <w:tcW w:type="dxa" w:w="2340"/>
          </w:tcPr>
          <w:p>
            <w:r>
              <w:rPr>
                <w:rFonts w:ascii="Times New Roman" w:hAnsi="Times New Roman"/>
                <w:sz w:val="16"/>
              </w:rPr>
              <w:t>1.36x</w:t>
            </w:r>
          </w:p>
        </w:tc>
        <w:tc>
          <w:tcPr>
            <w:tcW w:type="dxa" w:w="2340"/>
          </w:tcPr>
          <w:p>
            <w:r>
              <w:rPr>
                <w:rFonts w:ascii="Times New Roman" w:hAnsi="Times New Roman"/>
                <w:sz w:val="16"/>
              </w:rPr>
              <w:t>1.28x</w:t>
            </w:r>
          </w:p>
        </w:tc>
        <w:tc>
          <w:tcPr>
            <w:tcW w:type="dxa" w:w="2340"/>
          </w:tcPr>
          <w:p>
            <w:r>
              <w:rPr>
                <w:rFonts w:ascii="Times New Roman" w:hAnsi="Times New Roman"/>
                <w:sz w:val="16"/>
              </w:rPr>
              <w:t>~1.3x</w:t>
            </w:r>
          </w:p>
        </w:tc>
      </w:tr>
      <w:tr>
        <w:tc>
          <w:tcPr>
            <w:tcW w:type="dxa" w:w="2340"/>
          </w:tcPr>
          <w:p>
            <w:r>
              <w:rPr>
                <w:rFonts w:ascii="Times New Roman" w:hAnsi="Times New Roman"/>
                <w:sz w:val="16"/>
              </w:rPr>
              <w:t>Primary</w:t>
            </w:r>
          </w:p>
        </w:tc>
        <w:tc>
          <w:tcPr>
            <w:tcW w:type="dxa" w:w="2340"/>
          </w:tcPr>
          <w:p>
            <w:r>
              <w:rPr>
                <w:rFonts w:ascii="Times New Roman" w:hAnsi="Times New Roman"/>
                <w:sz w:val="16"/>
              </w:rPr>
              <w:t>CDE</w:t>
            </w:r>
          </w:p>
        </w:tc>
        <w:tc>
          <w:tcPr>
            <w:tcW w:type="dxa" w:w="2340"/>
          </w:tcPr>
          <w:p>
            <w:r>
              <w:rPr>
                <w:rFonts w:ascii="Times New Roman" w:hAnsi="Times New Roman"/>
                <w:sz w:val="16"/>
              </w:rPr>
              <w:t>CDE</w:t>
            </w:r>
          </w:p>
        </w:tc>
        <w:tc>
          <w:tcPr>
            <w:tcW w:type="dxa" w:w="2340"/>
          </w:tcPr>
          <w:p>
            <w:r>
              <w:rPr>
                <w:rFonts w:ascii="Times New Roman" w:hAnsi="Times New Roman"/>
                <w:sz w:val="16"/>
              </w:rPr>
              <w:t>Consistent</w:t>
            </w:r>
          </w:p>
        </w:tc>
      </w:tr>
      <w:tr>
        <w:tc>
          <w:tcPr>
            <w:tcW w:type="dxa" w:w="2340"/>
          </w:tcPr>
          <w:p>
            <w:r>
              <w:rPr>
                <w:rFonts w:ascii="Times New Roman" w:hAnsi="Times New Roman"/>
                <w:sz w:val="16"/>
              </w:rPr>
              <w:t>Secondary</w:t>
            </w:r>
          </w:p>
        </w:tc>
        <w:tc>
          <w:tcPr>
            <w:tcW w:type="dxa" w:w="2340"/>
          </w:tcPr>
          <w:p>
            <w:r>
              <w:rPr>
                <w:rFonts w:ascii="Times New Roman" w:hAnsi="Times New Roman"/>
                <w:sz w:val="16"/>
              </w:rPr>
              <w:t>CC</w:t>
            </w:r>
          </w:p>
        </w:tc>
        <w:tc>
          <w:tcPr>
            <w:tcW w:type="dxa" w:w="2340"/>
          </w:tcPr>
          <w:p>
            <w:r>
              <w:rPr>
                <w:rFonts w:ascii="Times New Roman" w:hAnsi="Times New Roman"/>
                <w:sz w:val="16"/>
              </w:rPr>
              <w:t>CC</w:t>
            </w:r>
          </w:p>
        </w:tc>
        <w:tc>
          <w:tcPr>
            <w:tcW w:type="dxa" w:w="2340"/>
          </w:tcPr>
          <w:p>
            <w:r>
              <w:rPr>
                <w:rFonts w:ascii="Times New Roman" w:hAnsi="Times New Roman"/>
                <w:sz w:val="16"/>
              </w:rPr>
              <w:t>Consistent</w:t>
            </w:r>
          </w:p>
        </w:tc>
      </w:tr>
    </w:tbl>
    <w:p>
      <w:pPr>
        <w:spacing w:after="160" w:before="0"/>
      </w:pPr>
      <w:r>
        <w:rPr>
          <w:rFonts w:ascii="Times New Roman" w:hAnsi="Times New Roman"/>
          <w:b w:val="0"/>
          <w:i/>
          <w:sz w:val="16"/>
        </w:rPr>
        <w:t>Table 2. Cross-model mechanism consistency.</w:t>
      </w:r>
    </w:p>
    <w:p>
      <w:pPr>
        <w:pStyle w:val="Heading2"/>
      </w:pPr>
      <w:r>
        <w:t>7.7 IRC Evidence</w:t>
      </w:r>
    </w:p>
    <w:p>
      <w:pPr>
        <w:spacing w:after="120" w:before="0"/>
      </w:pPr>
      <w:r>
        <w:rPr>
          <w:rFonts w:ascii="Times New Roman" w:hAnsi="Times New Roman"/>
          <w:b w:val="0"/>
          <w:i w:val="0"/>
          <w:sz w:val="20"/>
        </w:rPr>
        <w:t>In the Perler bead task (Condition C), the tester identified three interface issues: (1) color palette mismatch (RGB vs hex); (2) grid dimension inconsistency ((rows,cols) vs (width,height)); (3) data format incompatibility (dict vs array). These are structurally invisible to single-agent workflows and represent the empirical signature of IRC. Integration consumed 38% of total tokens.</w:t>
      </w:r>
    </w:p>
    <w:p>
      <w:pPr>
        <w:pStyle w:val="Heading1"/>
      </w:pPr>
      <w:r>
        <w:t>8. Discussion</w:t>
      </w:r>
    </w:p>
    <w:p>
      <w:pPr>
        <w:pStyle w:val="Heading2"/>
      </w:pPr>
      <w:r>
        <w:t>8.1 Management Theory Implications</w:t>
      </w:r>
    </w:p>
    <w:p>
      <w:pPr>
        <w:spacing w:after="120" w:before="0"/>
      </w:pPr>
      <w:r>
        <w:rPr>
          <w:rFonts w:ascii="Times New Roman" w:hAnsi="Times New Roman"/>
          <w:b w:val="0"/>
          <w:i w:val="0"/>
          <w:sz w:val="20"/>
        </w:rPr>
        <w:t>Situational leadership [4]: High-autonomy styles elicit verbose output (AVT), violating the assumption that followers modulate output length. Repair: add verbosity as moderating variable.</w:t>
      </w:r>
    </w:p>
    <w:p>
      <w:pPr>
        <w:spacing w:after="120" w:before="0"/>
      </w:pPr>
      <w:r>
        <w:rPr>
          <w:rFonts w:ascii="Times New Roman" w:hAnsi="Times New Roman"/>
          <w:b w:val="0"/>
          <w:i w:val="0"/>
          <w:sz w:val="20"/>
        </w:rPr>
        <w:t>Weber's bureaucracy [2]: Hierarchy improves efficiency but introduces IRC (interface costs). Repair: model coordination overhead as function of interface complexity.</w:t>
      </w:r>
    </w:p>
    <w:p>
      <w:pPr>
        <w:spacing w:after="120" w:before="0"/>
      </w:pPr>
      <w:r>
        <w:rPr>
          <w:rFonts w:ascii="Times New Roman" w:hAnsi="Times New Roman"/>
          <w:b w:val="0"/>
          <w:i w:val="0"/>
          <w:sz w:val="20"/>
        </w:rPr>
        <w:t>Fayol's principles [3]: Unity of command and division of labor transfer, but "chain of command" fails when agents cannot negotiate interfaces. Repair: structural roles (e.g., tester) compensate.</w:t>
      </w:r>
    </w:p>
    <w:p>
      <w:pPr>
        <w:pStyle w:val="Heading2"/>
      </w:pPr>
      <w:r>
        <w:t>8.2 Theoretical Contribution</w:t>
      </w:r>
    </w:p>
    <w:p>
      <w:pPr>
        <w:spacing w:after="120" w:before="0"/>
      </w:pPr>
      <w:r>
        <w:rPr>
          <w:rFonts w:ascii="Times New Roman" w:hAnsi="Times New Roman"/>
          <w:b w:val="0"/>
          <w:i w:val="0"/>
          <w:sz w:val="20"/>
        </w:rPr>
        <w:t>AOM's contribution is not applying management to AI, but systematically identifying where classical theories break down with non-human agents, identifying domain shifts, and proposing domain-specific repairs. This positions AOM as a systematic testing framework for management theory.</w:t>
      </w:r>
    </w:p>
    <w:p>
      <w:pPr>
        <w:pStyle w:val="Heading1"/>
      </w:pPr>
      <w:r>
        <w:t>9. Conclusion</w:t>
      </w:r>
    </w:p>
    <w:p>
      <w:pPr>
        <w:spacing w:after="120" w:before="0"/>
      </w:pPr>
      <w:r>
        <w:rPr>
          <w:rFonts w:ascii="Times New Roman" w:hAnsi="Times New Roman"/>
          <w:b w:val="0"/>
          <w:i w:val="0"/>
          <w:sz w:val="20"/>
        </w:rPr>
        <w:t>This paper identifies the sources of efficiency in multi-agent workflows through mechanism decomposition. The central finding: efficiency gains come primarily from restructuring computation (CDE, ~75%) rather than reducing context (Context Controller, ~25%). This decomposition is validated across two heterogeneous models and two heterogeneous tasks, confirming it is architecture-induced and model-agnostic.</w:t>
      </w:r>
    </w:p>
    <w:p>
      <w:pPr>
        <w:spacing w:after="120" w:before="0"/>
      </w:pPr>
      <w:r>
        <w:rPr>
          <w:rFonts w:ascii="Times New Roman" w:hAnsi="Times New Roman"/>
          <w:b w:val="0"/>
          <w:i w:val="0"/>
          <w:sz w:val="20"/>
        </w:rPr>
        <w:t>The key insight is that OIMAC works not by filtering context but by restructuring computation. Future work includes automatic learning of optimal team size, adaptive interface design, and expansion to more models and task types.</w:t>
      </w:r>
    </w:p>
    <w:p>
      <w:pPr>
        <w:pStyle w:val="Heading1"/>
      </w:pPr>
      <w:r>
        <w:t>References</w:t>
      </w:r>
    </w:p>
    <w:p>
      <w:pPr>
        <w:spacing w:after="40"/>
      </w:pPr>
      <w:r>
        <w:rPr>
          <w:rFonts w:ascii="Times New Roman" w:hAnsi="Times New Roman"/>
          <w:sz w:val="18"/>
        </w:rPr>
        <w:t>[1] Q. Wu et al., "AutoGen: Enabling Next-Gen LLM Applications via Multi-Agent Conversation," arXiv:2308.08155, 2023.</w:t>
      </w:r>
    </w:p>
    <w:p>
      <w:pPr>
        <w:spacing w:after="40"/>
      </w:pPr>
      <w:r>
        <w:rPr>
          <w:rFonts w:ascii="Times New Roman" w:hAnsi="Times New Roman"/>
          <w:sz w:val="18"/>
        </w:rPr>
        <w:t>[2] M. Weber, Wirtschaft und Gesellschaft. Mohr Siebeck, 1922.</w:t>
      </w:r>
    </w:p>
    <w:p>
      <w:pPr>
        <w:spacing w:after="40"/>
      </w:pPr>
      <w:r>
        <w:rPr>
          <w:rFonts w:ascii="Times New Roman" w:hAnsi="Times New Roman"/>
          <w:sz w:val="18"/>
        </w:rPr>
        <w:t>[3] H. Fayol, Administration Industrielle et Generale. Dunod, 1916.</w:t>
      </w:r>
    </w:p>
    <w:p>
      <w:pPr>
        <w:spacing w:after="40"/>
      </w:pPr>
      <w:r>
        <w:rPr>
          <w:rFonts w:ascii="Times New Roman" w:hAnsi="Times New Roman"/>
          <w:sz w:val="18"/>
        </w:rPr>
        <w:t>[4] P. Hersey and K. H. Blanchard, Management of Organizational Behavior. Prentice Hall, 1969.</w:t>
      </w:r>
    </w:p>
    <w:p>
      <w:pPr>
        <w:spacing w:after="40"/>
      </w:pPr>
      <w:r>
        <w:rPr>
          <w:rFonts w:ascii="Times New Roman" w:hAnsi="Times New Roman"/>
          <w:sz w:val="18"/>
        </w:rPr>
        <w:t>[5] H. Mintzberg, The Structuring of Organizations. Prentice Hall, 1979.</w:t>
      </w:r>
    </w:p>
    <w:p>
      <w:pPr>
        <w:spacing w:after="40"/>
      </w:pPr>
      <w:r>
        <w:rPr>
          <w:rFonts w:ascii="Times New Roman" w:hAnsi="Times New Roman"/>
          <w:sz w:val="18"/>
        </w:rPr>
        <w:t>[6] H. Jiang, "Agent Organizational Management: Mechanism Decomposition and Cross-Model Validation," Preprint, 2026.</w:t>
      </w:r>
    </w:p>
    <w:p>
      <w:pPr>
        <w:spacing w:after="40"/>
      </w:pPr>
      <w:r>
        <w:rPr>
          <w:rFonts w:ascii="Times New Roman" w:hAnsi="Times New Roman"/>
          <w:sz w:val="18"/>
        </w:rPr>
        <w:t>[7] Z. Xi et al., "The Rise and Potential of Large Language Model Based Agents: A Survey," arXiv:2309.07864, 2023.</w:t>
      </w:r>
    </w:p>
    <w:p>
      <w:pPr>
        <w:spacing w:after="40"/>
      </w:pPr>
      <w:r>
        <w:rPr>
          <w:rFonts w:ascii="Times New Roman" w:hAnsi="Times New Roman"/>
          <w:sz w:val="18"/>
        </w:rPr>
        <w:t>[8] H. A. Simon, "A Behavioral Model of Rational Choice," Q. J. Economics, vol. 69, no. 1, pp. 99–118, 1955.</w:t>
      </w:r>
    </w:p>
    <w:p>
      <w:pPr>
        <w:spacing w:after="40"/>
      </w:pPr>
      <w:r>
        <w:rPr>
          <w:rFonts w:ascii="Times New Roman" w:hAnsi="Times New Roman"/>
          <w:sz w:val="18"/>
        </w:rPr>
        <w:t>[9] P. F. Drucker, The Practice of Management. Harper &amp; Row, 1954.</w:t>
      </w:r>
    </w:p>
    <w:p>
      <w:pPr>
        <w:spacing w:after="40"/>
      </w:pPr>
      <w:r>
        <w:rPr>
          <w:rFonts w:ascii="Times New Roman" w:hAnsi="Times New Roman"/>
          <w:sz w:val="18"/>
        </w:rPr>
        <w:t>[10] V. H. Vroom, Work and Motivation. Wiley, 1964.</w:t>
      </w:r>
    </w:p>
    <w:sectPr w:rsidR="00FC693F" w:rsidRPr="0006063C" w:rsidSect="00034616">
      <w:pgSz w:w="12240" w:h="15840"/>
      <w:pgMar w:top="1440" w:right="1440" w:bottom="1440" w:left="1440" w:header="720" w:footer="720" w:gutter="0"/>
      <w:cols w:space="0.25in"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40"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i/>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