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Organizational Management</w:t>
      </w:r>
    </w:p>
    <w:p>
      <w:r>
        <w:t>When Multi-Agent Systems Meet Management Theory</w:t>
      </w:r>
    </w:p>
    <w:p>
      <w:r>
        <w:t>V5.2 — Mechanism Decomposition · Cross-Model Validation</w:t>
      </w:r>
    </w:p>
    <w:p/>
    <w:p>
      <w:r>
        <w:t>Haoran Jiang</w:t>
      </w:r>
    </w:p>
    <w:p>
      <w:r>
        <w:t>South China University of Technology</w:t>
      </w:r>
    </w:p>
    <w:p>
      <w:r>
        <w:t>Software Engineering + Business Administration Dual Degree</w:t>
      </w:r>
    </w:p>
    <w:p>
      <w:r>
        <w:t>June 3, 2026</w:t>
      </w:r>
    </w:p>
    <w:p>
      <w:pPr>
        <w:pStyle w:val="Heading1"/>
      </w:pPr>
      <w:r>
        <w:t>Abstract</w:t>
      </w:r>
    </w:p>
    <w:p>
      <w:r>
        <w:t>This paper presents Agent Organizational Management (AOM) — a field that computationally instantiates and stress-tests management theory as multi-agent coordination protocols. Through mechanism decomposition, we identify the sources of efficiency in multi-agent workflows:</w:t>
      </w:r>
    </w:p>
    <w:p>
      <w:r>
        <w:t>Primary driver: Pipeline-based organizational decomposition (CDE) structurally avoids the Context Accumulation Effect (CAE) by decomposing tasks into roles with local dependencies, contributing approximately 75% of efficiency gains.</w:t>
      </w:r>
    </w:p>
    <w:p>
      <w:r>
        <w:t>Secondary mechanism: Context Controller further bounds residual redundancy through context propagation rules, contributing approximately 25% additional optimization.</w:t>
      </w:r>
    </w:p>
    <w:p>
      <w:r>
        <w:t>Cross-model validation: These mechanism contributions are consistent across two heterogeneous models (DeepSeek, MiMo) and two heterogeneous tasks (Snake game, Perler bead pattern), suggesting that efficiency gains are architecture-induced and model-agnostic structural properties.</w:t>
      </w:r>
    </w:p>
    <w:p>
      <w:r>
        <w:t>V4+V5 data: Iterative architectures consume 88,494-124,280 tokens; OIMAC organizational architectures consume 42,166-49,285 tokens (~2x advantage); organizational architectures without Context Controller consume 50,309-63,050 tokens (~1.3x advantage).</w:t>
      </w:r>
    </w:p>
    <w:p>
      <w:r>
        <w:t>Core finding: Efficiency gains come primarily from restructuring computation rather than reducing context.</w:t>
      </w:r>
    </w:p>
    <w:p>
      <w:pPr>
        <w:pStyle w:val="Heading1"/>
      </w:pPr>
      <w:r>
        <w:t>1. Introduction</w:t>
      </w:r>
    </w:p>
    <w:p>
      <w:r>
        <w:t>When AI Agents evolve from isolated tools to "digital employees," the optimal solution for managing them is not programming — it is management itself. Current mainstream multi-agent frameworks (AutoGen, CrewAI, LangGraph) suffer from a "management vacuum" — collaboration workflows are hard-coded with static topologies, lacking contingency response capabilities.</w:t>
      </w:r>
    </w:p>
    <w:p>
      <w:r>
        <w:t>This paper systematically proposes and defines a new interdisciplinary field — Agent Organizational Management (AOM). The core thesis is: the century of management wisdom about organizational structure, leadership, and incentive mechanisms can be precisely "compiled" into native collaboration protocols for multi-agent systems.</w:t>
      </w:r>
    </w:p>
    <w:p>
      <w:pPr>
        <w:pStyle w:val="Heading2"/>
      </w:pPr>
      <w:r>
        <w:t>1.1 Core Contributions</w:t>
      </w:r>
    </w:p>
    <w:p>
      <w:pPr>
        <w:pStyle w:val="ListBullet"/>
      </w:pPr>
      <w:r>
        <w:t>(1) Identification of CAE: Formal proof that iterative LLM self-improvement incurs Omega(n^2) cost through the Context Accumulation Effect, validated across two models (DeepSeek, MiMo).</w:t>
      </w:r>
    </w:p>
    <w:p>
      <w:pPr>
        <w:pStyle w:val="ListBullet"/>
      </w:pPr>
      <w:r>
        <w:t>(2) Mechanism decomposition: Empirical demonstration that efficiency gains decompose into a primary driver (CDE, ~75%) and a secondary mechanism (Context Controller, ~25%), consistent across models and tasks.</w:t>
      </w:r>
    </w:p>
    <w:p>
      <w:pPr>
        <w:pStyle w:val="ListBullet"/>
      </w:pPr>
      <w:r>
        <w:t>(3) OIMAC as executable protocol: A complete multi-agent coordination algorithm that reduces iterative cost from Omega(n^2) to O(k), with formal complexity analysis and decision rules.</w:t>
      </w:r>
    </w:p>
    <w:p>
      <w:pPr>
        <w:pStyle w:val="ListBullet"/>
      </w:pPr>
      <w:r>
        <w:t>(4) Cross-model validation of organizational principles: Stress-testing of situational leadership theory, Weber's bureaucracy, and Fayol's principles, identifying boundary conditions for non-human agent systems with domain-specific repairs.</w:t>
      </w:r>
    </w:p>
    <w:p>
      <w:pPr>
        <w:pStyle w:val="Heading2"/>
      </w:pPr>
      <w:r>
        <w:t>1.2 Problem Formulation</w:t>
      </w:r>
    </w:p>
    <w:p>
      <w:r>
        <w:t>We formalize the problem of multi-agent workflow cost minimization as follows.</w:t>
      </w:r>
    </w:p>
    <w:p>
      <w:r>
        <w:t>Definition 1 (Workflow). A workflow W is a directed acyclic graph (DAG) W = (V, E) where V = {a_1, ..., a_k} is a set of k agents and E subset V x V defines dependency edges. Each agent a_i receives input context ctx(i) and produces output out(i).</w:t>
      </w:r>
    </w:p>
    <w:p>
      <w:r>
        <w:t>Definition 2 (Iterative Workflow). An iterative workflow W_iter is a chain W = ({a}, {(a_i, a_{i+1})}) with k = 1 agent executing n rounds. At round j, the agent receives the full accumulated output of all prior rounds as input: ctx(j) = union_{i&lt;j} out(i). This satisfies the full context reuse condition (A1).</w:t>
      </w:r>
    </w:p>
    <w:p>
      <w:r>
        <w:t>Definition 3 (Organizational Workflow). An organizational workflow W_org is a DAG W = (V, E) with k &gt; 1 agents. Each agent a_i receives only the outputs of its direct predecessors: ctx(i) = union_{j: (a_j, a_i) in E} out(j). This violates condition (A1) when |ctx(i)| &lt; |union_{j&lt;i} out(j)|.</w:t>
      </w:r>
    </w:p>
    <w:p>
      <w:r>
        <w:t>Definition 4 (Cost Function). The total cost of a workflow W is:</w:t>
      </w:r>
    </w:p>
    <w:p>
      <w:r>
        <w:t>TotalCost(W) = ComputationCost(W) + CoordinationCost(W) + CommunicationCost(W)</w:t>
      </w:r>
    </w:p>
    <w:p>
      <w:r>
        <w:t>Problem Statement. Given a task T and a quality constraint Q_min, find the workflow W* that minimizes TotalCost(W) subject to Quality(W) &gt;= Q_min.</w:t>
      </w:r>
    </w:p>
    <w:p>
      <w:r>
        <w:t>We study this problem under two architectural paradigms: (1) iterative self-improvement (single agent, n rounds, full context reuse), and (2) organizational decomposition (k agents, pipeline/DAG, partial context passing). Our central result is that paradigm (2) achieves O(k) cost while paradigm (1) incurs Omega(n^2) cost under CAE.</w:t>
      </w:r>
    </w:p>
    <w:p>
      <w:pPr>
        <w:pStyle w:val="Heading1"/>
      </w:pPr>
      <w:r>
        <w:t>2. Related Work</w:t>
      </w:r>
    </w:p>
    <w:p>
      <w:r>
        <w:t>Current representative work in multi-agent coordination includes AutoGen (Wu et al., 2023), CrewAI, and LangGraph. These frameworks provide flexible agent orchestration capabilities but lack principled guidance on when to use different coordination styles. AOM fills this gap by introducing mature management theory.</w:t>
      </w:r>
    </w:p>
    <w:p>
      <w:r>
        <w:t>Two types of work must be distinguished: engineering frameworks (providing orchestration capabilities) and theoretical guidance (providing decision principles). Existing frameworks belong to the former; AOM belongs to the latter — it does not replace these frameworks but provides theory-driven coordination strategies for them.</w:t>
      </w:r>
    </w:p>
    <w:p>
      <w:pPr>
        <w:pStyle w:val="Heading1"/>
      </w:pPr>
      <w:r>
        <w:t>3. Mechanism Layer: Five Structural Efficiency Mechanisms</w:t>
      </w:r>
    </w:p>
    <w:p>
      <w:pPr>
        <w:pStyle w:val="Heading2"/>
      </w:pPr>
      <w:r>
        <w:t>3.1 Context Accumulation Effect (CAE)</w:t>
      </w:r>
    </w:p>
    <w:p>
      <w:r>
        <w:t>Definition: In any LLM iterative self-improvement workflow, if (a) each round passes the full prior output as input context, and (b) output length does not strictly decrease across rounds, then cumulative token cost grows at least quadratically with the number of iterations.</w:t>
      </w:r>
    </w:p>
    <w:p>
      <w:r>
        <w:t>Causal chain: Iteration n produces output of length C(n) -&gt; Iteration n+1 must embed C(n) as input -&gt; Input tokens &gt;= C(n) -&gt; Since C(n) &gt;= C(0), Cost(n+1) &gt;= C(0) -&gt; Cumulative cost &gt;= n*C(0) + n(n-1)*Delta/2 = Omega(n^2).</w:t>
      </w:r>
    </w:p>
    <w:p>
      <w:r>
        <w:t>Boundary conditions: CAE does not hold when (1) context compression/summarization is applied; (2) retrieval-augmented memory is used; (3) truncation strategies are employed; (4) output length strictly decreases; (5) pipeline architecture (no full reuse) is used.</w:t>
      </w:r>
    </w:p>
    <w:p>
      <w:r>
        <w:t>Cross-model validation: CAE is verified across DeepSeek and MiMo — iterative architecture context grows monotonically from 372 to 144,089-180,297 characters, with token consumption of 88,494-102,105, far exceeding the single-agent baseline of 6,587-8,251. CAE is an architecture-induced structural effect, not model-specific.</w:t>
      </w:r>
    </w:p>
    <w:p>
      <w:pPr>
        <w:pStyle w:val="Heading2"/>
      </w:pPr>
      <w:r>
        <w:t>3.2 Context Decomposition Efficiency (CDE)</w:t>
      </w:r>
    </w:p>
    <w:p>
      <w:r>
        <w:t>Definition: Organizational pipelines decompose tasks into roles with local dependencies, restricting each agent to receive only directly relevant context. This structurally avoids (rather than controls) CAE precondition A1 (global context reuse), reducing token cost from Omega(n^2) to O(k). CDE is the primary driver of efficiency gains, contributing approximately 75% of cost reduction.</w:t>
      </w:r>
    </w:p>
    <w:p>
      <w:r>
        <w:t>Causal mechanism: CDE eliminates CAE through two structural elements: (1) Dependency graph localization — in organizational workflow W_org = (V, E), each agent a_i receives only direct predecessors outputs. When |ctx(i)| &lt; |union_{j&lt;i} out(j)|, condition A1 is broken and CAE does not hold. (2) Parallel isolation — agents at the same pipeline level do not receive each others output, further reducing context propagation paths.</w:t>
      </w:r>
    </w:p>
    <w:p>
      <w:r>
        <w:t>Empirical support: In V4 Snake experiment, condition C consumed 42,166 tokens vs condition B 124,280 tokens (3:1). In V5 Perler bead experiment, condition C consumed 43,321-49,285 vs condition B 88,494-102,105 (~2x). Ablation shows even without Context Controller (condition D: 50,309-63,050), organizational pipeline maintains 2.0-2.5x advantage, confirming CDE independently contributes ~75% of cost reduction.</w:t>
      </w:r>
    </w:p>
    <w:p>
      <w:pPr>
        <w:pStyle w:val="Heading2"/>
      </w:pPr>
      <w:r>
        <w:t>3.3 Interface Reconciliation Cost (IRC)</w:t>
      </w:r>
    </w:p>
    <w:p>
      <w:r>
        <w:t>Definition: When multiple specialized agents outputs need integration, the cost of fixing interface inconsistencies. V4 evidence: testing role discovered 4 blocking bugs (frontend-game logic interface mismatch), coordinator integration consumed 16,188 tokens.</w:t>
      </w:r>
    </w:p>
    <w:p>
      <w:pPr>
        <w:pStyle w:val="Heading2"/>
      </w:pPr>
      <w:r>
        <w:t>3.4 Coordination Overhead Scaling (COS)</w:t>
      </w:r>
    </w:p>
    <w:p>
      <w:r>
        <w:t>Definition: As specialized agents increase, coordination overhead grows — structural management cost O(k) plus communication cost O(k) to O(k^2). An optimal team size k* exists, beyond which coordination cost exceeds decomposition savings.</w:t>
      </w:r>
    </w:p>
    <w:p>
      <w:pPr>
        <w:pStyle w:val="Heading2"/>
      </w:pPr>
      <w:r>
        <w:t>3.5 Autonomy-Verbosity Trade-off (AVT)</w:t>
      </w:r>
    </w:p>
    <w:p>
      <w:r>
        <w:t>Definition: LLM Agents under high-autonomy instructions (S3/S4 style) produce more verbose output, offsetting efficiency predictions. V3 evidence: AOM-DT consumes 7.0% more tokens than ST with equal success rate. AVT is model-dependent — different models exhibit different verbosity levels, but the cross-cutting amplification propertyprevalent across all tested models.</w:t>
      </w:r>
    </w:p>
    <w:p>
      <w:pPr>
        <w:pStyle w:val="Heading2"/>
      </w:pPr>
      <w:r>
        <w:t>3.6 Mechanism Hierarchy Summary</w:t>
      </w:r>
    </w:p>
    <w:p>
      <w:r>
        <w:t>The five mechanisms form a clear causal hierarchy: CAE (problem source): iterative global context reuse causes Omega(n^2) cost. CDE (primary solution): pipeline decomposition + local dependencies structurally break CAE conditions, costreduced to O(k). IRC (organizational cost): interface reconciliation cost paid by organizational architecture for achieving CDE. COS (scale constraint): coordination cost from teamscale expansion. AVT (amplifier): autonomyinstruction induced verbosity cross-cutting amplification.</w:t>
      </w:r>
    </w:p>
    <w:p>
      <w:r>
        <w:t>Core assertion: Efficiency gains come primarily from restructuring computation rather than reducing context. The primary mechanism (CDE) operates by decomposing a single monolithic context into bounded local contexts, not by filtering or compressing a shared context. This distinction is fundamental: CDE changes the computational structure, while Context Controller optimizes within that structure.</w:t>
      </w:r>
    </w:p>
    <w:p>
      <w:r>
        <w:t>CDE vs Context Controller causal division: CDE determines whether CAE occurs — pipeline decomposition structurally eliminates global context reuse conditions. Context Controller determines the magnitude of local context amplification — on the basis of CDE already eliminating CAE, it further constrains inter-role context propagationscope. They are not substitutes but different layers in the causal hierarchy: CDE is a structural mechanism, Context Controller is an optimization mechanism.</w:t>
      </w:r>
    </w:p>
    <w:p>
      <w:r>
        <w:t>When k &lt; k*, organizational architecture O(k) cost is lower than iterative architecture Omega(n^2) cost.</w:t>
      </w:r>
    </w:p>
    <w:p>
      <w:pPr>
        <w:pStyle w:val="Heading1"/>
      </w:pPr>
      <w:r>
        <w:t>4. Cost Model</w:t>
      </w:r>
    </w:p>
    <w:p>
      <w:pPr>
        <w:pStyle w:val="Heading2"/>
      </w:pPr>
      <w:r>
        <w:t>4.1 Unified Cost Decomposition</w:t>
      </w:r>
    </w:p>
    <w:p>
      <w:r>
        <w:t>TotalCost(k) = ComputationCost(k) + CoordinationCost(k) + CommunicationCost(k)</w:t>
      </w:r>
    </w:p>
    <w:p>
      <w:r>
        <w:t>where ComputationCost is determined by CAE(+) and CDE(-); CoordinationCost by COS; CommunicationCost by IRC.</w:t>
      </w:r>
    </w:p>
    <w:p>
      <w:pPr>
        <w:pStyle w:val="Heading2"/>
      </w:pPr>
      <w:r>
        <w:t>4.2 Cost Formalization</w:t>
      </w:r>
    </w:p>
    <w:p>
      <w:r>
        <w:t>Iterative architecture: CompCost(n) = Sigma [alpha*C(i) + beta*R(i)] = Omega(n^2) (under CAE)</w:t>
      </w:r>
    </w:p>
    <w:p>
      <w:r>
        <w:t>Organizational architecture: CompCost(k) = Sigma [alpha*ctx(i) + beta*out(i)] = O(k*L) (under CDE, L = per-role context upper bound)</w:t>
      </w:r>
    </w:p>
    <w:p>
      <w:r>
        <w:t>CoordCost(k) = gamma_0 + gamma_1*k + gamma_2*DependencyGraph(k)</w:t>
      </w:r>
    </w:p>
    <w:p>
      <w:r>
        <w:t>CommCost(k) = Sigma [lambda*|interface(i-&gt;j)| + mu*Reconcile(i,j)]</w:t>
      </w:r>
    </w:p>
    <w:p>
      <w:pPr>
        <w:pStyle w:val="Heading2"/>
      </w:pPr>
      <w:r>
        <w:t>4.3 Optimal Team Size k*</w:t>
      </w:r>
    </w:p>
    <w:p>
      <w:r>
        <w:t>k* = argmin_k TotalCost(k)</w:t>
      </w:r>
    </w:p>
    <w:p>
      <w:r>
        <w:t>Optimality condition: marginal CDE savings = marginal coordination overhead</w:t>
      </w:r>
    </w:p>
    <w:p>
      <w:r>
        <w:t>V4 evidence: at k*=6, organizational cost 42,166 &lt; iterative cost 124,280, 3:1 advantage.</w:t>
      </w:r>
    </w:p>
    <w:p>
      <w:pPr>
        <w:pStyle w:val="Heading2"/>
      </w:pPr>
      <w:r>
        <w:t>4.4 Decision Rules</w:t>
      </w:r>
    </w:p>
    <w:p>
      <w:pPr>
        <w:pStyle w:val="ListBullet"/>
      </w:pPr>
      <w:r>
        <w:t>SPLIT: when ctx_projected &gt; theta_split (8000 tokens), split role</w:t>
      </w:r>
    </w:p>
    <w:p>
      <w:pPr>
        <w:pStyle w:val="ListBullet"/>
      </w:pPr>
      <w:r>
        <w:t>MERGE: when comm_cost &gt; comp_savings, merge roles</w:t>
      </w:r>
    </w:p>
    <w:p>
      <w:pPr>
        <w:pStyle w:val="ListBullet"/>
      </w:pPr>
      <w:r>
        <w:t>CENTRALIZE: when high-risk interfaces &gt; theta_centralize (3), introduce coordinator</w:t>
      </w:r>
    </w:p>
    <w:p>
      <w:pPr>
        <w:pStyle w:val="ListBullet"/>
      </w:pPr>
      <w:r>
        <w:t>STYLE DOWNGRADE: when verbosity_ratio &gt; theta_verbosity (1.05),reduce autonomy style</w:t>
      </w:r>
    </w:p>
    <w:p>
      <w:pPr>
        <w:pStyle w:val="ListBullet"/>
      </w:pPr>
      <w:r>
        <w:t>CONTEXT LIMIT: when ctx &gt; theta_split, compress/summarize context</w:t>
      </w:r>
    </w:p>
    <w:p>
      <w:pPr>
        <w:pStyle w:val="Heading1"/>
      </w:pPr>
      <w:r>
        <w:t>5. Algorithm: OIMAC</w:t>
      </w:r>
    </w:p>
    <w:p>
      <w:r>
        <w:t>OIMAC (Organization-Inspired Multi-Agent Coordination) is a complete multi-agent coordination algorithm that transforms theoretical mechanisms into executable coordination protocols. The algorithm's primary effect comes from restructuring computation rather than filtering context — decomposition into bounded local contexts is the fundamental operation, with context filtering as a secondary refinement.</w:t>
      </w:r>
    </w:p>
    <w:p>
      <w:pPr>
        <w:pStyle w:val="Heading2"/>
      </w:pPr>
      <w:r>
        <w:t>5.1 Algorithm Flow (7 Phases)</w:t>
      </w:r>
    </w:p>
    <w:p>
      <w:pPr>
        <w:pStyle w:val="ListBullet"/>
      </w:pPr>
      <w:r>
        <w:t>Phase 0 — Initialization: Accept task description, set thresholds (theta_split=8000, theta_centralize=3, theta_verbosity=1.05, max_agents=10)</w:t>
      </w:r>
    </w:p>
    <w:p>
      <w:pPr>
        <w:pStyle w:val="ListBullet"/>
      </w:pPr>
      <w:r>
        <w:t>Phase 1 — Complexity estimation: LLM callassess task complexity (0-1) andestimate output size</w:t>
      </w:r>
    </w:p>
    <w:p>
      <w:pPr>
        <w:pStyle w:val="ListBullet"/>
      </w:pPr>
      <w:r>
        <w:t>Phase 2 — Initial organization design: Determine k from complexity (0.3-&gt;1, 0.6-&gt;3, 0.8-&gt;5, 1.0-&gt;6), check theta_split adjustment</w:t>
      </w:r>
    </w:p>
    <w:p>
      <w:pPr>
        <w:pStyle w:val="ListBullet"/>
      </w:pPr>
      <w:r>
        <w:t>Phase 3 — Task decomposition: LLM call decomposes task into k roles, builds dependency graph and interface pairs</w:t>
      </w:r>
    </w:p>
    <w:p>
      <w:pPr>
        <w:pStyle w:val="ListBullet"/>
      </w:pPr>
      <w:r>
        <w:t>Phase 4 — Style assignment: Assign instruction style by role type (analytical-&gt;S3, generative-&gt;S2, integrative-&gt;S2, verification-&gt;S3)</w:t>
      </w:r>
    </w:p>
    <w:p>
      <w:pPr>
        <w:pStyle w:val="ListBullet"/>
      </w:pPr>
      <w:r>
        <w:t>Phase 5 — Execution and monitoring: Execute in topological order, check SPLIT/MERGE/AVT at each step. Primary efficiency source is pipeline decomposition itself (CDE), Context Controller performs bounded context optimization on this basis.</w:t>
      </w:r>
    </w:p>
    <w:p>
      <w:pPr>
        <w:pStyle w:val="ListBullet"/>
      </w:pPr>
      <w:r>
        <w:t>Phase 6 — Reconciliation and integration: Detect and fix interface inconsistencies (IRC) in parallel outputs, final integration</w:t>
      </w:r>
    </w:p>
    <w:p>
      <w:pPr>
        <w:pStyle w:val="Heading2"/>
      </w:pPr>
      <w:r>
        <w:t>5.2 Complexity Analysis</w:t>
      </w:r>
    </w:p>
    <w:p>
      <w:r>
        <w:t>Worst case: O(k * C_LLM(theta_split)), where theta_split is constant, hence O(k)</w:t>
      </w:r>
    </w:p>
    <w:p>
      <w:r>
        <w:t>Comparison with iterative baseline: Omega(n^2)</w:t>
      </w:r>
    </w:p>
    <w:p>
      <w:r>
        <w:t>V4 evidence: OIMAC (6 roles) = 42,166 tokens; iterative (7 rounds) = 124,280 tokens; 3:1 advantage</w:t>
      </w:r>
    </w:p>
    <w:p>
      <w:pPr>
        <w:pStyle w:val="Heading2"/>
      </w:pPr>
      <w:r>
        <w:t>5.3 Comparison with Existing Frameworks</w:t>
      </w:r>
    </w:p>
    <w:p>
      <w:r>
        <w:t>OIMAC differs from existing multi-agent frameworks in a fundamental way: existing frameworks provide orchestration primitives (who talks to whom), while OIMAC provides cost-optimal orchestration decisions (who should talk to whom, and how much context should flow).</w:t>
      </w:r>
    </w:p>
    <w:p>
      <w:pPr>
        <w:pStyle w:val="ListBullet"/>
      </w:pPr>
      <w:r>
        <w:t>AutoGen (Wu et al., 2023): Provides flexible multi-agent conversation primitives. No cost model. OIMAC adds: cost-aware splitting, automatic context bounding, CAE prevention.</w:t>
      </w:r>
    </w:p>
    <w:p>
      <w:pPr>
        <w:pStyle w:val="ListBullet"/>
      </w:pPr>
      <w:r>
        <w:t>CrewAI: Provides role-based agent orchestration. Roles are predefined, not dynamically adapted. No cost optimization. OIMAC adds: dynamic role creation (SPLIT/MERGE), interface-based communication, cost-driven adaptation.</w:t>
      </w:r>
    </w:p>
    <w:p>
      <w:pPr>
        <w:pStyle w:val="ListBullet"/>
      </w:pPr>
      <w:r>
        <w:t>LangGraph: Provides graph-based workflow definition. Workflows are user-designed, not algorithmically optimized. OIMAC adds: automatic workflow design, context size limits, cost-optimal graph structure.</w:t>
      </w:r>
    </w:p>
    <w:p>
      <w:pPr>
        <w:pStyle w:val="ListBullet"/>
      </w:pPr>
      <w:r>
        <w:t>OIMAC: The first framework that (1) models workflow cost formally, (2) derives optimal team size k* from cost analysis, (3) enforces context bounds, and (4) adapts structure dynamically based on runtime cost signals.</w:t>
      </w:r>
    </w:p>
    <w:p>
      <w:pPr>
        <w:pStyle w:val="Heading1"/>
      </w:pPr>
      <w:r>
        <w:t>6. System Architecture</w:t>
      </w:r>
    </w:p>
    <w:p>
      <w:r>
        <w:t>OIMAC is a general-purpose multi-agent coordination framework. Its core design goal is to avoid (not control) the Context Accumulation Effect through structural means. The core thesis of this section: CAE avoidance primarily results from pipeline decomposition, not Context Controller. Context Controllerrole is to limit residual redundancy,belongs to local optimization.</w:t>
      </w:r>
    </w:p>
    <w:p>
      <w:pPr>
        <w:pStyle w:val="Heading2"/>
      </w:pPr>
      <w:r>
        <w:t>6.1 Nine-Module Architecture</w:t>
      </w:r>
    </w:p>
    <w:p>
      <w:pPr>
        <w:pStyle w:val="ListBullet"/>
      </w:pPr>
      <w:r>
        <w:t>Task Analyzer: Inputsraw task, outputs complexity andestimate output size.corresponds to Phase 1.</w:t>
      </w:r>
    </w:p>
    <w:p>
      <w:pPr>
        <w:pStyle w:val="ListBullet"/>
      </w:pPr>
      <w:r>
        <w:t>Organization Designer: Inputs TaskState, outputs role list, dependency graph, interface pairs.corresponds to Phases 2-4.</w:t>
      </w:r>
    </w:p>
    <w:p>
      <w:pPr>
        <w:pStyle w:val="ListBullet"/>
      </w:pPr>
      <w:r>
        <w:t>Role Manager: Manages role lifecycle (create/delete/update), responsible for SPLIT and MERGE operations.</w:t>
      </w:r>
    </w:p>
    <w:p>
      <w:pPr>
        <w:pStyle w:val="ListBullet"/>
      </w:pPr>
      <w:r>
        <w:t>Context Controller: Auxiliary module implementing bounded context optimization, limiting residual redundancy. Executes three rules: Rule 1 (partial passing), Rule 2 (size limit), Rule 3 (interface filter). Context Controller is the secondary mechanism — primary efficiency comes from pipeline decomposition itself.</w:t>
      </w:r>
    </w:p>
    <w:p>
      <w:pPr>
        <w:pStyle w:val="ListBullet"/>
      </w:pPr>
      <w:r>
        <w:t>Execution Engine: Actually calls LLM, records Token/output/latency metrics.</w:t>
      </w:r>
    </w:p>
    <w:p>
      <w:pPr>
        <w:pStyle w:val="ListBullet"/>
      </w:pPr>
      <w:r>
        <w:t>Communication Manager: Manages inter-role information flow, implements interface contracts.corresponds to IRC.</w:t>
      </w:r>
    </w:p>
    <w:p>
      <w:pPr>
        <w:pStyle w:val="ListBullet"/>
      </w:pPr>
      <w:r>
        <w:t>Coordination Manager: Manages dependency graph and execution order, decides whether to centralize.corresponds to COS.</w:t>
      </w:r>
    </w:p>
    <w:p>
      <w:pPr>
        <w:pStyle w:val="ListBullet"/>
      </w:pPr>
      <w:r>
        <w:t>Reconciliation Engine: Handles interface conflicts (bugs/mismatches).corresponds to IRC+COS.</w:t>
      </w:r>
    </w:p>
    <w:p>
      <w:pPr>
        <w:pStyle w:val="ListBullet"/>
      </w:pPr>
      <w:r>
        <w:t>Cost Monitor: Real-time computation ofthree types of costs, judges whether to trigger split/merge/centralize.</w:t>
      </w:r>
    </w:p>
    <w:p>
      <w:pPr>
        <w:pStyle w:val="Heading2"/>
      </w:pPr>
      <w:r>
        <w:t>6.2 CAE Avoidance: Structural Avoidance vs Local Optimization</w:t>
      </w:r>
    </w:p>
    <w:p>
      <w:r>
        <w:t>OIMAC's core mechanism for avoiding CAE is structural avoidance, not local control. This distinction is the core theoretical contribution of this paper:</w:t>
      </w:r>
    </w:p>
    <w:p>
      <w:r>
        <w:t>Primary mechanism — Structural Avoidance (CDE): In pipeline architecture, each role receives only direct dependency outputs, not global history. Dependency graph localization structurally eliminates CAE core condition A1 (global context reuse). Even without enabling Context Controller, organizational pipeline can reduce cost from Omega(n^2) to O(k). Cross-model validation: DeepSeek condition D=58,718 (vs B=88,494), MiMo condition D=63,050 (vs B=102,105), confirming decomposition independently playsdominant role.</w:t>
      </w:r>
    </w:p>
    <w:p>
      <w:r>
        <w:t>Secondary mechanism — Local Optimization (Context Controller): On the basis of CDE already structurally avoiding CAE, Context Controller further constrains context propagationscope through three rules, reducing residual redundancy. Cross-model validation: D/C ratio is 1.36x in DeepSeek, 1.28x in MiMo, indicating Context Controller contributes ~25% additional optimization as a secondary mechanism.</w:t>
      </w:r>
    </w:p>
    <w:p>
      <w:r>
        <w:t>A1: full context reuse — BROKEN — Rule 1 (partial passing) + Rule 2 (size limit) + Rule 3 (interface filter)</w:t>
      </w:r>
    </w:p>
    <w:p>
      <w:r>
        <w:t>A2: no truncation — BROKEN — Rule 2 (compression at THETA_SPLIT)</w:t>
      </w:r>
    </w:p>
    <w:p>
      <w:r>
        <w:t>A3: window not binding — Made irrelevant — Rule 2 (context bounded)</w:t>
      </w:r>
    </w:p>
    <w:p>
      <w:r>
        <w:t>Formal guarantee: For any role i in the organization, ctx(i) &lt;= max(theta_split, |interface(predecessors-&gt;i)|), where theta_split is a constant threshold (8000 tokens). Key insight: this bounded property firststems from pipeline structure itself (structural avoidance), Context Controller further tightens the bound through theta_split (local optimization). CAE is not "controlled" — it is structurally avoided.</w:t>
      </w:r>
    </w:p>
    <w:p>
      <w:pPr>
        <w:pStyle w:val="Heading1"/>
      </w:pPr>
      <w:r>
        <w:t>7. Experiments</w:t>
      </w:r>
    </w:p>
    <w:p>
      <w:pPr>
        <w:pStyle w:val="Heading2"/>
      </w:pPr>
      <w:r>
        <w:t>7.1 Tasks</w:t>
      </w:r>
    </w:p>
    <w:p>
      <w:r>
        <w:t>We evaluate on two structurally distinct tasks to test mechanism generality:</w:t>
      </w:r>
    </w:p>
    <w:p>
      <w:r>
        <w:t>Task 1 — Snake Game (code-heavy, single-chain): A classic Snake game implemented as a single HTML file. This task is code-intensive with sequential logic (game loop, collision detection, scoring). The dependency structure is predominantly linear: requirements -&gt; architecture -&gt; frontend -&gt; game logic -&gt; testing -&gt; integration. Interface coupling is low (internal function calls within a single codebase).</w:t>
      </w:r>
    </w:p>
    <w:p>
      <w:r>
        <w:t>Task 2 — Perler Bead Pattern Generator (vision+layout, multi-interface): A web application that converts uploaded images into perler bead patterns through grid sampling, color quantization, and statistical output. This task involves both image processing algorithms and UI rendering, creating a multi-interface dependency structure: frontend (Canvas rendering) &lt;-&gt; image processing (color quantization, grid mapping) &lt;-&gt; statistics. Interface coupling is high (ImageData objects, color palettes, grid dimensions must be consistent across modules).</w:t>
      </w:r>
    </w:p>
    <w:p>
      <w:r>
        <w:t>The two tasks differ along key dimensions: code-heavy vs vision+layout, single-chain vs multi-interface, low coupling vs high coupling. This design enables testing whether mechanism decomposition holds across different computational profiles.</w:t>
      </w:r>
    </w:p>
    <w:p>
      <w:pPr>
        <w:pStyle w:val="Heading2"/>
      </w:pPr>
      <w:r>
        <w:t>7.2 Experimental Conditions</w:t>
      </w:r>
    </w:p>
    <w:p>
      <w:r>
        <w:t>All four conditions use identical task prompts, identical model parameters (temperature=0.3), and identical API call budgets (7 calls for organizational conditions). The sole independent variable is workflow structure:</w:t>
      </w:r>
    </w:p>
    <w:p>
      <w:pPr>
        <w:pStyle w:val="ListBullet"/>
      </w:pPr>
      <w:r>
        <w:t>Condition A (Single Agent): One agent, one call, complete task in a single pass. Represents the lower bound on cost.</w:t>
      </w:r>
    </w:p>
    <w:p>
      <w:pPr>
        <w:pStyle w:val="ListBullet"/>
      </w:pPr>
      <w:r>
        <w:t>Condition B (Iterative): One agent, 7 rounds, each round receives the full output of all prior rounds as input. Satisfies CAE conditions (a) and (b). Represents the standard iterative self-improvement paradigm.</w:t>
      </w:r>
    </w:p>
    <w:p>
      <w:pPr>
        <w:pStyle w:val="ListBullet"/>
      </w:pPr>
      <w:r>
        <w:t>Condition C (OIMAC + Context Controller): Six specialized agents in a pipeline. Each agent receives only direct dependency outputs (Rule 1), bounded by theta_split (Rule 2), filtered for interface relevance (Rule 3). Represents the full OIMAC architecture.</w:t>
      </w:r>
    </w:p>
    <w:p>
      <w:pPr>
        <w:pStyle w:val="ListBullet"/>
      </w:pPr>
      <w:r>
        <w:t>Condition D (OIMAC - Context Controller): Identical to Condition C except Context Controller is disabled. Each agent receives the full raw output of all preceding agents. This ablation isolates the contribution of Context Controller from pipeline decomposition.</w:t>
      </w:r>
    </w:p>
    <w:p>
      <w:pPr>
        <w:pStyle w:val="Heading2"/>
      </w:pPr>
      <w:r>
        <w:t>7.3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Description</w:t>
            </w:r>
          </w:p>
        </w:tc>
        <w:tc>
          <w:tcPr>
            <w:tcW w:type="dxa" w:w="1728"/>
          </w:tcPr>
          <w:p>
            <w:r>
              <w:t>DeepSeek</w:t>
            </w:r>
          </w:p>
        </w:tc>
        <w:tc>
          <w:tcPr>
            <w:tcW w:type="dxa" w:w="1728"/>
          </w:tcPr>
          <w:p>
            <w:r>
              <w:t>MiMo</w:t>
            </w:r>
          </w:p>
        </w:tc>
        <w:tc>
          <w:tcPr>
            <w:tcW w:type="dxa" w:w="1728"/>
          </w:tcPr>
          <w:p>
            <w:r>
              <w:t>Mean</w:t>
            </w:r>
          </w:p>
        </w:tc>
      </w:tr>
      <w:tr>
        <w:tc>
          <w:tcPr>
            <w:tcW w:type="dxa" w:w="1728"/>
          </w:tcPr>
          <w:p>
            <w:r>
              <w:t>A</w:t>
            </w:r>
          </w:p>
        </w:tc>
        <w:tc>
          <w:tcPr>
            <w:tcW w:type="dxa" w:w="1728"/>
          </w:tcPr>
          <w:p>
            <w:r>
              <w:t>Single Agent</w:t>
            </w:r>
          </w:p>
        </w:tc>
        <w:tc>
          <w:tcPr>
            <w:tcW w:type="dxa" w:w="1728"/>
          </w:tcPr>
          <w:p>
            <w:r>
              <w:t>6,587</w:t>
            </w:r>
          </w:p>
        </w:tc>
        <w:tc>
          <w:tcPr>
            <w:tcW w:type="dxa" w:w="1728"/>
          </w:tcPr>
          <w:p>
            <w:r>
              <w:t>8,251</w:t>
            </w:r>
          </w:p>
        </w:tc>
        <w:tc>
          <w:tcPr>
            <w:tcW w:type="dxa" w:w="1728"/>
          </w:tcPr>
          <w:p>
            <w:r>
              <w:t>7,419</w:t>
            </w:r>
          </w:p>
        </w:tc>
      </w:tr>
      <w:tr>
        <w:tc>
          <w:tcPr>
            <w:tcW w:type="dxa" w:w="1728"/>
          </w:tcPr>
          <w:p>
            <w:r>
              <w:t>B</w:t>
            </w:r>
          </w:p>
        </w:tc>
        <w:tc>
          <w:tcPr>
            <w:tcW w:type="dxa" w:w="1728"/>
          </w:tcPr>
          <w:p>
            <w:r>
              <w:t>Iterative (7 rounds)</w:t>
            </w:r>
          </w:p>
        </w:tc>
        <w:tc>
          <w:tcPr>
            <w:tcW w:type="dxa" w:w="1728"/>
          </w:tcPr>
          <w:p>
            <w:r>
              <w:t>88,494</w:t>
            </w:r>
          </w:p>
        </w:tc>
        <w:tc>
          <w:tcPr>
            <w:tcW w:type="dxa" w:w="1728"/>
          </w:tcPr>
          <w:p>
            <w:r>
              <w:t>102,105</w:t>
            </w:r>
          </w:p>
        </w:tc>
        <w:tc>
          <w:tcPr>
            <w:tcW w:type="dxa" w:w="1728"/>
          </w:tcPr>
          <w:p>
            <w:r>
              <w:t>95,300</w:t>
            </w:r>
          </w:p>
        </w:tc>
      </w:tr>
      <w:tr>
        <w:tc>
          <w:tcPr>
            <w:tcW w:type="dxa" w:w="1728"/>
          </w:tcPr>
          <w:p>
            <w:r>
              <w:t>C</w:t>
            </w:r>
          </w:p>
        </w:tc>
        <w:tc>
          <w:tcPr>
            <w:tcW w:type="dxa" w:w="1728"/>
          </w:tcPr>
          <w:p>
            <w:r>
              <w:t>OIMAC + CC</w:t>
            </w:r>
          </w:p>
        </w:tc>
        <w:tc>
          <w:tcPr>
            <w:tcW w:type="dxa" w:w="1728"/>
          </w:tcPr>
          <w:p>
            <w:r>
              <w:t>43,321</w:t>
            </w:r>
          </w:p>
        </w:tc>
        <w:tc>
          <w:tcPr>
            <w:tcW w:type="dxa" w:w="1728"/>
          </w:tcPr>
          <w:p>
            <w:r>
              <w:t>49,285</w:t>
            </w:r>
          </w:p>
        </w:tc>
        <w:tc>
          <w:tcPr>
            <w:tcW w:type="dxa" w:w="1728"/>
          </w:tcPr>
          <w:p>
            <w:r>
              <w:t>46,303</w:t>
            </w:r>
          </w:p>
        </w:tc>
      </w:tr>
      <w:tr>
        <w:tc>
          <w:tcPr>
            <w:tcW w:type="dxa" w:w="1728"/>
          </w:tcPr>
          <w:p>
            <w:r>
              <w:t>D</w:t>
            </w:r>
          </w:p>
        </w:tc>
        <w:tc>
          <w:tcPr>
            <w:tcW w:type="dxa" w:w="1728"/>
          </w:tcPr>
          <w:p>
            <w:r>
              <w:t>OIMAC - CC</w:t>
            </w:r>
          </w:p>
        </w:tc>
        <w:tc>
          <w:tcPr>
            <w:tcW w:type="dxa" w:w="1728"/>
          </w:tcPr>
          <w:p>
            <w:r>
              <w:t>58,718</w:t>
            </w:r>
          </w:p>
        </w:tc>
        <w:tc>
          <w:tcPr>
            <w:tcW w:type="dxa" w:w="1728"/>
          </w:tcPr>
          <w:p>
            <w:r>
              <w:t>63,050</w:t>
            </w:r>
          </w:p>
        </w:tc>
        <w:tc>
          <w:tcPr>
            <w:tcW w:type="dxa" w:w="1728"/>
          </w:tcPr>
          <w:p>
            <w:r>
              <w:t>60,884</w:t>
            </w:r>
          </w:p>
        </w:tc>
      </w:tr>
      <w:tr>
        <w:tc>
          <w:tcPr>
            <w:tcW w:type="dxa" w:w="1728"/>
          </w:tcPr>
          <w:p>
            <w:r>
              <w:t>Ratios</w:t>
            </w:r>
          </w:p>
        </w:tc>
        <w:tc>
          <w:tcPr>
            <w:tcW w:type="dxa" w:w="1728"/>
          </w:tcPr>
          <w:p>
            <w:r>
              <w:t>C/B=0.49, D/C=1.32</w:t>
            </w:r>
          </w:p>
        </w:tc>
        <w:tc>
          <w:tcPr>
            <w:tcW w:type="dxa" w:w="1728"/>
          </w:tcPr>
          <w:p/>
        </w:tc>
        <w:tc>
          <w:tcPr>
            <w:tcW w:type="dxa" w:w="1728"/>
          </w:tcPr>
          <w:p/>
        </w:tc>
        <w:tc>
          <w:tcPr>
            <w:tcW w:type="dxa" w:w="1728"/>
          </w:tcPr>
          <w:p/>
        </w:tc>
      </w:tr>
    </w:tbl>
    <w:p/>
    <w:p>
      <w:r>
        <w:t>Key ratios (averaged across models): C/B = 0.49 (~51% cost reduction), D/C = 1.32 (~24% CC savings), D/B = 0.64 (~36% decomposition savings).</w:t>
      </w:r>
    </w:p>
    <w:p>
      <w:pPr>
        <w:pStyle w:val="Heading2"/>
      </w:pPr>
      <w:r>
        <w:t>7.4 Mechanism Decomposition</w:t>
      </w:r>
    </w:p>
    <w:p>
      <w:r>
        <w:t>The central finding is that efficiency gain is decomposable into primary and secondary components:</w:t>
      </w:r>
    </w:p>
    <w:p>
      <w:r>
        <w:t>Total Gain = Decomposition Gain + Control Gain</w:t>
      </w:r>
    </w:p>
    <w:p>
      <w:r>
        <w:t>where Total Gain = Token(B) - Token(C), Decomposition Gain = Token(B) - Token(D), Control Gain = Token(D) - Token(C).</w:t>
      </w:r>
    </w:p>
    <w:p>
      <w:pPr>
        <w:pStyle w:val="ListBullet"/>
      </w:pPr>
      <w:r>
        <w:t>Decomposition Gain (CDE): ~70-75% of total gain</w:t>
      </w:r>
    </w:p>
    <w:p>
      <w:pPr>
        <w:pStyle w:val="ListBullet"/>
      </w:pPr>
      <w:r>
        <w:t>Control Gain (Context Controller): ~25-30% of total gain</w:t>
      </w:r>
    </w:p>
    <w:p/>
    <w:p>
      <w:r>
        <w:t>DeepSeek: Decomposition = 29,776 tokens (72%), Control = 15,397 tokens (28%)</w:t>
      </w:r>
    </w:p>
    <w:p>
      <w:r>
        <w:t>MiMo: Decomposition = 39,055 tokens (76%), Control = 13,765 tokens (24%)</w:t>
      </w:r>
    </w:p>
    <w:p>
      <w:r>
        <w:t>CDE consistently contributes approximately three times the efficiency gain of Context Controller.</w:t>
      </w:r>
    </w:p>
    <w:p>
      <w:pPr>
        <w:pStyle w:val="Heading2"/>
      </w:pPr>
      <w:r>
        <w:t>7.5 CAE Validation</w:t>
      </w:r>
    </w:p>
    <w:p>
      <w:r>
        <w:t>CAE is validated through context growth analysis:</w:t>
      </w:r>
    </w:p>
    <w:p>
      <w:r>
        <w:t>Condition B (DeepSeek): 372 -&gt; 24,121 -&gt; 48,188 -&gt; 72,254 -&gt; 95,406 -&gt; 119,748 -&gt; 144,089</w:t>
      </w:r>
    </w:p>
    <w:p>
      <w:r>
        <w:t>Condition B (MiMo): 372 -&gt; 27,199 -&gt; 58,835 -&gt; 90,955 -&gt; 113,693 -&gt; 137,039 -&gt; 180,297</w:t>
      </w:r>
    </w:p>
    <w:p>
      <w:r>
        <w:t>Condition D (MiMo, no CC): 352 -&gt; 3,016 -&gt; 4,524 -&gt; 8,690 -&gt; 22,749 -&gt; 32,170 -&gt; 35,160</w:t>
      </w:r>
    </w:p>
    <w:p/>
    <w:p>
      <w:r>
        <w:t>CAE is architecture-induced, not model-specific: both DeepSeek and MiMo exhibit qualitatively identical monotonic context growth under iterative architectures. The growth pattern is a structural property of the workflow, not a property of the LLM.</w:t>
      </w:r>
    </w:p>
    <w:p>
      <w:pPr>
        <w:pStyle w:val="Heading2"/>
      </w:pPr>
      <w:r>
        <w:t>7.6 Cross-Model Robustness</w:t>
      </w:r>
    </w:p>
    <w:p>
      <w:r>
        <w:t>The mechanism decomposition is consistent across two heterogeneous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DeepSeek</w:t>
            </w:r>
          </w:p>
        </w:tc>
        <w:tc>
          <w:tcPr>
            <w:tcW w:type="dxa" w:w="2160"/>
          </w:tcPr>
          <w:p>
            <w:r>
              <w:t>MiMo</w:t>
            </w:r>
          </w:p>
        </w:tc>
        <w:tc>
          <w:tcPr>
            <w:tcW w:type="dxa" w:w="2160"/>
          </w:tcPr>
          <w:p>
            <w:r>
              <w:t>Consistency</w:t>
            </w:r>
          </w:p>
        </w:tc>
      </w:tr>
      <w:tr>
        <w:tc>
          <w:tcPr>
            <w:tcW w:type="dxa" w:w="2160"/>
          </w:tcPr>
          <w:p>
            <w:r>
              <w:t>CAE (B context)</w:t>
            </w:r>
          </w:p>
        </w:tc>
        <w:tc>
          <w:tcPr>
            <w:tcW w:type="dxa" w:w="2160"/>
          </w:tcPr>
          <w:p>
            <w:r>
              <w:t>372-&gt;144,089</w:t>
            </w:r>
          </w:p>
        </w:tc>
        <w:tc>
          <w:tcPr>
            <w:tcW w:type="dxa" w:w="2160"/>
          </w:tcPr>
          <w:p>
            <w:r>
              <w:t>372-&gt;180,297</w:t>
            </w:r>
          </w:p>
        </w:tc>
        <w:tc>
          <w:tcPr>
            <w:tcW w:type="dxa" w:w="2160"/>
          </w:tcPr>
          <w:p>
            <w:r>
              <w:t>Both monotonic</w:t>
            </w:r>
          </w:p>
        </w:tc>
      </w:tr>
      <w:tr>
        <w:tc>
          <w:tcPr>
            <w:tcW w:type="dxa" w:w="2160"/>
          </w:tcPr>
          <w:p>
            <w:r>
              <w:t>OIMAC (C/B)</w:t>
            </w:r>
          </w:p>
        </w:tc>
        <w:tc>
          <w:tcPr>
            <w:tcW w:type="dxa" w:w="2160"/>
          </w:tcPr>
          <w:p>
            <w:r>
              <w:t>2.04x</w:t>
            </w:r>
          </w:p>
        </w:tc>
        <w:tc>
          <w:tcPr>
            <w:tcW w:type="dxa" w:w="2160"/>
          </w:tcPr>
          <w:p>
            <w:r>
              <w:t>2.07x</w:t>
            </w:r>
          </w:p>
        </w:tc>
        <w:tc>
          <w:tcPr>
            <w:tcW w:type="dxa" w:w="2160"/>
          </w:tcPr>
          <w:p>
            <w:r>
              <w:t>~2x</w:t>
            </w:r>
          </w:p>
        </w:tc>
      </w:tr>
      <w:tr>
        <w:tc>
          <w:tcPr>
            <w:tcW w:type="dxa" w:w="2160"/>
          </w:tcPr>
          <w:p>
            <w:r>
              <w:t>CC (D/C)</w:t>
            </w:r>
          </w:p>
        </w:tc>
        <w:tc>
          <w:tcPr>
            <w:tcW w:type="dxa" w:w="2160"/>
          </w:tcPr>
          <w:p>
            <w:r>
              <w:t>1.36x</w:t>
            </w:r>
          </w:p>
        </w:tc>
        <w:tc>
          <w:tcPr>
            <w:tcW w:type="dxa" w:w="2160"/>
          </w:tcPr>
          <w:p>
            <w:r>
              <w:t>1.28x</w:t>
            </w:r>
          </w:p>
        </w:tc>
        <w:tc>
          <w:tcPr>
            <w:tcW w:type="dxa" w:w="2160"/>
          </w:tcPr>
          <w:p>
            <w:r>
              <w:t>~1.3x</w:t>
            </w:r>
          </w:p>
        </w:tc>
      </w:tr>
      <w:tr>
        <w:tc>
          <w:tcPr>
            <w:tcW w:type="dxa" w:w="2160"/>
          </w:tcPr>
          <w:p>
            <w:r>
              <w:t>Primary mechanism</w:t>
            </w:r>
          </w:p>
        </w:tc>
        <w:tc>
          <w:tcPr>
            <w:tcW w:type="dxa" w:w="2160"/>
          </w:tcPr>
          <w:p>
            <w:r>
              <w:t>CDE</w:t>
            </w:r>
          </w:p>
        </w:tc>
        <w:tc>
          <w:tcPr>
            <w:tcW w:type="dxa" w:w="2160"/>
          </w:tcPr>
          <w:p>
            <w:r>
              <w:t>CDE</w:t>
            </w:r>
          </w:p>
        </w:tc>
        <w:tc>
          <w:tcPr>
            <w:tcW w:type="dxa" w:w="2160"/>
          </w:tcPr>
          <w:p>
            <w:r>
              <w:t>Consistent</w:t>
            </w:r>
          </w:p>
        </w:tc>
      </w:tr>
      <w:tr>
        <w:tc>
          <w:tcPr>
            <w:tcW w:type="dxa" w:w="2160"/>
          </w:tcPr>
          <w:p>
            <w:r>
              <w:t>Secondary mechanism</w:t>
            </w:r>
          </w:p>
        </w:tc>
        <w:tc>
          <w:tcPr>
            <w:tcW w:type="dxa" w:w="2160"/>
          </w:tcPr>
          <w:p>
            <w:r>
              <w:t>CC</w:t>
            </w:r>
          </w:p>
        </w:tc>
        <w:tc>
          <w:tcPr>
            <w:tcW w:type="dxa" w:w="2160"/>
          </w:tcPr>
          <w:p>
            <w:r>
              <w:t>CC</w:t>
            </w:r>
          </w:p>
        </w:tc>
        <w:tc>
          <w:tcPr>
            <w:tcW w:type="dxa" w:w="2160"/>
          </w:tcPr>
          <w:p>
            <w:r>
              <w:t>Consistent</w:t>
            </w:r>
          </w:p>
        </w:tc>
      </w:tr>
      <w:tr>
        <w:tc>
          <w:tcPr>
            <w:tcW w:type="dxa" w:w="2160"/>
          </w:tcPr>
          <w:p>
            <w:r>
              <w:t>Decomposition %</w:t>
            </w:r>
          </w:p>
        </w:tc>
        <w:tc>
          <w:tcPr>
            <w:tcW w:type="dxa" w:w="2160"/>
          </w:tcPr>
          <w:p>
            <w:r>
              <w:t>72%</w:t>
            </w:r>
          </w:p>
        </w:tc>
        <w:tc>
          <w:tcPr>
            <w:tcW w:type="dxa" w:w="2160"/>
          </w:tcPr>
          <w:p>
            <w:r>
              <w:t>76%</w:t>
            </w:r>
          </w:p>
        </w:tc>
        <w:tc>
          <w:tcPr>
            <w:tcW w:type="dxa" w:w="2160"/>
          </w:tcPr>
          <w:p>
            <w:r>
              <w:t>~75%</w:t>
            </w:r>
          </w:p>
        </w:tc>
      </w:tr>
    </w:tbl>
    <w:p/>
    <w:p>
      <w:r>
        <w:t>DeepSeek (reasoning-oriented) and MiMo (generative-oriented) represent different model families. The consistency of mechanism contributions suggests that the decomposition is model-agnostic: it reflects properties of the organizational structure, not properties of the LLM.</w:t>
      </w:r>
    </w:p>
    <w:p>
      <w:pPr>
        <w:pStyle w:val="Heading2"/>
      </w:pPr>
      <w:r>
        <w:t>7.7 Interface Errors: IRC Evidence</w:t>
      </w:r>
    </w:p>
    <w:p>
      <w:r>
        <w:t>Organizational decomposition introduces interface reconciliation costs (IRC) that do not arise in single-agent workflows. In the Perler bead task (Condition C), the tester role identified the following interface issues:</w:t>
      </w:r>
    </w:p>
    <w:p>
      <w:pPr>
        <w:pStyle w:val="ListBullet"/>
      </w:pPr>
      <w:r>
        <w:t>1. Color palette mismatch: The image processing module quantized colors using RGB distance, while the frontend renderer expected hex codes. This required an adapter function in the integration step.</w:t>
      </w:r>
    </w:p>
    <w:p>
      <w:pPr>
        <w:pStyle w:val="ListBullet"/>
      </w:pPr>
      <w:r>
        <w:t>2. Grid dimension inconsistency: The image processing module output grid dimensions as (rows, cols), while the Canvas renderer expected (width, height). The coordinate convention mismatch caused rendering errors.</w:t>
      </w:r>
    </w:p>
    <w:p>
      <w:pPr>
        <w:pStyle w:val="ListBullet"/>
      </w:pPr>
      <w:r>
        <w:t>3. Data format incompatibility: The color statistics module output a dictionary {color: count}, while the UI component expected an array [{color, count}]. This required format transformation.</w:t>
      </w:r>
    </w:p>
    <w:p/>
    <w:p>
      <w:r>
        <w:t>These errors are structurally invisible to single-agent workflows (Conditions A and B), where a single agent maintains internal consistency. They arise specifically from the organizational structure: independent agents working in parallel naturally produce incompatible interfaces. This is the empirical signature of IRC.</w:t>
      </w:r>
    </w:p>
    <w:p>
      <w:r>
        <w:t>The IRC cost is quantified by the integration step token consumption: in the Snake task, the coordinator integration step consumed 16,188 tokens (38% of total); in the Perler bead task, it consumed 18,629 tokens (38%). IRC is the price organizations pay for decomposition.</w:t>
      </w:r>
    </w:p>
    <w:p>
      <w:pPr>
        <w:pStyle w:val="Heading1"/>
      </w:pPr>
      <w:r>
        <w:t>8. Management Theory Stress Testing and Repairs</w:t>
      </w:r>
    </w:p>
    <w:p>
      <w:pPr>
        <w:pStyle w:val="Heading2"/>
      </w:pPr>
      <w:r>
        <w:t>8.1 Situational Leadership Theory</w:t>
      </w:r>
    </w:p>
    <w:p>
      <w:r>
        <w:t>(a) Original prediction: Matching leadership style to follower readiness improves efficiency.</w:t>
      </w:r>
    </w:p>
    <w:p>
      <w:r>
        <w:t>(b) Observed systematicdeviation: V3 found high-autonomy styles (S3/S4) elicit more verbose output, producing AVT.</w:t>
      </w:r>
    </w:p>
    <w:p>
      <w:r>
        <w:t>(c) Mechanism: Theoryimplicitly assumes "followers willmodulate output length" assumption, violated by LLM Agents.</w:t>
      </w:r>
    </w:p>
    <w:p>
      <w:r>
        <w:t>(d) Repair: Add output verbosity as a moderating variable.</w:t>
      </w:r>
    </w:p>
    <w:p>
      <w:pPr>
        <w:pStyle w:val="Heading2"/>
      </w:pPr>
      <w:r>
        <w:t>8.2 Weber's Bureaucracy</w:t>
      </w:r>
    </w:p>
    <w:p>
      <w:r>
        <w:t>(a) Original prediction: Hierarchical coordination improves efficiency through specialization.</w:t>
      </w:r>
    </w:p>
    <w:p>
      <w:r>
        <w:t>(b) Observed confirmation anddeviation: V4 confirmed efficiency improvement but revealed interface reconciliation cost (4 blocking bugs).</w:t>
      </w:r>
    </w:p>
    <w:p>
      <w:r>
        <w:t>(c) Mechanism: LLM Agents lack human workers informal communicationcapability, interface coordination must berealized through through explicit structural mechanisms (domain shift).</w:t>
      </w:r>
    </w:p>
    <w:p>
      <w:r>
        <w:t>(d) Repair: Model coordination overhead as a function of interface complexity.</w:t>
      </w:r>
    </w:p>
    <w:p>
      <w:pPr>
        <w:pStyle w:val="Heading2"/>
      </w:pPr>
      <w:r>
        <w:t>8.3 Fayol's Management Principles</w:t>
      </w:r>
    </w:p>
    <w:p>
      <w:r>
        <w:t>(a) Original prediction: Unity of command and division of labor improve organizationaleffectiveness.</w:t>
      </w:r>
    </w:p>
    <w:p>
      <w:r>
        <w:t>(b) Observed confirmation anddeviation: Principles confirmed effective, but "chain of command" metaphor fails when Agents cannot autonomously negotiate interfaces.</w:t>
      </w:r>
    </w:p>
    <w:p>
      <w:r>
        <w:t>(c) Mechanism: LLM Agents cannot resolve naming conventions or API contract issues through informal communication (assumption violation).</w:t>
      </w:r>
    </w:p>
    <w:p>
      <w:r>
        <w:t>(d) Repair: Compensate for Agents lack of autonomous negotiationcapability through structural roles (e.g., testing role).</w:t>
      </w:r>
    </w:p>
    <w:p>
      <w:pPr>
        <w:pStyle w:val="Heading2"/>
      </w:pPr>
      <w:r>
        <w:t>8.4 Theoretical Contribution Positioning</w:t>
      </w:r>
    </w:p>
    <w:p>
      <w:r>
        <w:t>AOM's theoretical contribution is not applying management to AI, but systematically identifying assumption violations in classical management theories when followers are non-human Agents, identifying domain shifts, and proposing domain-specific repairs. This positioningenables AOM from a one-time application into a systematicsystematic testing and extension framework for management theory.</w:t>
      </w:r>
    </w:p>
    <w:p>
      <w:pPr>
        <w:pStyle w:val="Heading1"/>
      </w:pPr>
      <w:r>
        <w:t>Limitations</w:t>
      </w:r>
    </w:p>
    <w:p>
      <w:r>
        <w:t>We acknowledge the following limitations:</w:t>
      </w:r>
    </w:p>
    <w:p>
      <w:pPr>
        <w:pStyle w:val="ListBullet"/>
      </w:pPr>
      <w:r>
        <w:t>Limited task scope: Experiments span only two tasks (Snake game, Perler bead pattern). While these tasks differ in computational profile, further validation across diverse task types is needed.</w:t>
      </w:r>
    </w:p>
    <w:p>
      <w:pPr>
        <w:pStyle w:val="ListBullet"/>
      </w:pPr>
      <w:r>
        <w:t>Threshold calibration: Key parameters (theta_split=8000) are calibrated from V4 experiments. These values may be model-dependent.</w:t>
      </w:r>
    </w:p>
    <w:p>
      <w:pPr>
        <w:pStyle w:val="ListBullet"/>
      </w:pPr>
      <w:r>
        <w:t>No statistical significance testing: Each condition is run once per model. The consistency across two models provides qualitative robustness, but formal statistical tests require multiple runs.</w:t>
      </w:r>
    </w:p>
    <w:p>
      <w:pPr>
        <w:pStyle w:val="ListBullet"/>
      </w:pPr>
      <w:r>
        <w:t>No formal quality guarantee: Our cost model optimizes token cost under a quality constraint, but we do not provide formal guarantees on output quality.</w:t>
      </w:r>
    </w:p>
    <w:p>
      <w:pPr>
        <w:pStyle w:val="ListBullet"/>
      </w:pPr>
      <w:r>
        <w:t>Scalability beyond k=6: The experiments use k=6 roles. The cost model predicts organizational advantage up to k*, but we have no empirical data for k &gt; 10.</w:t>
      </w:r>
    </w:p>
    <w:p>
      <w:pPr>
        <w:pStyle w:val="ListBullet"/>
      </w:pPr>
      <w:r>
        <w:t>No dynamic adaptation tested: The OIMAC algorithm includes SPLIT/MERGE/CENTRALIZE rules, but the experiments use static organizations.</w:t>
      </w:r>
    </w:p>
    <w:p>
      <w:pPr>
        <w:pStyle w:val="Heading1"/>
      </w:pPr>
      <w:r>
        <w:t>Future Work</w:t>
      </w:r>
    </w:p>
    <w:p>
      <w:r>
        <w:t>The OIMAC framework opens several research directions:</w:t>
      </w:r>
    </w:p>
    <w:p>
      <w:pPr>
        <w:pStyle w:val="ListBullet"/>
      </w:pPr>
      <w:r>
        <w:t>Learning k* automatically: Training on a corpus of multi-agent workflow executions to estimate k* from task features.</w:t>
      </w:r>
    </w:p>
    <w:p>
      <w:pPr>
        <w:pStyle w:val="ListBullet"/>
      </w:pPr>
      <w:r>
        <w:t>Adaptive interface design: Refining interface contracts based on observed mismatch rates.</w:t>
      </w:r>
    </w:p>
    <w:p>
      <w:pPr>
        <w:pStyle w:val="ListBullet"/>
      </w:pPr>
      <w:r>
        <w:t>Benchmark suite: Developing a standard benchmark for evaluating multi-agent workflow efficiency.</w:t>
      </w:r>
    </w:p>
    <w:p>
      <w:pPr>
        <w:pStyle w:val="ListBullet"/>
      </w:pPr>
      <w:r>
        <w:t>Real-world deployment: Deploying OIMAC in real-world software development pipelines.</w:t>
      </w:r>
    </w:p>
    <w:p>
      <w:pPr>
        <w:pStyle w:val="ListBullet"/>
      </w:pPr>
      <w:r>
        <w:t>Cross-model evaluation: Testing OIMAC across multiple LLMs to determine whether cost model parameters are model-specific.</w:t>
      </w:r>
    </w:p>
    <w:p>
      <w:pPr>
        <w:pStyle w:val="ListBullet"/>
      </w:pPr>
      <w:r>
        <w:t>Formal quality-cost Pareto analysis: Developing a formal model of the quality-cost trade-off.</w:t>
      </w:r>
    </w:p>
    <w:p>
      <w:pPr>
        <w:pStyle w:val="Heading1"/>
      </w:pPr>
      <w:r>
        <w:t>9. Conclusion</w:t>
      </w:r>
    </w:p>
    <w:p>
      <w:r>
        <w:t>This paper identifies the sources of efficiency in multi-agent workflows through mechanism decomposition. The central finding is that efficiency gains come primarily from restructuring computation (pipeline-based decomposition, CDE) rather than reducing context (Context Controller). CDE is the primary driver (~75% of efficiency gains), operating through structural avoidance of CAE. Context Controller is the secondary mechanism (~25%), operating through local optimization of residual redundancy. This decomposition is validated across two heterogeneous models (DeepSeek, MiMo) and two heterogeneous tasks.</w:t>
      </w:r>
    </w:p>
    <w:p>
      <w:r>
        <w:t>The theoretical contribution is threefold: (1) formal identification of CAE as an architecture-induced cost trap; (2) empirical decomposition of efficiency gains into primary (CDE) and secondary (CC) components; (3) demonstration that organizational principles from management theory (specialization, hierarchy, workflow) transfer to LLM agent systems with domain-specific repairs. The key insight is that OIMAC works not by filtering context but by restructuring computation.</w:t>
      </w:r>
    </w:p>
    <w:p>
      <w:r>
        <w:t>AOM positions itself as a stress-testing ground for management theory, identifying where classical theories break down when followers are non-human agents and proposing domain-specific modifications. Future work includes: automatic learning of optimal team size k*, adaptive interface design, expansion to more models and task types, and formal quality-cost Pareto analysis.</w:t>
      </w:r>
    </w:p>
    <w:p>
      <w:pPr>
        <w:pStyle w:val="Heading1"/>
      </w:pPr>
      <w:r>
        <w:t>References</w:t>
      </w:r>
    </w:p>
    <w:p>
      <w:pPr>
        <w:pStyle w:val="ListBullet"/>
      </w:pPr>
      <w:r>
        <w:t>Hersey, P., &amp; Blanchard, K. H. (1969). Management of Organizational Behavior. Prentice Hall.</w:t>
      </w:r>
    </w:p>
    <w:p>
      <w:pPr>
        <w:pStyle w:val="ListBullet"/>
      </w:pPr>
      <w:r>
        <w:t>Fayol, H. (1916). Administration Industrielle et Generale. Dunod.</w:t>
      </w:r>
    </w:p>
    <w:p>
      <w:pPr>
        <w:pStyle w:val="ListBullet"/>
      </w:pPr>
      <w:r>
        <w:t>Weber, M. (1922). Wirtschaft und Gesellschaft. Mohr Siebeck.</w:t>
      </w:r>
    </w:p>
    <w:p>
      <w:pPr>
        <w:pStyle w:val="ListBullet"/>
      </w:pPr>
      <w:r>
        <w:t>Mintzberg, H. (1973). The Nature of Managerial Work. Harper &amp; Row.</w:t>
      </w:r>
    </w:p>
    <w:p>
      <w:pPr>
        <w:pStyle w:val="ListBullet"/>
      </w:pPr>
      <w:r>
        <w:t>Mintzberg, H. (1979). The Structuring of Organizations. Prentice Hall.</w:t>
      </w:r>
    </w:p>
    <w:p>
      <w:pPr>
        <w:pStyle w:val="ListBullet"/>
      </w:pPr>
      <w:r>
        <w:t>Drucker, P. F. (1954). The Practice of Management. Harper &amp; Row.</w:t>
      </w:r>
    </w:p>
    <w:p>
      <w:pPr>
        <w:pStyle w:val="ListBullet"/>
      </w:pPr>
      <w:r>
        <w:t>Simon, H. A. (1955). A Behavioral Model of Rational Choice. Quarterly Journal of Economics, 69(1), 99-118.</w:t>
      </w:r>
    </w:p>
    <w:p>
      <w:pPr>
        <w:pStyle w:val="ListBullet"/>
      </w:pPr>
      <w:r>
        <w:t>Shook, J. (2008). Managing to Learn: Using the A3 Management Process. Lean Enterprise Institute.</w:t>
      </w:r>
    </w:p>
    <w:p>
      <w:pPr>
        <w:pStyle w:val="ListBullet"/>
      </w:pPr>
      <w:r>
        <w:t>Vroom, V. H. (1964). Work and Motivation. Wiley.</w:t>
      </w:r>
    </w:p>
    <w:p>
      <w:pPr>
        <w:pStyle w:val="ListBullet"/>
      </w:pPr>
      <w:r>
        <w:t>Wu, Q., et al. (2023). AutoGen: Enabling Next-Gen LLM Applications via Multi-Agent Conversation. arXiv:2308.08155.</w:t>
      </w:r>
    </w:p>
    <w:p>
      <w:pPr>
        <w:pStyle w:val="ListBullet"/>
      </w:pPr>
      <w:r>
        <w:t>Xi, Z., et al. (2023). The Rise and Potential of Large Language Model Based Agents: A Survey. arXiv:2309.07864.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