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Experiments</w:t>
      </w:r>
    </w:p>
    <w:p>
      <w:pPr>
        <w:pStyle w:val="Heading2"/>
      </w:pPr>
      <w:r>
        <w:t>7.1 Tasks</w:t>
      </w:r>
    </w:p>
    <w:p>
      <w:r>
        <w:t>We evaluate on two structurally distinct tasks to test mechanism generality:</w:t>
      </w:r>
    </w:p>
    <w:p>
      <w:r>
        <w:t>Task 1 -- Snake Game (code-heavy, single-chain): A classic Snake game implemented as a single HTML file. This task is code-intensive with sequential logic (game loop, collision detection, scoring). The dependency structure is predominantly linear. Interface coupling is low.</w:t>
      </w:r>
    </w:p>
    <w:p>
      <w:r>
        <w:t>Task 2 -- Perler Bead Pattern Generator (vision+layout, multi-interface): A web application that converts uploaded images into perler bead patterns through grid sampling, color quantization, and statistical output. Interface coupling is high (ImageData objects, color palettes, grid dimensions must be consistent across modules).</w:t>
      </w:r>
    </w:p>
    <w:p>
      <w:r>
        <w:t>The two tasks differ: code-heavy vs vision+layout, single-chain vs multi-interface, low vs high coupling.</w:t>
      </w:r>
    </w:p>
    <w:p>
      <w:pPr>
        <w:pStyle w:val="Heading2"/>
      </w:pPr>
      <w:r>
        <w:t>7.2 Experimental Conditions</w:t>
      </w:r>
    </w:p>
    <w:p>
      <w:r>
        <w:t>All four conditions use identical task prompts, identical model parameters (temperature=0.3), and identical API call budgets (7 calls for organizational conditions). The sole independent variable is workflow structure:</w:t>
      </w:r>
    </w:p>
    <w:p>
      <w:pPr>
        <w:pStyle w:val="ListBullet"/>
      </w:pPr>
      <w:r>
        <w:t>Condition A (Single Agent): One agent, one call, complete task in a single pass.</w:t>
      </w:r>
    </w:p>
    <w:p>
      <w:pPr>
        <w:pStyle w:val="ListBullet"/>
      </w:pPr>
      <w:r>
        <w:t>Condition B (Iterative): One agent, 7 rounds, each round receives full output of all prior rounds. Satisfies CAE conditions.</w:t>
      </w:r>
    </w:p>
    <w:p>
      <w:pPr>
        <w:pStyle w:val="ListBullet"/>
      </w:pPr>
      <w:r>
        <w:t>Condition C (OIMAC + CC): Six specialized agents in a pipeline with Context Controller (Rules 1-3).</w:t>
      </w:r>
    </w:p>
    <w:p>
      <w:pPr>
        <w:pStyle w:val="ListBullet"/>
      </w:pPr>
      <w:r>
        <w:t>Condition D (OIMAC - CC): Identical to C except Context Controller disabled. Ablation condition.</w:t>
      </w:r>
    </w:p>
    <w:p>
      <w:pPr>
        <w:pStyle w:val="Heading2"/>
      </w:pPr>
      <w:r>
        <w:t>7.3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Condition</w:t>
            </w:r>
          </w:p>
        </w:tc>
        <w:tc>
          <w:tcPr>
            <w:tcW w:type="dxa" w:w="1728"/>
          </w:tcPr>
          <w:p>
            <w:r>
              <w:t>Description</w:t>
            </w:r>
          </w:p>
        </w:tc>
        <w:tc>
          <w:tcPr>
            <w:tcW w:type="dxa" w:w="1728"/>
          </w:tcPr>
          <w:p>
            <w:r>
              <w:t>DeepSeek</w:t>
            </w:r>
          </w:p>
        </w:tc>
        <w:tc>
          <w:tcPr>
            <w:tcW w:type="dxa" w:w="1728"/>
          </w:tcPr>
          <w:p>
            <w:r>
              <w:t>MiMo</w:t>
            </w:r>
          </w:p>
        </w:tc>
        <w:tc>
          <w:tcPr>
            <w:tcW w:type="dxa" w:w="1728"/>
          </w:tcPr>
          <w:p>
            <w:r>
              <w:t>Mean</w:t>
            </w:r>
          </w:p>
        </w:tc>
      </w:tr>
      <w:tr>
        <w:tc>
          <w:tcPr>
            <w:tcW w:type="dxa" w:w="1728"/>
          </w:tcPr>
          <w:p>
            <w:r>
              <w:t>A</w:t>
            </w:r>
          </w:p>
        </w:tc>
        <w:tc>
          <w:tcPr>
            <w:tcW w:type="dxa" w:w="1728"/>
          </w:tcPr>
          <w:p>
            <w:r>
              <w:t>Single Agent</w:t>
            </w:r>
          </w:p>
        </w:tc>
        <w:tc>
          <w:tcPr>
            <w:tcW w:type="dxa" w:w="1728"/>
          </w:tcPr>
          <w:p>
            <w:r>
              <w:t>6,587</w:t>
            </w:r>
          </w:p>
        </w:tc>
        <w:tc>
          <w:tcPr>
            <w:tcW w:type="dxa" w:w="1728"/>
          </w:tcPr>
          <w:p>
            <w:r>
              <w:t>8,251</w:t>
            </w:r>
          </w:p>
        </w:tc>
        <w:tc>
          <w:tcPr>
            <w:tcW w:type="dxa" w:w="1728"/>
          </w:tcPr>
          <w:p>
            <w:r>
              <w:t>7,419</w:t>
            </w:r>
          </w:p>
        </w:tc>
      </w:tr>
      <w:tr>
        <w:tc>
          <w:tcPr>
            <w:tcW w:type="dxa" w:w="1728"/>
          </w:tcPr>
          <w:p>
            <w:r>
              <w:t>B</w:t>
            </w:r>
          </w:p>
        </w:tc>
        <w:tc>
          <w:tcPr>
            <w:tcW w:type="dxa" w:w="1728"/>
          </w:tcPr>
          <w:p>
            <w:r>
              <w:t>Iterative (7 rounds)</w:t>
            </w:r>
          </w:p>
        </w:tc>
        <w:tc>
          <w:tcPr>
            <w:tcW w:type="dxa" w:w="1728"/>
          </w:tcPr>
          <w:p>
            <w:r>
              <w:t>88,494</w:t>
            </w:r>
          </w:p>
        </w:tc>
        <w:tc>
          <w:tcPr>
            <w:tcW w:type="dxa" w:w="1728"/>
          </w:tcPr>
          <w:p>
            <w:r>
              <w:t>102,105</w:t>
            </w:r>
          </w:p>
        </w:tc>
        <w:tc>
          <w:tcPr>
            <w:tcW w:type="dxa" w:w="1728"/>
          </w:tcPr>
          <w:p>
            <w:r>
              <w:t>95,300</w:t>
            </w:r>
          </w:p>
        </w:tc>
      </w:tr>
      <w:tr>
        <w:tc>
          <w:tcPr>
            <w:tcW w:type="dxa" w:w="1728"/>
          </w:tcPr>
          <w:p>
            <w:r>
              <w:t>C</w:t>
            </w:r>
          </w:p>
        </w:tc>
        <w:tc>
          <w:tcPr>
            <w:tcW w:type="dxa" w:w="1728"/>
          </w:tcPr>
          <w:p>
            <w:r>
              <w:t>OIMAC + CC</w:t>
            </w:r>
          </w:p>
        </w:tc>
        <w:tc>
          <w:tcPr>
            <w:tcW w:type="dxa" w:w="1728"/>
          </w:tcPr>
          <w:p>
            <w:r>
              <w:t>43,321</w:t>
            </w:r>
          </w:p>
        </w:tc>
        <w:tc>
          <w:tcPr>
            <w:tcW w:type="dxa" w:w="1728"/>
          </w:tcPr>
          <w:p>
            <w:r>
              <w:t>49,285</w:t>
            </w:r>
          </w:p>
        </w:tc>
        <w:tc>
          <w:tcPr>
            <w:tcW w:type="dxa" w:w="1728"/>
          </w:tcPr>
          <w:p>
            <w:r>
              <w:t>46,303</w:t>
            </w:r>
          </w:p>
        </w:tc>
      </w:tr>
      <w:tr>
        <w:tc>
          <w:tcPr>
            <w:tcW w:type="dxa" w:w="1728"/>
          </w:tcPr>
          <w:p>
            <w:r>
              <w:t>D</w:t>
            </w:r>
          </w:p>
        </w:tc>
        <w:tc>
          <w:tcPr>
            <w:tcW w:type="dxa" w:w="1728"/>
          </w:tcPr>
          <w:p>
            <w:r>
              <w:t>OIMAC - CC</w:t>
            </w:r>
          </w:p>
        </w:tc>
        <w:tc>
          <w:tcPr>
            <w:tcW w:type="dxa" w:w="1728"/>
          </w:tcPr>
          <w:p>
            <w:r>
              <w:t>58,718</w:t>
            </w:r>
          </w:p>
        </w:tc>
        <w:tc>
          <w:tcPr>
            <w:tcW w:type="dxa" w:w="1728"/>
          </w:tcPr>
          <w:p>
            <w:r>
              <w:t>63,050</w:t>
            </w:r>
          </w:p>
        </w:tc>
        <w:tc>
          <w:tcPr>
            <w:tcW w:type="dxa" w:w="1728"/>
          </w:tcPr>
          <w:p>
            <w:r>
              <w:t>60,884</w:t>
            </w:r>
          </w:p>
        </w:tc>
      </w:tr>
      <w:tr>
        <w:tc>
          <w:tcPr>
            <w:tcW w:type="dxa" w:w="1728"/>
          </w:tcPr>
          <w:p>
            <w:r>
              <w:t>Ratios</w:t>
            </w:r>
          </w:p>
        </w:tc>
        <w:tc>
          <w:tcPr>
            <w:tcW w:type="dxa" w:w="1728"/>
          </w:tcPr>
          <w:p>
            <w:r>
              <w:t>C/B=0.49, D/C=1.32</w:t>
            </w:r>
          </w:p>
        </w:tc>
        <w:tc>
          <w:tcPr>
            <w:tcW w:type="dxa" w:w="1728"/>
          </w:tcPr>
          <w:p/>
        </w:tc>
        <w:tc>
          <w:tcPr>
            <w:tcW w:type="dxa" w:w="1728"/>
          </w:tcPr>
          <w:p/>
        </w:tc>
        <w:tc>
          <w:tcPr>
            <w:tcW w:type="dxa" w:w="1728"/>
          </w:tcPr>
          <w:p/>
        </w:tc>
      </w:tr>
    </w:tbl>
    <w:p/>
    <w:p>
      <w:r>
        <w:t>Key ratios: C/B = 0.49 (~51% cost reduction), D/C = 1.32 (~24% CC savings), D/B = 0.64 (~36% decomposition savings)</w:t>
      </w:r>
    </w:p>
    <w:p>
      <w:pPr>
        <w:pStyle w:val="Heading2"/>
      </w:pPr>
      <w:r>
        <w:t>7.4 Mechanism Decomposition</w:t>
      </w:r>
    </w:p>
    <w:p>
      <w:r>
        <w:t>The central finding is that efficiency gain is decomposable into primary and secondary components:</w:t>
      </w:r>
    </w:p>
    <w:p>
      <w:r>
        <w:t>Total Gain = Decomposition Gain + Control Gain</w:t>
      </w:r>
    </w:p>
    <w:p>
      <w:r>
        <w:t>where Total Gain = Token(B) - Token(C), Decomposition Gain = Token(B) - Token(D), Control Gain = Token(D) - Token(C).</w:t>
      </w:r>
    </w:p>
    <w:p/>
    <w:p>
      <w:pPr>
        <w:pStyle w:val="ListBullet"/>
      </w:pPr>
      <w:r>
        <w:t>Decomposition Gain (CDE): ~70-75% of total gain</w:t>
      </w:r>
    </w:p>
    <w:p>
      <w:pPr>
        <w:pStyle w:val="ListBullet"/>
      </w:pPr>
      <w:r>
        <w:t>Control Gain (Context Controller): ~25-30% of total gain</w:t>
      </w:r>
    </w:p>
    <w:p/>
    <w:p>
      <w:r>
        <w:t>DeepSeek: Decomposition = 29,776 tokens (72%), Control = 15,397 tokens (28%)</w:t>
      </w:r>
    </w:p>
    <w:p>
      <w:r>
        <w:t>MiMo: Decomposition = 39,055 tokens (76%), Control = 13,765 tokens (24%)</w:t>
      </w:r>
    </w:p>
    <w:p>
      <w:r>
        <w:t>CDE consistently contributes approximately three times the efficiency gain of Context Controller.</w:t>
      </w:r>
    </w:p>
    <w:p>
      <w:pPr>
        <w:pStyle w:val="Heading2"/>
      </w:pPr>
      <w:r>
        <w:t>7.5 CAE Validation</w:t>
      </w:r>
    </w:p>
    <w:p>
      <w:r>
        <w:t>CAE is validated through context growth analysis:</w:t>
      </w:r>
    </w:p>
    <w:p>
      <w:r>
        <w:t>Condition B (DeepSeek): 372 -&gt; 24,121 -&gt; 48,188 -&gt; 72,254 -&gt; 95,406 -&gt; 119,748 -&gt; 144,089</w:t>
      </w:r>
    </w:p>
    <w:p>
      <w:r>
        <w:t>Condition B (MiMo): 372 -&gt; 27,199 -&gt; 58,835 -&gt; 90,955 -&gt; 113,693 -&gt; 137,039 -&gt; 180,297</w:t>
      </w:r>
    </w:p>
    <w:p>
      <w:r>
        <w:t>Condition D (MiMo, no CC): 352 -&gt; 3,016 -&gt; 4,524 -&gt; 8,690 -&gt; 22,749 -&gt; 32,170 -&gt; 35,160</w:t>
      </w:r>
    </w:p>
    <w:p/>
    <w:p>
      <w:r>
        <w:t>CAE is architecture-induced, not model-specific. Both models exhibit qualitatively identical monotonic context growth under iterative architectures.</w:t>
      </w:r>
    </w:p>
    <w:p>
      <w:pPr>
        <w:pStyle w:val="Heading2"/>
      </w:pPr>
      <w:r>
        <w:t>7.6 Cross-Model Robustness</w:t>
      </w:r>
    </w:p>
    <w:p>
      <w:r>
        <w:t>The mechanism decomposition is consistent across two heterogeneous models: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DeepSeek</w:t>
            </w:r>
          </w:p>
        </w:tc>
        <w:tc>
          <w:tcPr>
            <w:tcW w:type="dxa" w:w="2160"/>
          </w:tcPr>
          <w:p>
            <w:r>
              <w:t>MiMo</w:t>
            </w:r>
          </w:p>
        </w:tc>
        <w:tc>
          <w:tcPr>
            <w:tcW w:type="dxa" w:w="2160"/>
          </w:tcPr>
          <w:p>
            <w:r>
              <w:t>Consistency</w:t>
            </w:r>
          </w:p>
        </w:tc>
      </w:tr>
      <w:tr>
        <w:tc>
          <w:tcPr>
            <w:tcW w:type="dxa" w:w="2160"/>
          </w:tcPr>
          <w:p>
            <w:r>
              <w:t>CAE (B context)</w:t>
            </w:r>
          </w:p>
        </w:tc>
        <w:tc>
          <w:tcPr>
            <w:tcW w:type="dxa" w:w="2160"/>
          </w:tcPr>
          <w:p>
            <w:r>
              <w:t>372-&gt;144,089</w:t>
            </w:r>
          </w:p>
        </w:tc>
        <w:tc>
          <w:tcPr>
            <w:tcW w:type="dxa" w:w="2160"/>
          </w:tcPr>
          <w:p>
            <w:r>
              <w:t>372-&gt;180,297</w:t>
            </w:r>
          </w:p>
        </w:tc>
        <w:tc>
          <w:tcPr>
            <w:tcW w:type="dxa" w:w="2160"/>
          </w:tcPr>
          <w:p>
            <w:r>
              <w:t>Both monotonic</w:t>
            </w:r>
          </w:p>
        </w:tc>
      </w:tr>
      <w:tr>
        <w:tc>
          <w:tcPr>
            <w:tcW w:type="dxa" w:w="2160"/>
          </w:tcPr>
          <w:p>
            <w:r>
              <w:t>OIMAC (C/B)</w:t>
            </w:r>
          </w:p>
        </w:tc>
        <w:tc>
          <w:tcPr>
            <w:tcW w:type="dxa" w:w="2160"/>
          </w:tcPr>
          <w:p>
            <w:r>
              <w:t>2.04x</w:t>
            </w:r>
          </w:p>
        </w:tc>
        <w:tc>
          <w:tcPr>
            <w:tcW w:type="dxa" w:w="2160"/>
          </w:tcPr>
          <w:p>
            <w:r>
              <w:t>2.07x</w:t>
            </w:r>
          </w:p>
        </w:tc>
        <w:tc>
          <w:tcPr>
            <w:tcW w:type="dxa" w:w="2160"/>
          </w:tcPr>
          <w:p>
            <w:r>
              <w:t>~2x</w:t>
            </w:r>
          </w:p>
        </w:tc>
      </w:tr>
      <w:tr>
        <w:tc>
          <w:tcPr>
            <w:tcW w:type="dxa" w:w="2160"/>
          </w:tcPr>
          <w:p>
            <w:r>
              <w:t>CC (D/C)</w:t>
            </w:r>
          </w:p>
        </w:tc>
        <w:tc>
          <w:tcPr>
            <w:tcW w:type="dxa" w:w="2160"/>
          </w:tcPr>
          <w:p>
            <w:r>
              <w:t>1.36x</w:t>
            </w:r>
          </w:p>
        </w:tc>
        <w:tc>
          <w:tcPr>
            <w:tcW w:type="dxa" w:w="2160"/>
          </w:tcPr>
          <w:p>
            <w:r>
              <w:t>1.28x</w:t>
            </w:r>
          </w:p>
        </w:tc>
        <w:tc>
          <w:tcPr>
            <w:tcW w:type="dxa" w:w="2160"/>
          </w:tcPr>
          <w:p>
            <w:r>
              <w:t>~1.3x</w:t>
            </w:r>
          </w:p>
        </w:tc>
      </w:tr>
      <w:tr>
        <w:tc>
          <w:tcPr>
            <w:tcW w:type="dxa" w:w="2160"/>
          </w:tcPr>
          <w:p>
            <w:r>
              <w:t>Primary mechanism</w:t>
            </w:r>
          </w:p>
        </w:tc>
        <w:tc>
          <w:tcPr>
            <w:tcW w:type="dxa" w:w="2160"/>
          </w:tcPr>
          <w:p>
            <w:r>
              <w:t>CDE</w:t>
            </w:r>
          </w:p>
        </w:tc>
        <w:tc>
          <w:tcPr>
            <w:tcW w:type="dxa" w:w="2160"/>
          </w:tcPr>
          <w:p>
            <w:r>
              <w:t>CDE</w:t>
            </w:r>
          </w:p>
        </w:tc>
        <w:tc>
          <w:tcPr>
            <w:tcW w:type="dxa" w:w="2160"/>
          </w:tcPr>
          <w:p>
            <w:r>
              <w:t>Consistent</w:t>
            </w:r>
          </w:p>
        </w:tc>
      </w:tr>
      <w:tr>
        <w:tc>
          <w:tcPr>
            <w:tcW w:type="dxa" w:w="2160"/>
          </w:tcPr>
          <w:p>
            <w:r>
              <w:t>Secondary mechanism</w:t>
            </w:r>
          </w:p>
        </w:tc>
        <w:tc>
          <w:tcPr>
            <w:tcW w:type="dxa" w:w="2160"/>
          </w:tcPr>
          <w:p>
            <w:r>
              <w:t>CC</w:t>
            </w:r>
          </w:p>
        </w:tc>
        <w:tc>
          <w:tcPr>
            <w:tcW w:type="dxa" w:w="2160"/>
          </w:tcPr>
          <w:p>
            <w:r>
              <w:t>CC</w:t>
            </w:r>
          </w:p>
        </w:tc>
        <w:tc>
          <w:tcPr>
            <w:tcW w:type="dxa" w:w="2160"/>
          </w:tcPr>
          <w:p>
            <w:r>
              <w:t>Consistent</w:t>
            </w:r>
          </w:p>
        </w:tc>
      </w:tr>
      <w:tr>
        <w:tc>
          <w:tcPr>
            <w:tcW w:type="dxa" w:w="2160"/>
          </w:tcPr>
          <w:p>
            <w:r>
              <w:t>Decomposition %</w:t>
            </w:r>
          </w:p>
        </w:tc>
        <w:tc>
          <w:tcPr>
            <w:tcW w:type="dxa" w:w="2160"/>
          </w:tcPr>
          <w:p>
            <w:r>
              <w:t>72%</w:t>
            </w:r>
          </w:p>
        </w:tc>
        <w:tc>
          <w:tcPr>
            <w:tcW w:type="dxa" w:w="2160"/>
          </w:tcPr>
          <w:p>
            <w:r>
              <w:t>76%</w:t>
            </w:r>
          </w:p>
        </w:tc>
        <w:tc>
          <w:tcPr>
            <w:tcW w:type="dxa" w:w="2160"/>
          </w:tcPr>
          <w:p>
            <w:r>
              <w:t>~75%</w:t>
            </w:r>
          </w:p>
        </w:tc>
      </w:tr>
    </w:tbl>
    <w:p/>
    <w:p>
      <w:r>
        <w:t>DeepSeek (reasoning-oriented) and MiMo (generative-oriented) represent different model families. The consistency suggests the decomposition is model-agnostic.</w:t>
      </w:r>
    </w:p>
    <w:p>
      <w:pPr>
        <w:pStyle w:val="Heading2"/>
      </w:pPr>
      <w:r>
        <w:t>7.7 Interface Errors: IRC Evidence</w:t>
      </w:r>
    </w:p>
    <w:p>
      <w:r>
        <w:t>Organizational decomposition introduces IRC that does not arise in single-agent workflows. In the Perler bead task (Condition C), the tester identified:</w:t>
      </w:r>
    </w:p>
    <w:p>
      <w:pPr>
        <w:pStyle w:val="ListBullet"/>
      </w:pPr>
      <w:r>
        <w:t>1. Color palette mismatch: image processing used RGB distance, frontend expected hex codes.</w:t>
      </w:r>
    </w:p>
    <w:p>
      <w:pPr>
        <w:pStyle w:val="ListBullet"/>
      </w:pPr>
      <w:r>
        <w:t>2. Grid dimension inconsistency: image processing output (rows, cols), Canvas expected (width, height).</w:t>
      </w:r>
    </w:p>
    <w:p>
      <w:pPr>
        <w:pStyle w:val="ListBullet"/>
      </w:pPr>
      <w:r>
        <w:t>3. Data format incompatibility: statistics module output dict, UI expected array.</w:t>
      </w:r>
    </w:p>
    <w:p/>
    <w:p>
      <w:r>
        <w:t>These errors are structurally invisible to single-agent workflows. They arise from the organizational structure: independent agents working in parallel naturally produce incompatible interfaces.</w:t>
      </w:r>
    </w:p>
    <w:p>
      <w:r>
        <w:t>IRC cost: integration step consumed 16,188 tokens (38%) in Snake, 18,629 tokens (38%) in Perler bead. IRC is the price organizations pay for decomposition.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