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25BEC">
      <w:pPr>
        <w:pStyle w:val="31"/>
        <w:jc w:val="center"/>
        <w:rPr>
          <w:sz w:val="52"/>
          <w:szCs w:val="52"/>
        </w:rPr>
      </w:pPr>
      <w:r>
        <w:rPr>
          <w:rFonts w:ascii="黑体" w:hAnsi="黑体" w:eastAsia="黑体"/>
          <w:color w:val="2563EB"/>
          <w:sz w:val="52"/>
          <w:szCs w:val="52"/>
        </w:rPr>
        <w:t>多模态AI互动式教学智能体</w:t>
      </w:r>
      <w:r>
        <w:rPr>
          <w:rFonts w:ascii="黑体" w:hAnsi="黑体" w:eastAsia="黑体"/>
          <w:color w:val="2563EB"/>
          <w:sz w:val="52"/>
          <w:szCs w:val="52"/>
        </w:rPr>
        <w:br w:type="textWrapping"/>
      </w:r>
      <w:r>
        <w:rPr>
          <w:rFonts w:ascii="黑体" w:hAnsi="黑体" w:eastAsia="黑体"/>
          <w:color w:val="2563EB"/>
          <w:sz w:val="52"/>
          <w:szCs w:val="52"/>
        </w:rPr>
        <w:t>解决方案</w:t>
      </w:r>
    </w:p>
    <w:p w14:paraId="3E6F1F4F">
      <w:pPr>
        <w:jc w:val="center"/>
      </w:pPr>
      <w:r>
        <w:rPr>
          <w:rFonts w:ascii="黑体" w:hAnsi="黑体" w:eastAsia="黑体"/>
          <w:color w:val="64748B"/>
          <w:sz w:val="28"/>
        </w:rPr>
        <w:t>——基于锐捷网络教育信息化应用场景</w:t>
      </w:r>
    </w:p>
    <w:p w14:paraId="7DC7E4B5"/>
    <w:p>
      <w:pPr>
        <w:pageBreakBefore/>
        <w:jc w:val="center"/>
        <w:spacing w:before="240" w:after="240" w:line="360" w:lineRule="auto"/>
      </w:pPr>
      <w:r>
        <w:rPr>
          <w:rFonts w:ascii="宋体" w:hAnsi="宋体" w:eastAsia="宋体"/>
          <w:b/>
          <w:bCs/>
          <w:sz w:val="32"/>
          <w:szCs w:val="32"/>
        </w:rPr>
        <w:t w:space="preserve">目录</w:t>
      </w:r>
    </w:p>
    <w:p>
      <w:pPr>
        <w:pStyle w:val="TOC1"/>
        <w:tabs>
          <w:tab w:val="right" w:leader="dot" w:pos="9406"/>
        </w:tabs>
      </w:pPr>
      <w:r>
        <w:fldChar w:fldCharType="begin"/>
      </w:r>
      <w:r>
        <w:instrText xml:space="preserve"> TOC \o "1-3" \h \z \u </w:instrText>
      </w:r>
      <w:r>
        <w:fldChar w:fldCharType="separate"/>
      </w:r>
      <w:hyperlink w:anchor="_LarkToc00001" w:history="1">
        <w:r>
          <w:t>参赛团队角色分工</w:t>
        </w:r>
        <w:r>
          <w:tab/>
        </w:r>
        <w:r>
          <w:fldChar w:fldCharType="begin"/>
        </w:r>
        <w:r>
          <w:instrText xml:space="preserve"> PAGEREF _LarkToc00001 \h </w:instrText>
        </w:r>
        <w:r>
          <w:fldChar w:fldCharType="separate"/>
        </w:r>
        <w:r>
          <w:t>3</w:t>
        </w:r>
        <w:r>
          <w:fldChar w:fldCharType="end"/>
        </w:r>
      </w:hyperlink>
    </w:p>
    <w:p>
      <w:pPr>
        <w:pStyle w:val="TOC1"/>
        <w:tabs>
          <w:tab w:val="right" w:leader="dot" w:pos="9406"/>
        </w:tabs>
      </w:pPr>
      <w:hyperlink w:anchor="_LarkToc00002" w:history="1">
        <w:r>
          <w:t>S1  方案概要</w:t>
        </w:r>
        <w:r>
          <w:tab/>
        </w:r>
        <w:r>
          <w:fldChar w:fldCharType="begin"/>
        </w:r>
        <w:r>
          <w:instrText xml:space="preserve"> PAGEREF _LarkToc00002 \h </w:instrText>
        </w:r>
        <w:r>
          <w:fldChar w:fldCharType="separate"/>
        </w:r>
        <w:r>
          <w:t>4</w:t>
        </w:r>
        <w:r>
          <w:fldChar w:fldCharType="end"/>
        </w:r>
      </w:hyperlink>
    </w:p>
    <w:p>
      <w:pPr>
        <w:pStyle w:val="TOC1"/>
        <w:tabs>
          <w:tab w:val="right" w:leader="dot" w:pos="9406"/>
        </w:tabs>
      </w:pPr>
      <w:hyperlink w:anchor="_LarkToc00003" w:history="1">
        <w:r>
          <w:t>S2A  目标与服务模型</w:t>
        </w:r>
        <w:r>
          <w:tab/>
        </w:r>
        <w:r>
          <w:fldChar w:fldCharType="begin"/>
        </w:r>
        <w:r>
          <w:instrText xml:space="preserve"> PAGEREF _LarkToc00003 \h </w:instrText>
        </w:r>
        <w:r>
          <w:fldChar w:fldCharType="separate"/>
        </w:r>
        <w:r>
          <w:t>5</w:t>
        </w:r>
        <w:r>
          <w:fldChar w:fldCharType="end"/>
        </w:r>
      </w:hyperlink>
    </w:p>
    <w:p>
      <w:pPr>
        <w:pStyle w:val="TOC2"/>
        <w:tabs>
          <w:tab w:val="right" w:leader="dot" w:pos="9406"/>
        </w:tabs>
      </w:pPr>
      <w:hyperlink w:anchor="_LarkToc00004" w:history="1">
        <w:r>
          <w:t>2.1  赛题背景与价值研判</w:t>
        </w:r>
        <w:r>
          <w:tab/>
        </w:r>
        <w:r>
          <w:fldChar w:fldCharType="begin"/>
        </w:r>
        <w:r>
          <w:instrText xml:space="preserve"> PAGEREF _LarkToc00004 \h </w:instrText>
        </w:r>
        <w:r>
          <w:fldChar w:fldCharType="separate"/>
        </w:r>
        <w:r>
          <w:t>5</w:t>
        </w:r>
        <w:r>
          <w:fldChar w:fldCharType="end"/>
        </w:r>
      </w:hyperlink>
    </w:p>
    <w:p>
      <w:pPr>
        <w:pStyle w:val="TOC3"/>
        <w:tabs>
          <w:tab w:val="right" w:leader="dot" w:pos="9406"/>
        </w:tabs>
      </w:pPr>
      <w:hyperlink w:anchor="_LarkToc00005" w:history="1">
        <w:r>
          <w:t>2.1.1  行业痛点分析</w:t>
        </w:r>
        <w:r>
          <w:tab/>
        </w:r>
        <w:r>
          <w:fldChar w:fldCharType="begin"/>
        </w:r>
        <w:r>
          <w:instrText xml:space="preserve"> PAGEREF _LarkToc00005 \h </w:instrText>
        </w:r>
        <w:r>
          <w:fldChar w:fldCharType="separate"/>
        </w:r>
        <w:r>
          <w:t>5</w:t>
        </w:r>
        <w:r>
          <w:fldChar w:fldCharType="end"/>
        </w:r>
      </w:hyperlink>
    </w:p>
    <w:p>
      <w:pPr>
        <w:pStyle w:val="TOC3"/>
        <w:tabs>
          <w:tab w:val="right" w:leader="dot" w:pos="9406"/>
        </w:tabs>
      </w:pPr>
      <w:hyperlink w:anchor="_LarkToc00006" w:history="1">
        <w:r>
          <w:t>2.1.2  赛题价值研判</w:t>
        </w:r>
        <w:r>
          <w:tab/>
        </w:r>
        <w:r>
          <w:fldChar w:fldCharType="begin"/>
        </w:r>
        <w:r>
          <w:instrText xml:space="preserve"> PAGEREF _LarkToc00006 \h </w:instrText>
        </w:r>
        <w:r>
          <w:fldChar w:fldCharType="separate"/>
        </w:r>
        <w:r>
          <w:t>6</w:t>
        </w:r>
        <w:r>
          <w:fldChar w:fldCharType="end"/>
        </w:r>
      </w:hyperlink>
    </w:p>
    <w:p>
      <w:pPr>
        <w:pStyle w:val="TOC2"/>
        <w:tabs>
          <w:tab w:val="right" w:leader="dot" w:pos="9406"/>
        </w:tabs>
      </w:pPr>
      <w:hyperlink w:anchor="_LarkToc00007" w:history="1">
        <w:r>
          <w:t>2.2  解决思路</w:t>
        </w:r>
        <w:r>
          <w:tab/>
        </w:r>
        <w:r>
          <w:fldChar w:fldCharType="begin"/>
        </w:r>
        <w:r>
          <w:instrText xml:space="preserve"> PAGEREF _LarkToc00007 \h </w:instrText>
        </w:r>
        <w:r>
          <w:fldChar w:fldCharType="separate"/>
        </w:r>
        <w:r>
          <w:t>7</w:t>
        </w:r>
        <w:r>
          <w:fldChar w:fldCharType="end"/>
        </w:r>
      </w:hyperlink>
    </w:p>
    <w:p>
      <w:pPr>
        <w:pStyle w:val="TOC3"/>
        <w:tabs>
          <w:tab w:val="right" w:leader="dot" w:pos="9406"/>
        </w:tabs>
      </w:pPr>
      <w:hyperlink w:anchor="_LarkToc00008" w:history="1">
        <w:r>
          <w:t>2.2.1  总体思路</w:t>
        </w:r>
        <w:r>
          <w:tab/>
        </w:r>
        <w:r>
          <w:fldChar w:fldCharType="begin"/>
        </w:r>
        <w:r>
          <w:instrText xml:space="preserve"> PAGEREF _LarkToc00008 \h </w:instrText>
        </w:r>
        <w:r>
          <w:fldChar w:fldCharType="separate"/>
        </w:r>
        <w:r>
          <w:t>7</w:t>
        </w:r>
        <w:r>
          <w:fldChar w:fldCharType="end"/>
        </w:r>
      </w:hyperlink>
    </w:p>
    <w:p>
      <w:pPr>
        <w:pStyle w:val="TOC3"/>
        <w:tabs>
          <w:tab w:val="right" w:leader="dot" w:pos="9406"/>
        </w:tabs>
      </w:pPr>
      <w:hyperlink w:anchor="_LarkToc00009" w:history="1">
        <w:r>
          <w:t>2.2.2  系统总体架构</w:t>
        </w:r>
        <w:r>
          <w:tab/>
        </w:r>
        <w:r>
          <w:fldChar w:fldCharType="begin"/>
        </w:r>
        <w:r>
          <w:instrText xml:space="preserve"> PAGEREF _LarkToc00009 \h </w:instrText>
        </w:r>
        <w:r>
          <w:fldChar w:fldCharType="separate"/>
        </w:r>
        <w:r>
          <w:t>7</w:t>
        </w:r>
        <w:r>
          <w:fldChar w:fldCharType="end"/>
        </w:r>
      </w:hyperlink>
    </w:p>
    <w:p>
      <w:pPr>
        <w:pStyle w:val="TOC3"/>
        <w:tabs>
          <w:tab w:val="right" w:leader="dot" w:pos="9406"/>
        </w:tabs>
      </w:pPr>
      <w:hyperlink w:anchor="_LarkToc00010" w:history="1">
        <w:r>
          <w:t>2.2.3  服务模型</w:t>
        </w:r>
        <w:r>
          <w:tab/>
        </w:r>
        <w:r>
          <w:fldChar w:fldCharType="begin"/>
        </w:r>
        <w:r>
          <w:instrText xml:space="preserve"> PAGEREF _LarkToc00010 \h </w:instrText>
        </w:r>
        <w:r>
          <w:fldChar w:fldCharType="separate"/>
        </w:r>
        <w:r>
          <w:t>8</w:t>
        </w:r>
        <w:r>
          <w:fldChar w:fldCharType="end"/>
        </w:r>
      </w:hyperlink>
    </w:p>
    <w:p>
      <w:pPr>
        <w:pStyle w:val="TOC3"/>
        <w:tabs>
          <w:tab w:val="right" w:leader="dot" w:pos="9406"/>
        </w:tabs>
      </w:pPr>
      <w:hyperlink w:anchor="_LarkToc00011" w:history="1">
        <w:r>
          <w:t>2.2.4  核心服务流程</w:t>
        </w:r>
        <w:r>
          <w:tab/>
        </w:r>
        <w:r>
          <w:fldChar w:fldCharType="begin"/>
        </w:r>
        <w:r>
          <w:instrText xml:space="preserve"> PAGEREF _LarkToc00011 \h </w:instrText>
        </w:r>
        <w:r>
          <w:fldChar w:fldCharType="separate"/>
        </w:r>
        <w:r>
          <w:t>9</w:t>
        </w:r>
        <w:r>
          <w:fldChar w:fldCharType="end"/>
        </w:r>
      </w:hyperlink>
    </w:p>
    <w:p>
      <w:pPr>
        <w:pStyle w:val="TOC1"/>
        <w:tabs>
          <w:tab w:val="right" w:leader="dot" w:pos="9406"/>
        </w:tabs>
      </w:pPr>
      <w:hyperlink w:anchor="_LarkToc00012" w:history="1">
        <w:r>
          <w:t>S2B  组织管理与业务分析方案</w:t>
        </w:r>
        <w:r>
          <w:tab/>
        </w:r>
        <w:r>
          <w:fldChar w:fldCharType="begin"/>
        </w:r>
        <w:r>
          <w:instrText xml:space="preserve"> PAGEREF _LarkToc00012 \h </w:instrText>
        </w:r>
        <w:r>
          <w:fldChar w:fldCharType="separate"/>
        </w:r>
        <w:r>
          <w:t>10</w:t>
        </w:r>
        <w:r>
          <w:fldChar w:fldCharType="end"/>
        </w:r>
      </w:hyperlink>
    </w:p>
    <w:p>
      <w:pPr>
        <w:pStyle w:val="TOC2"/>
        <w:tabs>
          <w:tab w:val="right" w:leader="dot" w:pos="9406"/>
        </w:tabs>
      </w:pPr>
      <w:hyperlink w:anchor="_LarkToc00013" w:history="1">
        <w:r>
          <w:t>3.1  项目组织管理</w:t>
        </w:r>
        <w:r>
          <w:tab/>
        </w:r>
        <w:r>
          <w:fldChar w:fldCharType="begin"/>
        </w:r>
        <w:r>
          <w:instrText xml:space="preserve"> PAGEREF _LarkToc00013 \h </w:instrText>
        </w:r>
        <w:r>
          <w:fldChar w:fldCharType="separate"/>
        </w:r>
        <w:r>
          <w:t>10</w:t>
        </w:r>
        <w:r>
          <w:fldChar w:fldCharType="end"/>
        </w:r>
      </w:hyperlink>
    </w:p>
    <w:p>
      <w:pPr>
        <w:pStyle w:val="TOC3"/>
        <w:tabs>
          <w:tab w:val="right" w:leader="dot" w:pos="9406"/>
        </w:tabs>
      </w:pPr>
      <w:hyperlink w:anchor="_LarkToc00014" w:history="1">
        <w:r>
          <w:t>3.1.1  团队组织结构</w:t>
        </w:r>
        <w:r>
          <w:tab/>
        </w:r>
        <w:r>
          <w:fldChar w:fldCharType="begin"/>
        </w:r>
        <w:r>
          <w:instrText xml:space="preserve"> PAGEREF _LarkToc00014 \h </w:instrText>
        </w:r>
        <w:r>
          <w:fldChar w:fldCharType="separate"/>
        </w:r>
        <w:r>
          <w:t>10</w:t>
        </w:r>
        <w:r>
          <w:fldChar w:fldCharType="end"/>
        </w:r>
      </w:hyperlink>
    </w:p>
    <w:p>
      <w:pPr>
        <w:pStyle w:val="TOC3"/>
        <w:tabs>
          <w:tab w:val="right" w:leader="dot" w:pos="9406"/>
        </w:tabs>
      </w:pPr>
      <w:hyperlink w:anchor="_LarkToc00015" w:history="1">
        <w:r>
          <w:t>3.1.2  角色与职责</w:t>
        </w:r>
        <w:r>
          <w:tab/>
        </w:r>
        <w:r>
          <w:fldChar w:fldCharType="begin"/>
        </w:r>
        <w:r>
          <w:instrText xml:space="preserve"> PAGEREF _LarkToc00015 \h </w:instrText>
        </w:r>
        <w:r>
          <w:fldChar w:fldCharType="separate"/>
        </w:r>
        <w:r>
          <w:t>10</w:t>
        </w:r>
        <w:r>
          <w:fldChar w:fldCharType="end"/>
        </w:r>
      </w:hyperlink>
    </w:p>
    <w:p>
      <w:pPr>
        <w:pStyle w:val="TOC3"/>
        <w:tabs>
          <w:tab w:val="right" w:leader="dot" w:pos="9406"/>
        </w:tabs>
      </w:pPr>
      <w:hyperlink w:anchor="_LarkToc00016" w:history="1">
        <w:r>
          <w:t>3.1.3  项目管理机制</w:t>
        </w:r>
        <w:r>
          <w:tab/>
        </w:r>
        <w:r>
          <w:fldChar w:fldCharType="begin"/>
        </w:r>
        <w:r>
          <w:instrText xml:space="preserve"> PAGEREF _LarkToc00016 \h </w:instrText>
        </w:r>
        <w:r>
          <w:fldChar w:fldCharType="separate"/>
        </w:r>
        <w:r>
          <w:t>11</w:t>
        </w:r>
        <w:r>
          <w:fldChar w:fldCharType="end"/>
        </w:r>
      </w:hyperlink>
    </w:p>
    <w:p>
      <w:pPr>
        <w:pStyle w:val="TOC2"/>
        <w:tabs>
          <w:tab w:val="right" w:leader="dot" w:pos="9406"/>
        </w:tabs>
      </w:pPr>
      <w:hyperlink w:anchor="_LarkToc00017" w:history="1">
        <w:r>
          <w:t>3.2  业务分析方案</w:t>
        </w:r>
        <w:r>
          <w:tab/>
        </w:r>
        <w:r>
          <w:fldChar w:fldCharType="begin"/>
        </w:r>
        <w:r>
          <w:instrText xml:space="preserve"> PAGEREF _LarkToc00017 \h </w:instrText>
        </w:r>
        <w:r>
          <w:fldChar w:fldCharType="separate"/>
        </w:r>
        <w:r>
          <w:t>12</w:t>
        </w:r>
        <w:r>
          <w:fldChar w:fldCharType="end"/>
        </w:r>
      </w:hyperlink>
    </w:p>
    <w:p>
      <w:pPr>
        <w:pStyle w:val="TOC3"/>
        <w:tabs>
          <w:tab w:val="right" w:leader="dot" w:pos="9406"/>
        </w:tabs>
      </w:pPr>
      <w:hyperlink w:anchor="_LarkToc00018" w:history="1">
        <w:r>
          <w:t>3.2.1  市场分析</w:t>
        </w:r>
        <w:r>
          <w:tab/>
        </w:r>
        <w:r>
          <w:fldChar w:fldCharType="begin"/>
        </w:r>
        <w:r>
          <w:instrText xml:space="preserve"> PAGEREF _LarkToc00018 \h </w:instrText>
        </w:r>
        <w:r>
          <w:fldChar w:fldCharType="separate"/>
        </w:r>
        <w:r>
          <w:t>12</w:t>
        </w:r>
        <w:r>
          <w:fldChar w:fldCharType="end"/>
        </w:r>
      </w:hyperlink>
    </w:p>
    <w:p>
      <w:pPr>
        <w:pStyle w:val="TOC3"/>
        <w:tabs>
          <w:tab w:val="right" w:leader="dot" w:pos="9406"/>
        </w:tabs>
      </w:pPr>
      <w:hyperlink w:anchor="_LarkToc00019" w:history="1">
        <w:r>
          <w:t>3.2.2  竞品分析</w:t>
        </w:r>
        <w:r>
          <w:tab/>
        </w:r>
        <w:r>
          <w:fldChar w:fldCharType="begin"/>
        </w:r>
        <w:r>
          <w:instrText xml:space="preserve"> PAGEREF _LarkToc00019 \h </w:instrText>
        </w:r>
        <w:r>
          <w:fldChar w:fldCharType="separate"/>
        </w:r>
        <w:r>
          <w:t>13</w:t>
        </w:r>
        <w:r>
          <w:fldChar w:fldCharType="end"/>
        </w:r>
      </w:hyperlink>
    </w:p>
    <w:p>
      <w:pPr>
        <w:pStyle w:val="TOC3"/>
        <w:tabs>
          <w:tab w:val="right" w:leader="dot" w:pos="9406"/>
        </w:tabs>
      </w:pPr>
      <w:hyperlink w:anchor="_LarkToc00020" w:history="1">
        <w:r>
          <w:t>3.2.3  目标客户与业务场景</w:t>
        </w:r>
        <w:r>
          <w:tab/>
        </w:r>
        <w:r>
          <w:fldChar w:fldCharType="begin"/>
        </w:r>
        <w:r>
          <w:instrText xml:space="preserve"> PAGEREF _LarkToc00020 \h </w:instrText>
        </w:r>
        <w:r>
          <w:fldChar w:fldCharType="separate"/>
        </w:r>
        <w:r>
          <w:t>14</w:t>
        </w:r>
        <w:r>
          <w:fldChar w:fldCharType="end"/>
        </w:r>
      </w:hyperlink>
    </w:p>
    <w:p>
      <w:pPr>
        <w:pStyle w:val="TOC3"/>
        <w:tabs>
          <w:tab w:val="right" w:leader="dot" w:pos="9406"/>
        </w:tabs>
      </w:pPr>
      <w:hyperlink w:anchor="_LarkToc00021" w:history="1">
        <w:r>
          <w:t>3.2.4  业务流程分析</w:t>
        </w:r>
        <w:r>
          <w:tab/>
        </w:r>
        <w:r>
          <w:fldChar w:fldCharType="begin"/>
        </w:r>
        <w:r>
          <w:instrText xml:space="preserve"> PAGEREF _LarkToc00021 \h </w:instrText>
        </w:r>
        <w:r>
          <w:fldChar w:fldCharType="separate"/>
        </w:r>
        <w:r>
          <w:t>15</w:t>
        </w:r>
        <w:r>
          <w:fldChar w:fldCharType="end"/>
        </w:r>
      </w:hyperlink>
    </w:p>
    <w:p>
      <w:pPr>
        <w:pStyle w:val="TOC3"/>
        <w:tabs>
          <w:tab w:val="right" w:leader="dot" w:pos="9406"/>
        </w:tabs>
      </w:pPr>
      <w:hyperlink w:anchor="_LarkToc00022" w:history="1">
        <w:r>
          <w:t>3.2.5  需求优先级与实施排期</w:t>
        </w:r>
        <w:r>
          <w:tab/>
        </w:r>
        <w:r>
          <w:fldChar w:fldCharType="begin"/>
        </w:r>
        <w:r>
          <w:instrText xml:space="preserve"> PAGEREF _LarkToc00022 \h </w:instrText>
        </w:r>
        <w:r>
          <w:fldChar w:fldCharType="separate"/>
        </w:r>
        <w:r>
          <w:t>16</w:t>
        </w:r>
        <w:r>
          <w:fldChar w:fldCharType="end"/>
        </w:r>
      </w:hyperlink>
    </w:p>
    <w:p>
      <w:pPr>
        <w:pStyle w:val="TOC3"/>
        <w:tabs>
          <w:tab w:val="right" w:leader="dot" w:pos="9406"/>
        </w:tabs>
      </w:pPr>
      <w:hyperlink w:anchor="_LarkToc00023" w:history="1">
        <w:r>
          <w:t>3.2.6  社会、法律、文化影响分析</w:t>
        </w:r>
        <w:r>
          <w:tab/>
        </w:r>
        <w:r>
          <w:fldChar w:fldCharType="begin"/>
        </w:r>
        <w:r>
          <w:instrText xml:space="preserve"> PAGEREF _LarkToc00023 \h </w:instrText>
        </w:r>
        <w:r>
          <w:fldChar w:fldCharType="separate"/>
        </w:r>
        <w:r>
          <w:t>17</w:t>
        </w:r>
        <w:r>
          <w:fldChar w:fldCharType="end"/>
        </w:r>
      </w:hyperlink>
    </w:p>
    <w:p>
      <w:pPr>
        <w:pStyle w:val="TOC1"/>
        <w:tabs>
          <w:tab w:val="right" w:leader="dot" w:pos="9406"/>
        </w:tabs>
      </w:pPr>
      <w:hyperlink w:anchor="_LarkToc00024" w:history="1">
        <w:r>
          <w:t>S2D  成本模型及可行性分析</w:t>
        </w:r>
        <w:r>
          <w:tab/>
        </w:r>
        <w:r>
          <w:fldChar w:fldCharType="begin"/>
        </w:r>
        <w:r>
          <w:instrText xml:space="preserve"> PAGEREF _LarkToc00024 \h </w:instrText>
        </w:r>
        <w:r>
          <w:fldChar w:fldCharType="separate"/>
        </w:r>
        <w:r>
          <w:t>18</w:t>
        </w:r>
        <w:r>
          <w:fldChar w:fldCharType="end"/>
        </w:r>
      </w:hyperlink>
    </w:p>
    <w:p>
      <w:pPr>
        <w:pStyle w:val="TOC2"/>
        <w:tabs>
          <w:tab w:val="right" w:leader="dot" w:pos="9406"/>
        </w:tabs>
      </w:pPr>
      <w:hyperlink w:anchor="_LarkToc00025" w:history="1">
        <w:r>
          <w:t>5.1  成本模型</w:t>
        </w:r>
        <w:r>
          <w:tab/>
        </w:r>
        <w:r>
          <w:fldChar w:fldCharType="begin"/>
        </w:r>
        <w:r>
          <w:instrText xml:space="preserve"> PAGEREF _LarkToc00025 \h </w:instrText>
        </w:r>
        <w:r>
          <w:fldChar w:fldCharType="separate"/>
        </w:r>
        <w:r>
          <w:t>18</w:t>
        </w:r>
        <w:r>
          <w:fldChar w:fldCharType="end"/>
        </w:r>
      </w:hyperlink>
    </w:p>
    <w:p>
      <w:pPr>
        <w:pStyle w:val="TOC3"/>
        <w:tabs>
          <w:tab w:val="right" w:leader="dot" w:pos="9406"/>
        </w:tabs>
      </w:pPr>
      <w:hyperlink w:anchor="_LarkToc00026" w:history="1">
        <w:r>
          <w:t>5.1.1  一次性投入成本</w:t>
        </w:r>
        <w:r>
          <w:tab/>
        </w:r>
        <w:r>
          <w:fldChar w:fldCharType="begin"/>
        </w:r>
        <w:r>
          <w:instrText xml:space="preserve"> PAGEREF _LarkToc00026 \h </w:instrText>
        </w:r>
        <w:r>
          <w:fldChar w:fldCharType="separate"/>
        </w:r>
        <w:r>
          <w:t>18</w:t>
        </w:r>
        <w:r>
          <w:fldChar w:fldCharType="end"/>
        </w:r>
      </w:hyperlink>
    </w:p>
    <w:p>
      <w:pPr>
        <w:pStyle w:val="TOC3"/>
        <w:tabs>
          <w:tab w:val="right" w:leader="dot" w:pos="9406"/>
        </w:tabs>
      </w:pPr>
      <w:hyperlink w:anchor="_LarkToc00027" w:history="1">
        <w:r>
          <w:t>5.1.2  运营期成本</w:t>
        </w:r>
        <w:r>
          <w:tab/>
        </w:r>
        <w:r>
          <w:fldChar w:fldCharType="begin"/>
        </w:r>
        <w:r>
          <w:instrText xml:space="preserve"> PAGEREF _LarkToc00027 \h </w:instrText>
        </w:r>
        <w:r>
          <w:fldChar w:fldCharType="separate"/>
        </w:r>
        <w:r>
          <w:t>18</w:t>
        </w:r>
        <w:r>
          <w:fldChar w:fldCharType="end"/>
        </w:r>
      </w:hyperlink>
    </w:p>
    <w:p>
      <w:pPr>
        <w:pStyle w:val="TOC3"/>
        <w:tabs>
          <w:tab w:val="right" w:leader="dot" w:pos="9406"/>
        </w:tabs>
      </w:pPr>
      <w:hyperlink w:anchor="_LarkToc00028" w:history="1">
        <w:r>
          <w:t>5.1.3  成本控制策略</w:t>
        </w:r>
        <w:r>
          <w:tab/>
        </w:r>
        <w:r>
          <w:fldChar w:fldCharType="begin"/>
        </w:r>
        <w:r>
          <w:instrText xml:space="preserve"> PAGEREF _LarkToc00028 \h </w:instrText>
        </w:r>
        <w:r>
          <w:fldChar w:fldCharType="separate"/>
        </w:r>
        <w:r>
          <w:t>18</w:t>
        </w:r>
        <w:r>
          <w:fldChar w:fldCharType="end"/>
        </w:r>
      </w:hyperlink>
    </w:p>
    <w:p>
      <w:pPr>
        <w:pStyle w:val="TOC2"/>
        <w:tabs>
          <w:tab w:val="right" w:leader="dot" w:pos="9406"/>
        </w:tabs>
      </w:pPr>
      <w:hyperlink w:anchor="_LarkToc00029" w:history="1">
        <w:r>
          <w:t>5.2  可行性分析</w:t>
        </w:r>
        <w:r>
          <w:tab/>
        </w:r>
        <w:r>
          <w:fldChar w:fldCharType="begin"/>
        </w:r>
        <w:r>
          <w:instrText xml:space="preserve"> PAGEREF _LarkToc00029 \h </w:instrText>
        </w:r>
        <w:r>
          <w:fldChar w:fldCharType="separate"/>
        </w:r>
        <w:r>
          <w:t>19</w:t>
        </w:r>
        <w:r>
          <w:fldChar w:fldCharType="end"/>
        </w:r>
      </w:hyperlink>
    </w:p>
    <w:p>
      <w:pPr>
        <w:pStyle w:val="TOC3"/>
        <w:tabs>
          <w:tab w:val="right" w:leader="dot" w:pos="9406"/>
        </w:tabs>
      </w:pPr>
      <w:hyperlink w:anchor="_LarkToc00030" w:history="1">
        <w:r>
          <w:t>5.2.1  技术可行性</w:t>
        </w:r>
        <w:r>
          <w:tab/>
        </w:r>
        <w:r>
          <w:fldChar w:fldCharType="begin"/>
        </w:r>
        <w:r>
          <w:instrText xml:space="preserve"> PAGEREF _LarkToc00030 \h </w:instrText>
        </w:r>
        <w:r>
          <w:fldChar w:fldCharType="separate"/>
        </w:r>
        <w:r>
          <w:t>19</w:t>
        </w:r>
        <w:r>
          <w:fldChar w:fldCharType="end"/>
        </w:r>
      </w:hyperlink>
    </w:p>
    <w:p>
      <w:pPr>
        <w:pStyle w:val="TOC3"/>
        <w:tabs>
          <w:tab w:val="right" w:leader="dot" w:pos="9406"/>
        </w:tabs>
      </w:pPr>
      <w:hyperlink w:anchor="_LarkToc00031" w:history="1">
        <w:r>
          <w:t>5.2.2  经济可行性</w:t>
        </w:r>
        <w:r>
          <w:tab/>
        </w:r>
        <w:r>
          <w:fldChar w:fldCharType="begin"/>
        </w:r>
        <w:r>
          <w:instrText xml:space="preserve"> PAGEREF _LarkToc00031 \h </w:instrText>
        </w:r>
        <w:r>
          <w:fldChar w:fldCharType="separate"/>
        </w:r>
        <w:r>
          <w:t>19</w:t>
        </w:r>
        <w:r>
          <w:fldChar w:fldCharType="end"/>
        </w:r>
      </w:hyperlink>
    </w:p>
    <w:p>
      <w:pPr>
        <w:pStyle w:val="TOC3"/>
        <w:tabs>
          <w:tab w:val="right" w:leader="dot" w:pos="9406"/>
        </w:tabs>
      </w:pPr>
      <w:hyperlink w:anchor="_LarkToc00032" w:history="1">
        <w:r>
          <w:t>5.2.3  运营可行性</w:t>
        </w:r>
        <w:r>
          <w:tab/>
        </w:r>
        <w:r>
          <w:fldChar w:fldCharType="begin"/>
        </w:r>
        <w:r>
          <w:instrText xml:space="preserve"> PAGEREF _LarkToc00032 \h </w:instrText>
        </w:r>
        <w:r>
          <w:fldChar w:fldCharType="separate"/>
        </w:r>
        <w:r>
          <w:t>20</w:t>
        </w:r>
        <w:r>
          <w:fldChar w:fldCharType="end"/>
        </w:r>
      </w:hyperlink>
    </w:p>
    <w:p>
      <w:pPr>
        <w:pStyle w:val="TOC3"/>
        <w:tabs>
          <w:tab w:val="right" w:leader="dot" w:pos="9406"/>
        </w:tabs>
      </w:pPr>
      <w:hyperlink w:anchor="_LarkToc00033" w:history="1">
        <w:r>
          <w:t>5.2.4  风险与应对</w:t>
        </w:r>
        <w:r>
          <w:tab/>
        </w:r>
        <w:r>
          <w:fldChar w:fldCharType="begin"/>
        </w:r>
        <w:r>
          <w:instrText xml:space="preserve"> PAGEREF _LarkToc00033 \h </w:instrText>
        </w:r>
        <w:r>
          <w:fldChar w:fldCharType="separate"/>
        </w:r>
        <w:r>
          <w:t>20</w:t>
        </w:r>
        <w:r>
          <w:fldChar w:fldCharType="end"/>
        </w:r>
      </w:hyperlink>
    </w:p>
    <w:p>
      <w:pPr>
        <w:pStyle w:val="TOC2"/>
        <w:tabs>
          <w:tab w:val="right" w:leader="dot" w:pos="9406"/>
        </w:tabs>
      </w:pPr>
      <w:hyperlink w:anchor="_LarkToc00034" w:history="1">
        <w:r>
          <w:t>5.3  落地推广路径</w:t>
        </w:r>
        <w:r>
          <w:tab/>
        </w:r>
        <w:r>
          <w:fldChar w:fldCharType="begin"/>
        </w:r>
        <w:r>
          <w:instrText xml:space="preserve"> PAGEREF _LarkToc00034 \h </w:instrText>
        </w:r>
        <w:r>
          <w:fldChar w:fldCharType="separate"/>
        </w:r>
        <w:r>
          <w:t>21</w:t>
        </w:r>
        <w:r>
          <w:fldChar w:fldCharType="end"/>
        </w:r>
      </w:hyperlink>
    </w:p>
    <w:p>
      <w:pPr>
        <w:pStyle w:val="TOC1"/>
        <w:tabs>
          <w:tab w:val="right" w:leader="dot" w:pos="9406"/>
        </w:tabs>
      </w:pPr>
      <w:hyperlink w:anchor="_LarkToc00035" w:history="1">
        <w:r>
          <w:t>方案整体竞争力总结</w:t>
        </w:r>
        <w:r>
          <w:tab/>
        </w:r>
        <w:r>
          <w:fldChar w:fldCharType="begin"/>
        </w:r>
        <w:r>
          <w:instrText xml:space="preserve"> PAGEREF _LarkToc00035 \h </w:instrText>
        </w:r>
        <w:r>
          <w:fldChar w:fldCharType="separate"/>
        </w:r>
        <w:r>
          <w:t>22</w:t>
        </w:r>
        <w:r>
          <w:fldChar w:fldCharType="end"/>
        </w:r>
      </w:hyperlink>
    </w:p>
    <w:p>
      <w:pPr>
        <w:pStyle w:val="TOC1"/>
        <w:tabs>
          <w:tab w:val="right" w:leader="dot" w:pos="9406"/>
        </w:tabs>
      </w:pPr>
      <w:hyperlink w:anchor="_LarkToc00036" w:history="1">
        <w:r>
          <w:t>附录A  团队协作说明</w:t>
        </w:r>
        <w:r>
          <w:tab/>
        </w:r>
        <w:r>
          <w:fldChar w:fldCharType="begin"/>
        </w:r>
        <w:r>
          <w:instrText xml:space="preserve"> PAGEREF _LarkToc00036 \h </w:instrText>
        </w:r>
        <w:r>
          <w:fldChar w:fldCharType="separate"/>
        </w:r>
        <w:r>
          <w:t>23</w:t>
        </w:r>
        <w:r>
          <w:fldChar w:fldCharType="end"/>
        </w:r>
      </w:hyperlink>
      <w:r>
        <w:fldChar w:fldCharType="end"/>
      </w:r>
    </w:p>
    <w:p w14:paraId="3E9EAFC6">
      <w:pPr>
        <w:pStyle w:val="3"/>
      </w:pPr>
      <w:bookmarkStart w:id="1" w:name="_LarkToc00001"/>
      <w:r>
        <w:rPr>
          <w:rFonts w:ascii="黑体" w:hAnsi="黑体" w:eastAsia="黑体"/>
        </w:rPr>
        <w:t>参赛团队角色分工</w:t>
      </w:r>
      <w:bookmarkEnd w:id="1"/>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68"/>
        <w:gridCol w:w="850"/>
        <w:gridCol w:w="3969"/>
        <w:gridCol w:w="1701"/>
      </w:tblGrid>
      <w:tr w14:paraId="5E2607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5552482">
            <w:pPr>
              <w:spacing w:after="0" w:line="240" w:lineRule="auto"/>
              <w:jc w:val="center"/>
            </w:pPr>
            <w:r>
              <w:t>角色</w:t>
            </w:r>
          </w:p>
        </w:tc>
        <w:tc>
          <w:tcPr>
            <w:tcW w:w="850" w:type="dxa"/>
          </w:tcPr>
          <w:p w14:paraId="768E68E9">
            <w:pPr>
              <w:spacing w:after="0" w:line="240" w:lineRule="auto"/>
              <w:jc w:val="center"/>
            </w:pPr>
            <w:r>
              <w:t>代号</w:t>
            </w:r>
          </w:p>
        </w:tc>
        <w:tc>
          <w:tcPr>
            <w:tcW w:w="3969" w:type="dxa"/>
          </w:tcPr>
          <w:p w14:paraId="6E4F1609">
            <w:pPr>
              <w:spacing w:after="0" w:line="240" w:lineRule="auto"/>
              <w:jc w:val="center"/>
            </w:pPr>
            <w:r>
              <w:t>主要职责</w:t>
            </w:r>
          </w:p>
        </w:tc>
        <w:tc>
          <w:tcPr>
            <w:tcW w:w="1701" w:type="dxa"/>
          </w:tcPr>
          <w:p w14:paraId="5E1C9540">
            <w:pPr>
              <w:spacing w:after="0" w:line="240" w:lineRule="auto"/>
              <w:jc w:val="center"/>
            </w:pPr>
            <w:r>
              <w:t>对应方案模块</w:t>
            </w:r>
          </w:p>
        </w:tc>
      </w:tr>
      <w:tr w14:paraId="6F9FE8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3162D6D">
            <w:pPr>
              <w:spacing w:after="0" w:line="240" w:lineRule="auto"/>
              <w:jc w:val="center"/>
            </w:pPr>
            <w:r>
              <w:t>团队负责人/产品策划</w:t>
            </w:r>
          </w:p>
        </w:tc>
        <w:tc>
          <w:tcPr>
            <w:tcW w:w="850" w:type="dxa"/>
          </w:tcPr>
          <w:p w14:paraId="6F3E3452">
            <w:pPr>
              <w:spacing w:after="0" w:line="240" w:lineRule="auto"/>
              <w:jc w:val="center"/>
            </w:pPr>
            <w:r>
              <w:t>A</w:t>
            </w:r>
          </w:p>
        </w:tc>
        <w:tc>
          <w:tcPr>
            <w:tcW w:w="3969" w:type="dxa"/>
          </w:tcPr>
          <w:p w14:paraId="15ACA8C7">
            <w:pPr>
              <w:spacing w:after="0" w:line="240" w:lineRule="auto"/>
              <w:jc w:val="center"/>
            </w:pPr>
            <w:r>
              <w:t>赛题价值研判、服务模型设计、整体方案统筹</w:t>
            </w:r>
          </w:p>
        </w:tc>
        <w:tc>
          <w:tcPr>
            <w:tcW w:w="1701" w:type="dxa"/>
          </w:tcPr>
          <w:p w14:paraId="21E93586">
            <w:pPr>
              <w:spacing w:after="0" w:line="240" w:lineRule="auto"/>
              <w:jc w:val="center"/>
            </w:pPr>
            <w:r>
              <w:t>S2A（</w:t>
            </w:r>
            <w:r>
              <w:rPr>
                <w:rFonts w:hint="eastAsia"/>
                <w:lang w:val="en-US" w:eastAsia="zh-CN"/>
              </w:rPr>
              <w:t>陈伽睿</w:t>
            </w:r>
            <w:r>
              <w:t>）</w:t>
            </w:r>
          </w:p>
        </w:tc>
      </w:tr>
      <w:tr w14:paraId="132E89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8C90158">
            <w:pPr>
              <w:spacing w:after="0" w:line="240" w:lineRule="auto"/>
              <w:jc w:val="center"/>
            </w:pPr>
            <w:r>
              <w:t>项目经理</w:t>
            </w:r>
          </w:p>
        </w:tc>
        <w:tc>
          <w:tcPr>
            <w:tcW w:w="850" w:type="dxa"/>
          </w:tcPr>
          <w:p w14:paraId="3051A452">
            <w:pPr>
              <w:spacing w:after="0" w:line="240" w:lineRule="auto"/>
              <w:jc w:val="center"/>
            </w:pPr>
            <w:r>
              <w:t>B</w:t>
            </w:r>
          </w:p>
        </w:tc>
        <w:tc>
          <w:tcPr>
            <w:tcW w:w="3969" w:type="dxa"/>
          </w:tcPr>
          <w:p w14:paraId="2A446C30">
            <w:pPr>
              <w:spacing w:after="0" w:line="240" w:lineRule="auto"/>
              <w:jc w:val="center"/>
            </w:pPr>
            <w:r>
              <w:t>组织管理、业务分析、进度管控、需求拆解</w:t>
            </w:r>
          </w:p>
        </w:tc>
        <w:tc>
          <w:tcPr>
            <w:tcW w:w="1701" w:type="dxa"/>
          </w:tcPr>
          <w:p w14:paraId="5666AA0E">
            <w:pPr>
              <w:spacing w:after="0" w:line="240" w:lineRule="auto"/>
              <w:jc w:val="center"/>
            </w:pPr>
            <w:r>
              <w:t>S2B（</w:t>
            </w:r>
            <w:r>
              <w:rPr>
                <w:rFonts w:hint="eastAsia"/>
                <w:lang w:val="en-US" w:eastAsia="zh-CN"/>
              </w:rPr>
              <w:t>吴苏萍</w:t>
            </w:r>
            <w:r>
              <w:t>）</w:t>
            </w:r>
          </w:p>
        </w:tc>
      </w:tr>
      <w:tr w14:paraId="06DAA2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FB21EDD">
            <w:pPr>
              <w:spacing w:after="0" w:line="240" w:lineRule="auto"/>
              <w:jc w:val="center"/>
            </w:pPr>
            <w:r>
              <w:t>技术经理</w:t>
            </w:r>
          </w:p>
        </w:tc>
        <w:tc>
          <w:tcPr>
            <w:tcW w:w="850" w:type="dxa"/>
          </w:tcPr>
          <w:p w14:paraId="38E4077D">
            <w:pPr>
              <w:spacing w:after="0" w:line="240" w:lineRule="auto"/>
              <w:jc w:val="center"/>
            </w:pPr>
            <w:r>
              <w:t>C</w:t>
            </w:r>
          </w:p>
        </w:tc>
        <w:tc>
          <w:tcPr>
            <w:tcW w:w="3969" w:type="dxa"/>
          </w:tcPr>
          <w:p w14:paraId="54599802">
            <w:pPr>
              <w:spacing w:after="0" w:line="240" w:lineRule="auto"/>
              <w:jc w:val="center"/>
            </w:pPr>
            <w:r>
              <w:t>技术路线选型、架构设计、核心编码实现</w:t>
            </w:r>
          </w:p>
        </w:tc>
        <w:tc>
          <w:tcPr>
            <w:tcW w:w="1701" w:type="dxa"/>
          </w:tcPr>
          <w:p w14:paraId="70437F2D">
            <w:pPr>
              <w:spacing w:after="0" w:line="240" w:lineRule="auto"/>
              <w:jc w:val="center"/>
            </w:pPr>
            <w:r>
              <w:t>S2C（</w:t>
            </w:r>
            <w:r>
              <w:rPr>
                <w:rFonts w:hint="eastAsia"/>
                <w:lang w:val="en-US" w:eastAsia="zh-CN"/>
              </w:rPr>
              <w:t>江南</w:t>
            </w:r>
            <w:r>
              <w:t>）</w:t>
            </w:r>
          </w:p>
        </w:tc>
      </w:tr>
      <w:tr w14:paraId="2D7C00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F88FD5E">
            <w:pPr>
              <w:spacing w:after="0" w:line="240" w:lineRule="auto"/>
              <w:jc w:val="center"/>
            </w:pPr>
            <w:r>
              <w:t>客户关系经理</w:t>
            </w:r>
          </w:p>
        </w:tc>
        <w:tc>
          <w:tcPr>
            <w:tcW w:w="850" w:type="dxa"/>
          </w:tcPr>
          <w:p w14:paraId="561966AB">
            <w:pPr>
              <w:spacing w:after="0" w:line="240" w:lineRule="auto"/>
              <w:jc w:val="center"/>
            </w:pPr>
            <w:r>
              <w:t>D</w:t>
            </w:r>
          </w:p>
        </w:tc>
        <w:tc>
          <w:tcPr>
            <w:tcW w:w="3969" w:type="dxa"/>
          </w:tcPr>
          <w:p w14:paraId="2EACFC63">
            <w:pPr>
              <w:spacing w:after="0" w:line="240" w:lineRule="auto"/>
              <w:jc w:val="center"/>
            </w:pPr>
            <w:r>
              <w:t>成本测算、可行性分析、客户对接、商务落地</w:t>
            </w:r>
          </w:p>
        </w:tc>
        <w:tc>
          <w:tcPr>
            <w:tcW w:w="1701" w:type="dxa"/>
          </w:tcPr>
          <w:p w14:paraId="03F4FD1B">
            <w:pPr>
              <w:spacing w:after="0" w:line="240" w:lineRule="auto"/>
              <w:jc w:val="center"/>
            </w:pPr>
            <w:r>
              <w:t>S2D（</w:t>
            </w:r>
            <w:r>
              <w:rPr>
                <w:rFonts w:hint="eastAsia"/>
                <w:lang w:val="en-US" w:eastAsia="zh-CN"/>
              </w:rPr>
              <w:t>吴韵谦</w:t>
            </w:r>
            <w:r>
              <w:t>）</w:t>
            </w:r>
          </w:p>
        </w:tc>
      </w:tr>
    </w:tbl>
    <w:p w14:paraId="02F6228B">
      <w:r>
        <w:t>各成员在对应模块中担任主笔，同时全程参与其他模块的协作与评审，以保证方案整体的一致性与完整性。</w:t>
      </w:r>
    </w:p>
    <w:p w14:paraId="410CB09E">
      <w:r>
        <w:br w:type="page"/>
      </w:r>
    </w:p>
    <w:p w14:paraId="7134876F">
      <w:pPr>
        <w:pStyle w:val="3"/>
      </w:pPr>
      <w:bookmarkStart w:id="2" w:name="_LarkToc00002"/>
      <w:r>
        <w:rPr>
          <w:rFonts w:ascii="黑体" w:hAnsi="黑体" w:eastAsia="黑体"/>
        </w:rPr>
        <w:t>S1  方案概要</w:t>
      </w:r>
      <w:bookmarkEnd w:id="2"/>
    </w:p>
    <w:p w14:paraId="4E28B3C1">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pPr>
      <w:r>
        <w:t>在教育信息化持续推进的背景下，传统教学工具在实际使用中暴露出四个较为突出的问题：功能分散导致频繁切换、AI对教学意图理解较浅、课件制作耗时较长、学校已有教学资料未能形成有效利用。这些因素叠加，使得教师从事务性制作向教学设计创新转型的过程面临较多阻碍。</w:t>
      </w:r>
      <w:r>
        <w:br w:type="textWrapping"/>
      </w:r>
      <w:r>
        <w:t>本方案面向锐捷网络教育信息化应用场景，构建多模态AI互动式教学智能体。系统采用大语言模型融合多模态解析与本地RAG知识库的技术路线，形成从输入、理解、融合、生成、迭代到导出的完整教学课件生产闭环。在该闭环下，PPTX课件、Word教案与HTML5互动游戏三类产物可在分钟级时间内并行产出。</w:t>
      </w:r>
    </w:p>
    <w:p w14:paraId="1FC6C8E3">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pPr>
      <w:r>
        <w:t>系统以教师教学意图为核心驱动。大语言模型首先对教学目标、重难点、授课对象及课堂活动进行结构化解析，经多轮确认后，融合教师意图、上传参考资料与本地知识库检索结果，生成标准化课件指令。课件生成引擎在此基础上并行产出三类教学产物，教师可通过自然语言进行迭代调整并一键导出，从而将教师从重复性事务工作中释放出来。</w:t>
      </w:r>
    </w:p>
    <w:p w14:paraId="5E954AD0">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pPr>
      <w:r>
        <w:t>方案的创新点主要体现在以下五个方面：其一，以LLM结构化教学意图解析为核心驱动，区别于常见的关键词匹配加模板填充式浅层生成；其二，本地RAG知识库对学校已有教学资料进行结构化利用，有效降低AI幻觉并保障内容专业性；其三，多模态输入、多模态解析与三类产物并行生成相结合，覆盖备课、课堂互动与课件迭代的完整流程；其四，采用B/S架构与本地化部署模式，教学数据不出校园，符合教育数据安全相关要求；其五，单校年运营成本约为0.85万至2万元，仅为商业课件平台的五分之一至十分之一，具备规模化推广的经济基础。</w:t>
      </w:r>
    </w:p>
    <w:p w14:paraId="2D3F7547">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pPr>
      <w:r>
        <w:t>在商业落地层面，方案采用B/S架构与本地化部署，可适配锐捷云课堂、智慧教室等教育信息化基础设施。项目一次性投入约3.22万元，技术可行性、经济可行性与运营可行性均经过论证。需要说明的是，本方案为学生实训背景下的可行性研究，相关数据基于公开资料与团队开发验证得出，实际效果将在后续试点中进一步检验。</w:t>
      </w:r>
    </w:p>
    <w:p w14:paraId="457E90E2">
      <w:r>
        <w:br w:type="page"/>
      </w:r>
    </w:p>
    <w:p w14:paraId="0DAA0B09">
      <w:pPr>
        <w:pStyle w:val="3"/>
      </w:pPr>
      <w:bookmarkStart w:id="3" w:name="_LarkToc00003"/>
      <w:r>
        <w:rPr>
          <w:rFonts w:ascii="黑体" w:hAnsi="黑体" w:eastAsia="黑体"/>
        </w:rPr>
        <w:t>S2A  目标与服务模型</w:t>
      </w:r>
      <w:bookmarkEnd w:id="3"/>
    </w:p>
    <w:p w14:paraId="1F061F41">
      <w:r>
        <w:t>本模块由团队负责人</w:t>
      </w:r>
      <w:r>
        <w:rPr>
          <w:rFonts w:hint="eastAsia"/>
          <w:lang w:val="en-US" w:eastAsia="zh-CN"/>
        </w:rPr>
        <w:t>陈伽睿</w:t>
      </w:r>
      <w:r>
        <w:t>主笔，聚焦赛题价值研判与服务模型设计，主要回答为什么做、做什么以及如何做这三个产品定位层面的问题。</w:t>
      </w:r>
    </w:p>
    <w:p w14:paraId="70F7D597">
      <w:pPr>
        <w:pStyle w:val="4"/>
      </w:pPr>
      <w:bookmarkStart w:id="4" w:name="_LarkToc00004"/>
      <w:r>
        <w:rPr>
          <w:rFonts w:ascii="黑体" w:hAnsi="黑体" w:eastAsia="黑体"/>
        </w:rPr>
        <w:t>2.1  赛题背景与价值研判</w:t>
      </w:r>
      <w:bookmarkEnd w:id="4"/>
    </w:p>
    <w:p w14:paraId="6399E299">
      <w:pPr>
        <w:pStyle w:val="5"/>
      </w:pPr>
      <w:bookmarkStart w:id="5" w:name="_LarkToc00005"/>
      <w:r>
        <w:rPr>
          <w:rFonts w:ascii="黑体" w:hAnsi="黑体" w:eastAsia="黑体"/>
        </w:rPr>
        <w:t>2.1.1  行业痛点分析</w:t>
      </w:r>
      <w:bookmarkEnd w:id="5"/>
    </w:p>
    <w:p w14:paraId="7431ADF2">
      <w:r>
        <w:t>结合锐捷网络教育信息化应用场景，传统教学工具在备课、授课与知识管理环节存在四类核心痛点，具体分析如下表所示：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118"/>
        <w:gridCol w:w="3118"/>
      </w:tblGrid>
      <w:tr w14:paraId="5AE656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078C4C2">
            <w:pPr>
              <w:spacing w:after="0" w:line="240" w:lineRule="auto"/>
              <w:jc w:val="center"/>
            </w:pPr>
            <w:r>
              <w:t>痛点</w:t>
            </w:r>
          </w:p>
        </w:tc>
        <w:tc>
          <w:tcPr>
            <w:tcW w:w="3118" w:type="dxa"/>
          </w:tcPr>
          <w:p w14:paraId="42D80744">
            <w:pPr>
              <w:spacing w:after="0" w:line="240" w:lineRule="auto"/>
              <w:jc w:val="center"/>
            </w:pPr>
            <w:r>
              <w:t>具体表现</w:t>
            </w:r>
          </w:p>
        </w:tc>
        <w:tc>
          <w:tcPr>
            <w:tcW w:w="3118" w:type="dxa"/>
          </w:tcPr>
          <w:p w14:paraId="65695BC8">
            <w:pPr>
              <w:spacing w:after="0" w:line="240" w:lineRule="auto"/>
              <w:jc w:val="center"/>
            </w:pPr>
            <w:r>
              <w:t>对教学的影响</w:t>
            </w:r>
          </w:p>
        </w:tc>
      </w:tr>
      <w:tr w14:paraId="1C8CD2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A3D0470">
            <w:pPr>
              <w:spacing w:after="0" w:line="240" w:lineRule="auto"/>
              <w:jc w:val="center"/>
            </w:pPr>
            <w:r>
              <w:t>功能碎片化</w:t>
            </w:r>
          </w:p>
        </w:tc>
        <w:tc>
          <w:tcPr>
            <w:tcW w:w="3118" w:type="dxa"/>
          </w:tcPr>
          <w:p w14:paraId="0B69784D">
            <w:pPr>
              <w:spacing w:after="0" w:line="240" w:lineRule="auto"/>
              <w:jc w:val="center"/>
            </w:pPr>
            <w:r>
              <w:t>教师需在文档编辑、PPT制作、知识库检索与互动设计等多个工具间频繁切换</w:t>
            </w:r>
          </w:p>
        </w:tc>
        <w:tc>
          <w:tcPr>
            <w:tcW w:w="3118" w:type="dxa"/>
          </w:tcPr>
          <w:p w14:paraId="677AC7C5">
            <w:pPr>
              <w:spacing w:after="0" w:line="240" w:lineRule="auto"/>
              <w:jc w:val="center"/>
            </w:pPr>
            <w:r>
              <w:t>工作流割裂，备课效率受限，工具切换成本较高</w:t>
            </w:r>
          </w:p>
        </w:tc>
      </w:tr>
      <w:tr w14:paraId="61523E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1901781">
            <w:pPr>
              <w:spacing w:after="0" w:line="240" w:lineRule="auto"/>
              <w:jc w:val="center"/>
            </w:pPr>
            <w:r>
              <w:t>意图理解浅</w:t>
            </w:r>
          </w:p>
        </w:tc>
        <w:tc>
          <w:tcPr>
            <w:tcW w:w="3118" w:type="dxa"/>
          </w:tcPr>
          <w:p w14:paraId="166D64EA">
            <w:pPr>
              <w:spacing w:after="0" w:line="240" w:lineRule="auto"/>
              <w:jc w:val="center"/>
            </w:pPr>
            <w:r>
              <w:t>现有AI工具多采用关键词匹配加模板填充的方式</w:t>
            </w:r>
          </w:p>
        </w:tc>
        <w:tc>
          <w:tcPr>
            <w:tcW w:w="3118" w:type="dxa"/>
          </w:tcPr>
          <w:p w14:paraId="36C27826">
            <w:pPr>
              <w:spacing w:after="0" w:line="240" w:lineRule="auto"/>
              <w:jc w:val="center"/>
            </w:pPr>
            <w:r>
              <w:t>难以深度理解教学目标、重难点、授课对象与课堂活动设计等教学意图</w:t>
            </w:r>
          </w:p>
        </w:tc>
      </w:tr>
      <w:tr w14:paraId="08B374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5EE7222">
            <w:pPr>
              <w:spacing w:after="0" w:line="240" w:lineRule="auto"/>
              <w:jc w:val="center"/>
            </w:pPr>
            <w:r>
              <w:t>课件制作繁琐</w:t>
            </w:r>
          </w:p>
        </w:tc>
        <w:tc>
          <w:tcPr>
            <w:tcW w:w="3118" w:type="dxa"/>
          </w:tcPr>
          <w:p w14:paraId="5F3C3D67">
            <w:pPr>
              <w:spacing w:after="0" w:line="240" w:lineRule="auto"/>
              <w:jc w:val="center"/>
            </w:pPr>
            <w:r>
              <w:t>一套完整课件（PPTX加Word教案加互动设计）通常需耗时数小时至数天</w:t>
            </w:r>
          </w:p>
        </w:tc>
        <w:tc>
          <w:tcPr>
            <w:tcW w:w="3118" w:type="dxa"/>
          </w:tcPr>
          <w:p w14:paraId="50D569E5">
            <w:pPr>
              <w:spacing w:after="0" w:line="240" w:lineRule="auto"/>
              <w:jc w:val="center"/>
            </w:pPr>
            <w:r>
              <w:t>重复劳动占比较高，挤占教学设计与学情研究的时间</w:t>
            </w:r>
          </w:p>
        </w:tc>
      </w:tr>
      <w:tr w14:paraId="548651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659F0D6">
            <w:pPr>
              <w:spacing w:after="0" w:line="240" w:lineRule="auto"/>
              <w:jc w:val="center"/>
            </w:pPr>
            <w:r>
              <w:t>知识孤岛</w:t>
            </w:r>
          </w:p>
        </w:tc>
        <w:tc>
          <w:tcPr>
            <w:tcW w:w="3118" w:type="dxa"/>
          </w:tcPr>
          <w:p w14:paraId="08CCB043">
            <w:pPr>
              <w:spacing w:after="0" w:line="240" w:lineRule="auto"/>
              <w:jc w:val="center"/>
            </w:pPr>
            <w:r>
              <w:t>学校积累的PDF教材、教案与课件等优质教学资料未得到结构化利用</w:t>
            </w:r>
          </w:p>
        </w:tc>
        <w:tc>
          <w:tcPr>
            <w:tcW w:w="3118" w:type="dxa"/>
          </w:tcPr>
          <w:p w14:paraId="43CF77FC">
            <w:pPr>
              <w:spacing w:after="0" w:line="240" w:lineRule="auto"/>
              <w:jc w:val="center"/>
            </w:pPr>
            <w:r>
              <w:t>AI生成内容缺乏专业知识支撑，容易产生幻觉问题</w:t>
            </w:r>
          </w:p>
        </w:tc>
      </w:tr>
    </w:tbl>
    <w:p w14:paraId="42D56678">
      <w:pPr>
        <w:jc w:val="center"/>
      </w:pPr>
      <w:r>
        <w:drawing>
          <wp:inline distT="0" distB="0" distL="114300" distR="114300">
            <wp:extent cx="5029200" cy="2796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796829"/>
                    </a:xfrm>
                    <a:prstGeom prst="rect">
                      <a:avLst/>
                    </a:prstGeom>
                  </pic:spPr>
                </pic:pic>
              </a:graphicData>
            </a:graphic>
          </wp:inline>
        </w:drawing>
      </w:r>
    </w:p>
    <w:p w14:paraId="7E59E5CA">
      <w:pPr>
        <w:jc w:val="center"/>
      </w:pPr>
      <w:r>
        <w:rPr>
          <w:i/>
          <w:color w:val="64748B"/>
          <w:sz w:val="18"/>
        </w:rPr>
        <w:t>图2-1  传统教学工具核心痛点影响程度分析</w:t>
      </w:r>
    </w:p>
    <w:p w14:paraId="45DD1756">
      <w:pPr>
        <w:pStyle w:val="5"/>
      </w:pPr>
      <w:bookmarkStart w:id="6" w:name="_LarkToc00006"/>
      <w:r>
        <w:rPr>
          <w:rFonts w:ascii="黑体" w:hAnsi="黑体" w:eastAsia="黑体"/>
        </w:rPr>
        <w:t>2.1.2  赛题价值研判</w:t>
      </w:r>
      <w:bookmarkEnd w:id="6"/>
    </w:p>
    <w:p w14:paraId="45C8C49F">
      <w:r>
        <w:t>本项目所构建的多模态AI互动式教学智能体，旨在通过大语言模型、多模态解析与本地RAG知识库相融合的技术架构，推动教师从事务型制作向教学设计型创新转变。方案的核心价值可从以下四个维度进行评估：</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6236"/>
      </w:tblGrid>
      <w:tr w14:paraId="5904CC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CC79149">
            <w:pPr>
              <w:spacing w:after="0" w:line="240" w:lineRule="auto"/>
              <w:jc w:val="center"/>
            </w:pPr>
            <w:r>
              <w:t>价值维度</w:t>
            </w:r>
          </w:p>
        </w:tc>
        <w:tc>
          <w:tcPr>
            <w:tcW w:w="6236" w:type="dxa"/>
          </w:tcPr>
          <w:p w14:paraId="18EF0111">
            <w:pPr>
              <w:spacing w:after="0" w:line="240" w:lineRule="auto"/>
              <w:jc w:val="center"/>
            </w:pPr>
            <w:r>
              <w:t>具体体现</w:t>
            </w:r>
          </w:p>
        </w:tc>
      </w:tr>
      <w:tr w14:paraId="0832FC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4D7D29F">
            <w:pPr>
              <w:spacing w:after="0" w:line="240" w:lineRule="auto"/>
              <w:jc w:val="center"/>
            </w:pPr>
            <w:r>
              <w:t>效率价值</w:t>
            </w:r>
          </w:p>
        </w:tc>
        <w:tc>
          <w:tcPr>
            <w:tcW w:w="6236" w:type="dxa"/>
          </w:tcPr>
          <w:p w14:paraId="7835ECE9">
            <w:pPr>
              <w:spacing w:after="0" w:line="240" w:lineRule="auto"/>
              <w:jc w:val="center"/>
            </w:pPr>
            <w:r>
              <w:t>分钟级生成完整PPTX课件、Word教案与HTML5互动游戏，目标备课效率提升80%以上</w:t>
            </w:r>
          </w:p>
        </w:tc>
      </w:tr>
      <w:tr w14:paraId="168A61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4A37CE3">
            <w:pPr>
              <w:spacing w:after="0" w:line="240" w:lineRule="auto"/>
              <w:jc w:val="center"/>
            </w:pPr>
            <w:r>
              <w:t>质量价值</w:t>
            </w:r>
          </w:p>
        </w:tc>
        <w:tc>
          <w:tcPr>
            <w:tcW w:w="6236" w:type="dxa"/>
          </w:tcPr>
          <w:p w14:paraId="4DBEA2DB">
            <w:pPr>
              <w:spacing w:after="0" w:line="240" w:lineRule="auto"/>
              <w:jc w:val="center"/>
            </w:pPr>
            <w:r>
              <w:t>本地知识库增强结合教学意图深度解析，生成内容贴合学科专业要求，有效降低AI幻觉</w:t>
            </w:r>
          </w:p>
        </w:tc>
      </w:tr>
      <w:tr w14:paraId="36E1B2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7C2EBD3">
            <w:pPr>
              <w:spacing w:after="0" w:line="240" w:lineRule="auto"/>
              <w:jc w:val="center"/>
            </w:pPr>
            <w:r>
              <w:t>体验价值</w:t>
            </w:r>
          </w:p>
        </w:tc>
        <w:tc>
          <w:tcPr>
            <w:tcW w:w="6236" w:type="dxa"/>
          </w:tcPr>
          <w:p w14:paraId="5A80272E">
            <w:pPr>
              <w:spacing w:after="0" w:line="240" w:lineRule="auto"/>
              <w:jc w:val="center"/>
            </w:pPr>
            <w:r>
              <w:t>多模态输入（文字、语音、文件与图片）结合智能多轮澄清，降低教师使用门槛</w:t>
            </w:r>
          </w:p>
        </w:tc>
      </w:tr>
      <w:tr w14:paraId="62DBC5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A1AA6D4">
            <w:pPr>
              <w:spacing w:after="0" w:line="240" w:lineRule="auto"/>
              <w:jc w:val="center"/>
            </w:pPr>
            <w:r>
              <w:t>生态价值</w:t>
            </w:r>
          </w:p>
        </w:tc>
        <w:tc>
          <w:tcPr>
            <w:tcW w:w="6236" w:type="dxa"/>
          </w:tcPr>
          <w:p w14:paraId="19B6F766">
            <w:pPr>
              <w:spacing w:after="0" w:line="240" w:lineRule="auto"/>
              <w:jc w:val="center"/>
            </w:pPr>
            <w:r>
              <w:t>适配锐捷云课堂、智慧教室等教育信息化基础设施，部署方式轻量</w:t>
            </w:r>
          </w:p>
        </w:tc>
      </w:tr>
    </w:tbl>
    <w:p w14:paraId="7E1DEB29">
      <w:pPr>
        <w:jc w:val="center"/>
      </w:pPr>
      <w:r>
        <w:drawing>
          <wp:inline distT="0" distB="0" distL="114300" distR="114300">
            <wp:extent cx="5029200" cy="4791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4791600"/>
                    </a:xfrm>
                    <a:prstGeom prst="rect">
                      <a:avLst/>
                    </a:prstGeom>
                  </pic:spPr>
                </pic:pic>
              </a:graphicData>
            </a:graphic>
          </wp:inline>
        </w:drawing>
      </w:r>
    </w:p>
    <w:p w14:paraId="2A86207D">
      <w:pPr>
        <w:jc w:val="center"/>
      </w:pPr>
      <w:r>
        <w:rPr>
          <w:i/>
          <w:color w:val="64748B"/>
          <w:sz w:val="18"/>
        </w:rPr>
        <w:t>图2-2  方案核心价值维度评估雷达图</w:t>
      </w:r>
    </w:p>
    <w:p w14:paraId="2B4876D5">
      <w:pPr>
        <w:pStyle w:val="4"/>
      </w:pPr>
      <w:bookmarkStart w:id="7" w:name="_LarkToc00007"/>
      <w:r>
        <w:rPr>
          <w:rFonts w:ascii="黑体" w:hAnsi="黑体" w:eastAsia="黑体"/>
        </w:rPr>
        <w:t>2.2  解决思路</w:t>
      </w:r>
      <w:bookmarkEnd w:id="7"/>
    </w:p>
    <w:p w14:paraId="7BF131B8">
      <w:pPr>
        <w:pStyle w:val="5"/>
      </w:pPr>
      <w:bookmarkStart w:id="8" w:name="_LarkToc00008"/>
      <w:r>
        <w:rPr>
          <w:rFonts w:ascii="黑体" w:hAnsi="黑体" w:eastAsia="黑体"/>
        </w:rPr>
        <w:t>2.2.1  总体思路</w:t>
      </w:r>
      <w:bookmarkEnd w:id="8"/>
    </w:p>
    <w:p w14:paraId="5DDC57B6">
      <w:r>
        <w:t>本方案以教师教学意图为核心驱动力，以多模态信息融合为技术枢纽，以本地RAG知识库为专业内容底座，构建从输入到导出的六环节完整闭环。各环节的核心任务如下表所示：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6803"/>
      </w:tblGrid>
      <w:tr w14:paraId="316A0B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E12448C">
            <w:pPr>
              <w:spacing w:after="0" w:line="240" w:lineRule="auto"/>
              <w:jc w:val="center"/>
            </w:pPr>
            <w:r>
              <w:t>环节</w:t>
            </w:r>
          </w:p>
        </w:tc>
        <w:tc>
          <w:tcPr>
            <w:tcW w:w="6803" w:type="dxa"/>
          </w:tcPr>
          <w:p w14:paraId="380BC3E3">
            <w:pPr>
              <w:spacing w:after="0" w:line="240" w:lineRule="auto"/>
              <w:jc w:val="center"/>
            </w:pPr>
            <w:r>
              <w:t>核心任务</w:t>
            </w:r>
          </w:p>
        </w:tc>
      </w:tr>
      <w:tr w14:paraId="5F1720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D5752C0">
            <w:pPr>
              <w:spacing w:after="0" w:line="240" w:lineRule="auto"/>
              <w:jc w:val="center"/>
            </w:pPr>
            <w:r>
              <w:t>输入</w:t>
            </w:r>
          </w:p>
        </w:tc>
        <w:tc>
          <w:tcPr>
            <w:tcW w:w="6803" w:type="dxa"/>
          </w:tcPr>
          <w:p w14:paraId="59BB94A0">
            <w:pPr>
              <w:spacing w:after="0" w:line="240" w:lineRule="auto"/>
              <w:jc w:val="center"/>
            </w:pPr>
            <w:r>
              <w:t>支持文字对话、语音输入、PDF/Word/PPT上传以及图片视频等多模态需求表达</w:t>
            </w:r>
          </w:p>
        </w:tc>
      </w:tr>
      <w:tr w14:paraId="0DF958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02D307B">
            <w:pPr>
              <w:spacing w:after="0" w:line="240" w:lineRule="auto"/>
              <w:jc w:val="center"/>
            </w:pPr>
            <w:r>
              <w:t>理解</w:t>
            </w:r>
          </w:p>
        </w:tc>
        <w:tc>
          <w:tcPr>
            <w:tcW w:w="6803" w:type="dxa"/>
          </w:tcPr>
          <w:p w14:paraId="272EF0E6">
            <w:pPr>
              <w:spacing w:after="0" w:line="240" w:lineRule="auto"/>
              <w:jc w:val="center"/>
            </w:pPr>
            <w:r>
              <w:t>基于大语言模型对教学需求进行结构化解析，提取教学目标、重难点、知识点、受众与课堂活动等要素</w:t>
            </w:r>
          </w:p>
        </w:tc>
      </w:tr>
      <w:tr w14:paraId="5D4934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DA0BDCC">
            <w:pPr>
              <w:spacing w:after="0" w:line="240" w:lineRule="auto"/>
              <w:jc w:val="center"/>
            </w:pPr>
            <w:r>
              <w:t>融合</w:t>
            </w:r>
          </w:p>
        </w:tc>
        <w:tc>
          <w:tcPr>
            <w:tcW w:w="6803" w:type="dxa"/>
          </w:tcPr>
          <w:p w14:paraId="487405B0">
            <w:pPr>
              <w:spacing w:after="0" w:line="240" w:lineRule="auto"/>
              <w:jc w:val="center"/>
            </w:pPr>
            <w:r>
              <w:t>融合教师意图、上传参考资料与本地RAG知识库检索结果，形成标准化课件指令</w:t>
            </w:r>
          </w:p>
        </w:tc>
      </w:tr>
      <w:tr w14:paraId="46265A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A0DDE1F">
            <w:pPr>
              <w:spacing w:after="0" w:line="240" w:lineRule="auto"/>
              <w:jc w:val="center"/>
            </w:pPr>
            <w:r>
              <w:t>生成</w:t>
            </w:r>
          </w:p>
        </w:tc>
        <w:tc>
          <w:tcPr>
            <w:tcW w:w="6803" w:type="dxa"/>
          </w:tcPr>
          <w:p w14:paraId="4FAB023B">
            <w:pPr>
              <w:spacing w:after="0" w:line="240" w:lineRule="auto"/>
              <w:jc w:val="center"/>
            </w:pPr>
            <w:r>
              <w:t>课件生成引擎并行产出PPTX课件、Word教案与HTML5互动小游戏</w:t>
            </w:r>
          </w:p>
        </w:tc>
      </w:tr>
      <w:tr w14:paraId="7D9158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25BA647">
            <w:pPr>
              <w:spacing w:after="0" w:line="240" w:lineRule="auto"/>
              <w:jc w:val="center"/>
            </w:pPr>
            <w:r>
              <w:t>迭代</w:t>
            </w:r>
          </w:p>
        </w:tc>
        <w:tc>
          <w:tcPr>
            <w:tcW w:w="6803" w:type="dxa"/>
          </w:tcPr>
          <w:p w14:paraId="23A415C1">
            <w:pPr>
              <w:spacing w:after="0" w:line="240" w:lineRule="auto"/>
              <w:jc w:val="center"/>
            </w:pPr>
            <w:r>
              <w:t>教师通过自然语言下达修改指令，系统批量更新全部产物</w:t>
            </w:r>
          </w:p>
        </w:tc>
      </w:tr>
      <w:tr w14:paraId="372B62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BD847F8">
            <w:pPr>
              <w:spacing w:after="0" w:line="240" w:lineRule="auto"/>
              <w:jc w:val="center"/>
            </w:pPr>
            <w:r>
              <w:t>导出</w:t>
            </w:r>
          </w:p>
        </w:tc>
        <w:tc>
          <w:tcPr>
            <w:tcW w:w="6803" w:type="dxa"/>
          </w:tcPr>
          <w:p w14:paraId="76638375">
            <w:pPr>
              <w:spacing w:after="0" w:line="240" w:lineRule="auto"/>
              <w:jc w:val="center"/>
            </w:pPr>
            <w:r>
              <w:t>一键导出.pptx、.docx与.html文件</w:t>
            </w:r>
          </w:p>
        </w:tc>
      </w:tr>
    </w:tbl>
    <w:p w14:paraId="3F4352F5">
      <w:pPr>
        <w:jc w:val="center"/>
      </w:pPr>
    </w:p>
    <w:p w14:paraId="5F4FC29E">
      <w:pPr>
        <w:pStyle w:val="5"/>
      </w:pPr>
      <w:bookmarkStart w:id="9" w:name="_LarkToc00009"/>
      <w:r>
        <w:rPr>
          <w:rFonts w:ascii="黑体" w:hAnsi="黑体" w:eastAsia="黑体"/>
        </w:rPr>
        <w:t>2.2.2  系统总体架构</w:t>
      </w:r>
      <w:bookmarkEnd w:id="9"/>
    </w:p>
    <w:p w14:paraId="611B7A71">
      <w:r>
        <w:t>系统整体采用分层架构设计，从多模态输入到产物导出形成端到端的处理链路。各层次的组成与职责如下表所示：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4"/>
        <w:gridCol w:w="3118"/>
        <w:gridCol w:w="3118"/>
      </w:tblGrid>
      <w:tr w14:paraId="7ECB54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9CD5F2D">
            <w:pPr>
              <w:spacing w:after="0" w:line="240" w:lineRule="auto"/>
              <w:jc w:val="center"/>
            </w:pPr>
            <w:r>
              <w:t>层次</w:t>
            </w:r>
          </w:p>
        </w:tc>
        <w:tc>
          <w:tcPr>
            <w:tcW w:w="3118" w:type="dxa"/>
          </w:tcPr>
          <w:p w14:paraId="5DDEED7C">
            <w:pPr>
              <w:spacing w:after="0" w:line="240" w:lineRule="auto"/>
              <w:jc w:val="center"/>
            </w:pPr>
            <w:r>
              <w:t>主要组成</w:t>
            </w:r>
          </w:p>
        </w:tc>
        <w:tc>
          <w:tcPr>
            <w:tcW w:w="3118" w:type="dxa"/>
          </w:tcPr>
          <w:p w14:paraId="79DD9BED">
            <w:pPr>
              <w:spacing w:after="0" w:line="240" w:lineRule="auto"/>
              <w:jc w:val="center"/>
            </w:pPr>
            <w:r>
              <w:t>核心职责</w:t>
            </w:r>
          </w:p>
        </w:tc>
      </w:tr>
      <w:tr w14:paraId="055CFD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F048AE4">
            <w:pPr>
              <w:spacing w:after="0" w:line="240" w:lineRule="auto"/>
              <w:jc w:val="center"/>
            </w:pPr>
            <w:r>
              <w:t>多模态输入层</w:t>
            </w:r>
          </w:p>
        </w:tc>
        <w:tc>
          <w:tcPr>
            <w:tcW w:w="3118" w:type="dxa"/>
          </w:tcPr>
          <w:p w14:paraId="15731E8A">
            <w:pPr>
              <w:spacing w:after="0" w:line="240" w:lineRule="auto"/>
              <w:jc w:val="center"/>
            </w:pPr>
            <w:r>
              <w:t>文字对话、语音输入、PDF/Word/PPT上传、图片视频</w:t>
            </w:r>
          </w:p>
        </w:tc>
        <w:tc>
          <w:tcPr>
            <w:tcW w:w="3118" w:type="dxa"/>
          </w:tcPr>
          <w:p w14:paraId="2AE1FE87">
            <w:pPr>
              <w:spacing w:after="0" w:line="240" w:lineRule="auto"/>
              <w:jc w:val="center"/>
            </w:pPr>
            <w:r>
              <w:t>采集并统一处理教师的教学需求与素材输入</w:t>
            </w:r>
          </w:p>
        </w:tc>
      </w:tr>
      <w:tr w14:paraId="5F2473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8F13832">
            <w:pPr>
              <w:spacing w:after="0" w:line="240" w:lineRule="auto"/>
              <w:jc w:val="center"/>
            </w:pPr>
            <w:r>
              <w:t>教学意图理解层</w:t>
            </w:r>
          </w:p>
        </w:tc>
        <w:tc>
          <w:tcPr>
            <w:tcW w:w="3118" w:type="dxa"/>
          </w:tcPr>
          <w:p w14:paraId="0C64F323">
            <w:pPr>
              <w:spacing w:after="0" w:line="240" w:lineRule="auto"/>
              <w:jc w:val="center"/>
            </w:pPr>
            <w:r>
              <w:t>LLM结构化解析</w:t>
            </w:r>
          </w:p>
        </w:tc>
        <w:tc>
          <w:tcPr>
            <w:tcW w:w="3118" w:type="dxa"/>
          </w:tcPr>
          <w:p w14:paraId="06298113">
            <w:pPr>
              <w:spacing w:after="0" w:line="240" w:lineRule="auto"/>
              <w:jc w:val="center"/>
            </w:pPr>
            <w:r>
              <w:t>输出教学目标、重难点、知识点、受众与课堂活动等结构化要素</w:t>
            </w:r>
          </w:p>
        </w:tc>
      </w:tr>
      <w:tr w14:paraId="5238E1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8585288">
            <w:pPr>
              <w:spacing w:after="0" w:line="240" w:lineRule="auto"/>
              <w:jc w:val="center"/>
            </w:pPr>
            <w:r>
              <w:t>多模态信息融合层</w:t>
            </w:r>
          </w:p>
        </w:tc>
        <w:tc>
          <w:tcPr>
            <w:tcW w:w="3118" w:type="dxa"/>
          </w:tcPr>
          <w:p w14:paraId="6DC3A627">
            <w:pPr>
              <w:spacing w:after="0" w:line="240" w:lineRule="auto"/>
              <w:jc w:val="center"/>
            </w:pPr>
            <w:r>
              <w:t>意图解析结果加上传参考资料加RAG知识库</w:t>
            </w:r>
          </w:p>
        </w:tc>
        <w:tc>
          <w:tcPr>
            <w:tcW w:w="3118" w:type="dxa"/>
          </w:tcPr>
          <w:p w14:paraId="59A7F494">
            <w:pPr>
              <w:spacing w:after="0" w:line="240" w:lineRule="auto"/>
              <w:jc w:val="center"/>
            </w:pPr>
            <w:r>
              <w:t>融合生成标准化课件指令</w:t>
            </w:r>
          </w:p>
        </w:tc>
      </w:tr>
      <w:tr w14:paraId="70A15D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EDFA4F3">
            <w:pPr>
              <w:spacing w:after="0" w:line="240" w:lineRule="auto"/>
              <w:jc w:val="center"/>
            </w:pPr>
            <w:r>
              <w:t>课件全自动生成引擎</w:t>
            </w:r>
          </w:p>
        </w:tc>
        <w:tc>
          <w:tcPr>
            <w:tcW w:w="3118" w:type="dxa"/>
          </w:tcPr>
          <w:p w14:paraId="3C34AA56">
            <w:pPr>
              <w:spacing w:after="0" w:line="240" w:lineRule="auto"/>
              <w:jc w:val="center"/>
            </w:pPr>
            <w:r>
              <w:t>PPTX课件、Word教案、HTML5互动游戏</w:t>
            </w:r>
          </w:p>
        </w:tc>
        <w:tc>
          <w:tcPr>
            <w:tcW w:w="3118" w:type="dxa"/>
          </w:tcPr>
          <w:p w14:paraId="4E6CDC71">
            <w:pPr>
              <w:spacing w:after="0" w:line="240" w:lineRule="auto"/>
              <w:jc w:val="center"/>
            </w:pPr>
            <w:r>
              <w:t>并行生成三类教学产物</w:t>
            </w:r>
          </w:p>
        </w:tc>
      </w:tr>
      <w:tr w14:paraId="33E4B9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67BD763">
            <w:pPr>
              <w:spacing w:after="0" w:line="240" w:lineRule="auto"/>
              <w:jc w:val="center"/>
            </w:pPr>
            <w:r>
              <w:t>迭代优化与导出闭环</w:t>
            </w:r>
          </w:p>
        </w:tc>
        <w:tc>
          <w:tcPr>
            <w:tcW w:w="3118" w:type="dxa"/>
          </w:tcPr>
          <w:p w14:paraId="6C11E0AF">
            <w:pPr>
              <w:spacing w:after="0" w:line="240" w:lineRule="auto"/>
              <w:jc w:val="center"/>
            </w:pPr>
            <w:r>
              <w:t>自然语言修改、批量更新、一键导出</w:t>
            </w:r>
          </w:p>
        </w:tc>
        <w:tc>
          <w:tcPr>
            <w:tcW w:w="3118" w:type="dxa"/>
          </w:tcPr>
          <w:p w14:paraId="0ECB6F68">
            <w:pPr>
              <w:spacing w:after="0" w:line="240" w:lineRule="auto"/>
              <w:jc w:val="center"/>
            </w:pPr>
            <w:r>
              <w:t>支撑产物迭代优化与最终交付</w:t>
            </w:r>
          </w:p>
        </w:tc>
      </w:tr>
    </w:tbl>
    <w:p w14:paraId="781E120C">
      <w:pPr>
        <w:jc w:val="center"/>
      </w:pPr>
      <w:r>
        <w:drawing>
          <wp:inline distT="0" distB="0" distL="114300" distR="114300">
            <wp:extent cx="50292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29200" cy="3333964"/>
                    </a:xfrm>
                    <a:prstGeom prst="rect">
                      <a:avLst/>
                    </a:prstGeom>
                  </pic:spPr>
                </pic:pic>
              </a:graphicData>
            </a:graphic>
          </wp:inline>
        </w:drawing>
      </w:r>
    </w:p>
    <w:p w14:paraId="14D85594">
      <w:pPr>
        <w:jc w:val="center"/>
      </w:pPr>
      <w:r>
        <w:rPr>
          <w:i/>
          <w:color w:val="64748B"/>
          <w:sz w:val="18"/>
        </w:rPr>
        <w:t>图2-4  系统分层架构总览图</w:t>
      </w:r>
    </w:p>
    <w:p w14:paraId="1EA4B11E">
      <w:pPr>
        <w:pStyle w:val="5"/>
      </w:pPr>
      <w:bookmarkStart w:id="10" w:name="_LarkToc00010"/>
      <w:r>
        <w:rPr>
          <w:rFonts w:ascii="黑体" w:hAnsi="黑体" w:eastAsia="黑体"/>
        </w:rPr>
        <w:t>2.2.3  服务模型</w:t>
      </w:r>
      <w:bookmarkEnd w:id="10"/>
    </w:p>
    <w:p w14:paraId="36E622C3">
      <w:r>
        <w:t>本系统采用B/S架构与本地化部署的服务模式，由服务端、客户端与AI能力层三部分构成，各部分的技术实现与职责如下表所示：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118"/>
        <w:gridCol w:w="3685"/>
      </w:tblGrid>
      <w:tr w14:paraId="2F42F8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C058FC2">
            <w:pPr>
              <w:spacing w:after="0" w:line="240" w:lineRule="auto"/>
              <w:jc w:val="center"/>
            </w:pPr>
            <w:r>
              <w:t>组成部分</w:t>
            </w:r>
          </w:p>
        </w:tc>
        <w:tc>
          <w:tcPr>
            <w:tcW w:w="3118" w:type="dxa"/>
          </w:tcPr>
          <w:p w14:paraId="00549A21">
            <w:pPr>
              <w:spacing w:after="0" w:line="240" w:lineRule="auto"/>
              <w:jc w:val="center"/>
            </w:pPr>
            <w:r>
              <w:t>技术实现</w:t>
            </w:r>
          </w:p>
        </w:tc>
        <w:tc>
          <w:tcPr>
            <w:tcW w:w="3685" w:type="dxa"/>
          </w:tcPr>
          <w:p w14:paraId="27B2784E">
            <w:pPr>
              <w:spacing w:after="0" w:line="240" w:lineRule="auto"/>
              <w:jc w:val="center"/>
            </w:pPr>
            <w:r>
              <w:t>职责说明</w:t>
            </w:r>
          </w:p>
        </w:tc>
      </w:tr>
      <w:tr w14:paraId="09AD4A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437D5F2">
            <w:pPr>
              <w:spacing w:after="0" w:line="240" w:lineRule="auto"/>
              <w:jc w:val="center"/>
            </w:pPr>
            <w:r>
              <w:t>服务端</w:t>
            </w:r>
          </w:p>
        </w:tc>
        <w:tc>
          <w:tcPr>
            <w:tcW w:w="3118" w:type="dxa"/>
          </w:tcPr>
          <w:p w14:paraId="32D88789">
            <w:pPr>
              <w:spacing w:after="0" w:line="240" w:lineRule="auto"/>
              <w:jc w:val="center"/>
            </w:pPr>
            <w:r>
              <w:t>Python Flask后端</w:t>
            </w:r>
          </w:p>
        </w:tc>
        <w:tc>
          <w:tcPr>
            <w:tcW w:w="3685" w:type="dxa"/>
          </w:tcPr>
          <w:p w14:paraId="1A8D3EBC">
            <w:pPr>
              <w:spacing w:after="0" w:line="240" w:lineRule="auto"/>
              <w:jc w:val="center"/>
            </w:pPr>
            <w:r>
              <w:t>承载意图分析、RAG检索、多模态融合与课件生成等核心逻辑；ChromaDB本地向量库存储教学知识</w:t>
            </w:r>
          </w:p>
        </w:tc>
      </w:tr>
      <w:tr w14:paraId="2522DF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30682AB">
            <w:pPr>
              <w:spacing w:after="0" w:line="240" w:lineRule="auto"/>
              <w:jc w:val="center"/>
            </w:pPr>
            <w:r>
              <w:t>客户端</w:t>
            </w:r>
          </w:p>
        </w:tc>
        <w:tc>
          <w:tcPr>
            <w:tcW w:w="3118" w:type="dxa"/>
          </w:tcPr>
          <w:p w14:paraId="2F42FCFB">
            <w:pPr>
              <w:spacing w:after="0" w:line="240" w:lineRule="auto"/>
              <w:jc w:val="center"/>
            </w:pPr>
            <w:r>
              <w:t>原生HTML5加CSS3加JavaScript</w:t>
            </w:r>
          </w:p>
        </w:tc>
        <w:tc>
          <w:tcPr>
            <w:tcW w:w="3685" w:type="dxa"/>
          </w:tcPr>
          <w:p w14:paraId="3175DF39">
            <w:pPr>
              <w:spacing w:after="0" w:line="240" w:lineRule="auto"/>
              <w:jc w:val="center"/>
            </w:pPr>
            <w:r>
              <w:t>零安装、浏览器即用，适配锐捷智慧教室终端</w:t>
            </w:r>
          </w:p>
        </w:tc>
      </w:tr>
      <w:tr w14:paraId="5E35F0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D743893">
            <w:pPr>
              <w:spacing w:after="0" w:line="240" w:lineRule="auto"/>
              <w:jc w:val="center"/>
            </w:pPr>
            <w:r>
              <w:t>AI能力层</w:t>
            </w:r>
          </w:p>
        </w:tc>
        <w:tc>
          <w:tcPr>
            <w:tcW w:w="3118" w:type="dxa"/>
          </w:tcPr>
          <w:p w14:paraId="4B9E1B7B">
            <w:pPr>
              <w:spacing w:after="0" w:line="240" w:lineRule="auto"/>
              <w:jc w:val="center"/>
            </w:pPr>
            <w:r>
              <w:t>大语言模型API（阿里云百炼qwen3.7-plus/DeepSeek）、DashScope多模态模型与text-embedding-v2</w:t>
            </w:r>
          </w:p>
        </w:tc>
        <w:tc>
          <w:tcPr>
            <w:tcW w:w="3685" w:type="dxa"/>
          </w:tcPr>
          <w:p w14:paraId="2A7CED82">
            <w:pPr>
              <w:spacing w:after="0" w:line="240" w:lineRule="auto"/>
              <w:jc w:val="center"/>
            </w:pPr>
            <w:r>
              <w:t>实现意图理解、内容生成、图片解析与文本向量化</w:t>
            </w:r>
          </w:p>
        </w:tc>
      </w:tr>
    </w:tbl>
    <w:p w14:paraId="79E1A80C">
      <w:pPr>
        <w:jc w:val="center"/>
      </w:pPr>
      <w:r>
        <w:drawing>
          <wp:inline distT="0" distB="0" distL="114300" distR="114300">
            <wp:extent cx="5029200" cy="31191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3119377"/>
                    </a:xfrm>
                    <a:prstGeom prst="rect">
                      <a:avLst/>
                    </a:prstGeom>
                  </pic:spPr>
                </pic:pic>
              </a:graphicData>
            </a:graphic>
          </wp:inline>
        </w:drawing>
      </w:r>
    </w:p>
    <w:p w14:paraId="49459FEA">
      <w:pPr>
        <w:jc w:val="center"/>
      </w:pPr>
      <w:r>
        <w:rPr>
          <w:i/>
          <w:color w:val="64748B"/>
          <w:sz w:val="18"/>
        </w:rPr>
        <w:t>图2-5  服务模型组成示意图</w:t>
      </w:r>
    </w:p>
    <w:p w14:paraId="5FE1F906">
      <w:pPr>
        <w:pStyle w:val="5"/>
      </w:pPr>
      <w:bookmarkStart w:id="11" w:name="_LarkToc00011"/>
      <w:r>
        <w:rPr>
          <w:rFonts w:ascii="黑体" w:hAnsi="黑体" w:eastAsia="黑体"/>
        </w:rPr>
        <w:t>2.2.4  核心服务流程</w:t>
      </w:r>
      <w:bookmarkEnd w:id="11"/>
    </w:p>
    <w:p w14:paraId="165BBBB2">
      <w:r>
        <w:t>系统从教师提出需求到最终导出文件的端到端服务流程共分为七个步骤，各步骤的具体内容如下表所示：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567"/>
        <w:gridCol w:w="1701"/>
        <w:gridCol w:w="5953"/>
      </w:tblGrid>
      <w:tr w14:paraId="184E85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6D78527C">
            <w:pPr>
              <w:spacing w:after="0" w:line="240" w:lineRule="auto"/>
              <w:jc w:val="center"/>
            </w:pPr>
            <w:r>
              <w:t>步骤</w:t>
            </w:r>
          </w:p>
        </w:tc>
        <w:tc>
          <w:tcPr>
            <w:tcW w:w="1701" w:type="dxa"/>
          </w:tcPr>
          <w:p w14:paraId="31C38472">
            <w:pPr>
              <w:spacing w:after="0" w:line="240" w:lineRule="auto"/>
              <w:jc w:val="center"/>
            </w:pPr>
            <w:r>
              <w:t>服务环节</w:t>
            </w:r>
          </w:p>
        </w:tc>
        <w:tc>
          <w:tcPr>
            <w:tcW w:w="5953" w:type="dxa"/>
          </w:tcPr>
          <w:p w14:paraId="29A39BF6">
            <w:pPr>
              <w:spacing w:after="0" w:line="240" w:lineRule="auto"/>
              <w:jc w:val="center"/>
            </w:pPr>
            <w:r>
              <w:t>具体说明</w:t>
            </w:r>
          </w:p>
        </w:tc>
      </w:tr>
      <w:tr w14:paraId="3A6CC7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060BB7C5">
            <w:pPr>
              <w:spacing w:after="0" w:line="240" w:lineRule="auto"/>
              <w:jc w:val="center"/>
            </w:pPr>
            <w:r>
              <w:t>1</w:t>
            </w:r>
          </w:p>
        </w:tc>
        <w:tc>
          <w:tcPr>
            <w:tcW w:w="1701" w:type="dxa"/>
          </w:tcPr>
          <w:p w14:paraId="01A679E1">
            <w:pPr>
              <w:spacing w:after="0" w:line="240" w:lineRule="auto"/>
              <w:jc w:val="center"/>
            </w:pPr>
            <w:r>
              <w:t>需求输入与识别</w:t>
            </w:r>
          </w:p>
        </w:tc>
        <w:tc>
          <w:tcPr>
            <w:tcW w:w="5953" w:type="dxa"/>
          </w:tcPr>
          <w:p w14:paraId="21AA8507">
            <w:pPr>
              <w:spacing w:after="0" w:line="240" w:lineRule="auto"/>
              <w:jc w:val="center"/>
            </w:pPr>
            <w:r>
              <w:t>教师通过文字或语音描述教学需求，系统自动判断是否为课件制作需求</w:t>
            </w:r>
          </w:p>
        </w:tc>
      </w:tr>
      <w:tr w14:paraId="23CD00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632F8CED">
            <w:pPr>
              <w:spacing w:after="0" w:line="240" w:lineRule="auto"/>
              <w:jc w:val="center"/>
            </w:pPr>
            <w:r>
              <w:t>2</w:t>
            </w:r>
          </w:p>
        </w:tc>
        <w:tc>
          <w:tcPr>
            <w:tcW w:w="1701" w:type="dxa"/>
          </w:tcPr>
          <w:p w14:paraId="5FD252B2">
            <w:pPr>
              <w:spacing w:after="0" w:line="240" w:lineRule="auto"/>
              <w:jc w:val="center"/>
            </w:pPr>
            <w:r>
              <w:t>结构化意图解析</w:t>
            </w:r>
          </w:p>
        </w:tc>
        <w:tc>
          <w:tcPr>
            <w:tcW w:w="5953" w:type="dxa"/>
          </w:tcPr>
          <w:p w14:paraId="49F83450">
            <w:pPr>
              <w:spacing w:after="0" w:line="240" w:lineRule="auto"/>
              <w:jc w:val="center"/>
            </w:pPr>
            <w:r>
              <w:t>对教师输入进行结构化教学意图解析，包括教学目标三层拆解、重难点区分、受众分析与课堂活动设计</w:t>
            </w:r>
          </w:p>
        </w:tc>
      </w:tr>
      <w:tr w14:paraId="2B4B3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27989B6C">
            <w:pPr>
              <w:spacing w:after="0" w:line="240" w:lineRule="auto"/>
              <w:jc w:val="center"/>
            </w:pPr>
            <w:r>
              <w:t>3</w:t>
            </w:r>
          </w:p>
        </w:tc>
        <w:tc>
          <w:tcPr>
            <w:tcW w:w="1701" w:type="dxa"/>
          </w:tcPr>
          <w:p w14:paraId="79807B4D">
            <w:pPr>
              <w:spacing w:after="0" w:line="240" w:lineRule="auto"/>
              <w:jc w:val="center"/>
            </w:pPr>
            <w:r>
              <w:t>确认与补充</w:t>
            </w:r>
          </w:p>
        </w:tc>
        <w:tc>
          <w:tcPr>
            <w:tcW w:w="5953" w:type="dxa"/>
          </w:tcPr>
          <w:p w14:paraId="2EC93BAE">
            <w:pPr>
              <w:spacing w:after="0" w:line="240" w:lineRule="auto"/>
              <w:jc w:val="center"/>
            </w:pPr>
            <w:r>
              <w:t>系统生成确认摘要供教师核对，教师可通过自然语言进行补充修改</w:t>
            </w:r>
          </w:p>
        </w:tc>
      </w:tr>
      <w:tr w14:paraId="44F592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07AD7590">
            <w:pPr>
              <w:spacing w:after="0" w:line="240" w:lineRule="auto"/>
              <w:jc w:val="center"/>
            </w:pPr>
            <w:r>
              <w:t>4</w:t>
            </w:r>
          </w:p>
        </w:tc>
        <w:tc>
          <w:tcPr>
            <w:tcW w:w="1701" w:type="dxa"/>
          </w:tcPr>
          <w:p w14:paraId="656DA6CC">
            <w:pPr>
              <w:spacing w:after="0" w:line="240" w:lineRule="auto"/>
              <w:jc w:val="center"/>
            </w:pPr>
            <w:r>
              <w:t>多模态融合</w:t>
            </w:r>
          </w:p>
        </w:tc>
        <w:tc>
          <w:tcPr>
            <w:tcW w:w="5953" w:type="dxa"/>
          </w:tcPr>
          <w:p w14:paraId="497DE076">
            <w:pPr>
              <w:spacing w:after="0" w:line="240" w:lineRule="auto"/>
              <w:jc w:val="center"/>
            </w:pPr>
            <w:r>
              <w:t>融合教师意图、上传参考资料与RAG知识库检索内容，生成标准化课件指令</w:t>
            </w:r>
          </w:p>
        </w:tc>
      </w:tr>
      <w:tr w14:paraId="7B49A2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71F6C52F">
            <w:pPr>
              <w:spacing w:after="0" w:line="240" w:lineRule="auto"/>
              <w:jc w:val="center"/>
            </w:pPr>
            <w:r>
              <w:t>5</w:t>
            </w:r>
          </w:p>
        </w:tc>
        <w:tc>
          <w:tcPr>
            <w:tcW w:w="1701" w:type="dxa"/>
          </w:tcPr>
          <w:p w14:paraId="1AC872CF">
            <w:pPr>
              <w:spacing w:after="0" w:line="240" w:lineRule="auto"/>
              <w:jc w:val="center"/>
            </w:pPr>
            <w:r>
              <w:t>并行生成</w:t>
            </w:r>
          </w:p>
        </w:tc>
        <w:tc>
          <w:tcPr>
            <w:tcW w:w="5953" w:type="dxa"/>
          </w:tcPr>
          <w:p w14:paraId="2C1E60F5">
            <w:pPr>
              <w:spacing w:after="0" w:line="240" w:lineRule="auto"/>
              <w:jc w:val="center"/>
            </w:pPr>
            <w:r>
              <w:t>生成引擎并行产出PPTX课件、Word教案与HTML5互动游戏</w:t>
            </w:r>
          </w:p>
        </w:tc>
      </w:tr>
      <w:tr w14:paraId="59E7AD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743973F2">
            <w:pPr>
              <w:spacing w:after="0" w:line="240" w:lineRule="auto"/>
              <w:jc w:val="center"/>
            </w:pPr>
            <w:r>
              <w:t>6</w:t>
            </w:r>
          </w:p>
        </w:tc>
        <w:tc>
          <w:tcPr>
            <w:tcW w:w="1701" w:type="dxa"/>
          </w:tcPr>
          <w:p w14:paraId="7E02975B">
            <w:pPr>
              <w:spacing w:after="0" w:line="240" w:lineRule="auto"/>
              <w:jc w:val="center"/>
            </w:pPr>
            <w:r>
              <w:t>预览迭代</w:t>
            </w:r>
          </w:p>
        </w:tc>
        <w:tc>
          <w:tcPr>
            <w:tcW w:w="5953" w:type="dxa"/>
          </w:tcPr>
          <w:p w14:paraId="14E709A7">
            <w:pPr>
              <w:spacing w:after="0" w:line="240" w:lineRule="auto"/>
              <w:jc w:val="center"/>
            </w:pPr>
            <w:r>
              <w:t>教师在网页端预览，可通过自然语言迭代优化，系统批量更新全部产物</w:t>
            </w:r>
          </w:p>
        </w:tc>
      </w:tr>
      <w:tr w14:paraId="51C388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199EB3C9">
            <w:pPr>
              <w:spacing w:after="0" w:line="240" w:lineRule="auto"/>
              <w:jc w:val="center"/>
            </w:pPr>
            <w:r>
              <w:t>7</w:t>
            </w:r>
          </w:p>
        </w:tc>
        <w:tc>
          <w:tcPr>
            <w:tcW w:w="1701" w:type="dxa"/>
          </w:tcPr>
          <w:p w14:paraId="0A326BAD">
            <w:pPr>
              <w:spacing w:after="0" w:line="240" w:lineRule="auto"/>
              <w:jc w:val="center"/>
            </w:pPr>
            <w:r>
              <w:t>一键导出</w:t>
            </w:r>
          </w:p>
        </w:tc>
        <w:tc>
          <w:tcPr>
            <w:tcW w:w="5953" w:type="dxa"/>
          </w:tcPr>
          <w:p w14:paraId="55793665">
            <w:pPr>
              <w:spacing w:after="0" w:line="240" w:lineRule="auto"/>
              <w:jc w:val="center"/>
            </w:pPr>
            <w:r>
              <w:t>一键导出.pptx、.docx与.html文件</w:t>
            </w:r>
          </w:p>
        </w:tc>
      </w:tr>
    </w:tbl>
    <w:p w14:paraId="6112B68D">
      <w:r>
        <w:br w:type="page"/>
      </w:r>
    </w:p>
    <w:p w14:paraId="088DA15A">
      <w:pPr>
        <w:pStyle w:val="3"/>
      </w:pPr>
      <w:bookmarkStart w:id="12" w:name="_LarkToc00012"/>
      <w:r>
        <w:rPr>
          <w:rFonts w:ascii="黑体" w:hAnsi="黑体" w:eastAsia="黑体"/>
        </w:rPr>
        <w:t>S2B  组织管理与业务分析方案</w:t>
      </w:r>
      <w:bookmarkEnd w:id="12"/>
    </w:p>
    <w:p w14:paraId="4AB105B1">
      <w:r>
        <w:t>本模块由项目经理</w:t>
      </w:r>
      <w:r>
        <w:rPr>
          <w:rFonts w:hint="eastAsia"/>
          <w:lang w:val="en-US" w:eastAsia="zh-CN"/>
        </w:rPr>
        <w:t>吴苏萍</w:t>
      </w:r>
      <w:r>
        <w:t>主笔，围绕项目组织管理、市场分析、竞品分析、目标客户与业务场景以及需求优先级等方面展开分析，旨在确保方案定位清晰、具备差异化竞争优势并按计划交付。</w:t>
      </w:r>
    </w:p>
    <w:p w14:paraId="2A70E714">
      <w:pPr>
        <w:pStyle w:val="4"/>
      </w:pPr>
      <w:bookmarkStart w:id="13" w:name="_LarkToc00013"/>
      <w:r>
        <w:rPr>
          <w:rFonts w:ascii="黑体" w:hAnsi="黑体" w:eastAsia="黑体"/>
        </w:rPr>
        <w:t>3.1  项目组织管理</w:t>
      </w:r>
      <w:bookmarkEnd w:id="13"/>
    </w:p>
    <w:p w14:paraId="5A7F3C1E">
      <w:pPr>
        <w:pStyle w:val="5"/>
      </w:pPr>
      <w:bookmarkStart w:id="14" w:name="_LarkToc00014"/>
      <w:r>
        <w:rPr>
          <w:rFonts w:ascii="黑体" w:hAnsi="黑体" w:eastAsia="黑体"/>
        </w:rPr>
        <w:t>3.1.1  团队组织结构</w:t>
      </w:r>
      <w:bookmarkEnd w:id="14"/>
    </w:p>
    <w:p w14:paraId="31164AE0">
      <w:r>
        <w:t>项目采用一加三的团队结构：团队负责人</w:t>
      </w:r>
      <w:r>
        <w:rPr>
          <w:rFonts w:hint="eastAsia"/>
          <w:lang w:val="en-US" w:eastAsia="zh-CN"/>
        </w:rPr>
        <w:t>江南</w:t>
      </w:r>
      <w:r>
        <w:t>统筹产品定位与方案总审，项目经理</w:t>
      </w:r>
      <w:r>
        <w:rPr>
          <w:rFonts w:hint="eastAsia"/>
          <w:lang w:val="en-US" w:eastAsia="zh-CN"/>
        </w:rPr>
        <w:t>陈伽睿</w:t>
      </w:r>
      <w:r>
        <w:t>、技术经理</w:t>
      </w:r>
      <w:r>
        <w:rPr>
          <w:rFonts w:hint="eastAsia"/>
          <w:lang w:val="en-US" w:eastAsia="zh-CN"/>
        </w:rPr>
        <w:t>吴苏萍</w:t>
      </w:r>
      <w:r>
        <w:t>与客户关系经理</w:t>
      </w:r>
      <w:r>
        <w:rPr>
          <w:rFonts w:hint="eastAsia"/>
          <w:lang w:val="en-US" w:eastAsia="zh-CN"/>
        </w:rPr>
        <w:t>吴韵谦</w:t>
      </w:r>
      <w:r>
        <w:t>分别负责组织管理、技术实现与商务落地，形成决策、执行与保障相协调的管理闭环。</w:t>
      </w:r>
    </w:p>
    <w:p w14:paraId="146994EB">
      <w:pPr>
        <w:jc w:val="center"/>
      </w:pPr>
      <w:r>
        <w:drawing>
          <wp:inline distT="0" distB="0" distL="114300" distR="114300">
            <wp:extent cx="5029200" cy="276479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029200" cy="2765118"/>
                    </a:xfrm>
                    <a:prstGeom prst="rect">
                      <a:avLst/>
                    </a:prstGeom>
                  </pic:spPr>
                </pic:pic>
              </a:graphicData>
            </a:graphic>
          </wp:inline>
        </w:drawing>
      </w:r>
    </w:p>
    <w:p w14:paraId="72A1FAED">
      <w:pPr>
        <w:jc w:val="center"/>
      </w:pPr>
      <w:r>
        <w:rPr>
          <w:i/>
          <w:color w:val="64748B"/>
          <w:sz w:val="18"/>
        </w:rPr>
        <w:t>图3-1  项目团队组织结构图</w:t>
      </w:r>
    </w:p>
    <w:p w14:paraId="1FB0778F">
      <w:pPr>
        <w:pStyle w:val="5"/>
      </w:pPr>
      <w:bookmarkStart w:id="15" w:name="_LarkToc00015"/>
      <w:r>
        <w:rPr>
          <w:rFonts w:ascii="黑体" w:hAnsi="黑体" w:eastAsia="黑体"/>
        </w:rPr>
        <w:t>3.1.2  角色与职责</w:t>
      </w:r>
      <w:bookmarkEnd w:id="15"/>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567"/>
        <w:gridCol w:w="1417"/>
        <w:gridCol w:w="2268"/>
        <w:gridCol w:w="3969"/>
      </w:tblGrid>
      <w:tr w14:paraId="1ED0E7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4DD37B3B">
            <w:pPr>
              <w:spacing w:after="0" w:line="240" w:lineRule="auto"/>
              <w:jc w:val="center"/>
            </w:pPr>
            <w:r>
              <w:t>成员</w:t>
            </w:r>
          </w:p>
        </w:tc>
        <w:tc>
          <w:tcPr>
            <w:tcW w:w="1417" w:type="dxa"/>
          </w:tcPr>
          <w:p w14:paraId="4BCDBB58">
            <w:pPr>
              <w:spacing w:after="0" w:line="240" w:lineRule="auto"/>
              <w:jc w:val="center"/>
            </w:pPr>
            <w:r>
              <w:t>角色</w:t>
            </w:r>
          </w:p>
        </w:tc>
        <w:tc>
          <w:tcPr>
            <w:tcW w:w="2268" w:type="dxa"/>
          </w:tcPr>
          <w:p w14:paraId="4F213647">
            <w:pPr>
              <w:spacing w:after="0" w:line="240" w:lineRule="auto"/>
              <w:jc w:val="center"/>
            </w:pPr>
            <w:r>
              <w:t>核心职责</w:t>
            </w:r>
          </w:p>
        </w:tc>
        <w:tc>
          <w:tcPr>
            <w:tcW w:w="3969" w:type="dxa"/>
          </w:tcPr>
          <w:p w14:paraId="61F29D1C">
            <w:pPr>
              <w:spacing w:after="0" w:line="240" w:lineRule="auto"/>
              <w:jc w:val="center"/>
            </w:pPr>
            <w:r>
              <w:t>在本项目中的具体贡献</w:t>
            </w:r>
          </w:p>
        </w:tc>
      </w:tr>
      <w:tr w14:paraId="734D9E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5D9CF472">
            <w:pPr>
              <w:spacing w:after="0" w:line="240" w:lineRule="auto"/>
              <w:jc w:val="center"/>
              <w:rPr>
                <w:rFonts w:hint="eastAsia" w:eastAsia="宋体"/>
                <w:lang w:val="en-US" w:eastAsia="zh-CN"/>
              </w:rPr>
            </w:pPr>
            <w:r>
              <w:rPr>
                <w:rFonts w:hint="eastAsia"/>
                <w:lang w:val="en-US" w:eastAsia="zh-CN"/>
              </w:rPr>
              <w:t>陈伽睿</w:t>
            </w:r>
          </w:p>
        </w:tc>
        <w:tc>
          <w:tcPr>
            <w:tcW w:w="1417" w:type="dxa"/>
          </w:tcPr>
          <w:p w14:paraId="6CE533E5">
            <w:pPr>
              <w:spacing w:after="0" w:line="240" w:lineRule="auto"/>
              <w:jc w:val="center"/>
            </w:pPr>
            <w:r>
              <w:t>团队负责人/产品策划</w:t>
            </w:r>
          </w:p>
        </w:tc>
        <w:tc>
          <w:tcPr>
            <w:tcW w:w="2268" w:type="dxa"/>
          </w:tcPr>
          <w:p w14:paraId="61DE7CF9">
            <w:pPr>
              <w:spacing w:after="0" w:line="240" w:lineRule="auto"/>
              <w:jc w:val="center"/>
            </w:pPr>
            <w:r>
              <w:t>赛题解读、产品定位、服务模型设计、方案总审</w:t>
            </w:r>
          </w:p>
        </w:tc>
        <w:tc>
          <w:tcPr>
            <w:tcW w:w="3969" w:type="dxa"/>
          </w:tcPr>
          <w:p w14:paraId="59186004">
            <w:pPr>
              <w:spacing w:after="0" w:line="240" w:lineRule="auto"/>
              <w:jc w:val="center"/>
            </w:pPr>
            <w:r>
              <w:t>定义多模态教学智能体产品形态；设计输入至导出的完整闭环；统筹S2A价值研判与服务模型</w:t>
            </w:r>
          </w:p>
        </w:tc>
      </w:tr>
      <w:tr w14:paraId="5C12A0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6EF0D1C1">
            <w:pPr>
              <w:spacing w:after="0" w:line="240" w:lineRule="auto"/>
              <w:jc w:val="center"/>
              <w:rPr>
                <w:rFonts w:hint="eastAsia" w:eastAsia="宋体"/>
                <w:lang w:val="en-US" w:eastAsia="zh-CN"/>
              </w:rPr>
            </w:pPr>
            <w:r>
              <w:rPr>
                <w:rFonts w:hint="eastAsia"/>
                <w:lang w:val="en-US" w:eastAsia="zh-CN"/>
              </w:rPr>
              <w:t>吴苏萍</w:t>
            </w:r>
          </w:p>
        </w:tc>
        <w:tc>
          <w:tcPr>
            <w:tcW w:w="1417" w:type="dxa"/>
          </w:tcPr>
          <w:p w14:paraId="262EF729">
            <w:pPr>
              <w:spacing w:after="0" w:line="240" w:lineRule="auto"/>
              <w:jc w:val="center"/>
            </w:pPr>
            <w:r>
              <w:t>项目经理</w:t>
            </w:r>
          </w:p>
        </w:tc>
        <w:tc>
          <w:tcPr>
            <w:tcW w:w="2268" w:type="dxa"/>
          </w:tcPr>
          <w:p w14:paraId="77E2BE70">
            <w:pPr>
              <w:spacing w:after="0" w:line="240" w:lineRule="auto"/>
              <w:jc w:val="center"/>
            </w:pPr>
            <w:r>
              <w:t>需求拆解、进度管控、质量保障、跨角色协调</w:t>
            </w:r>
          </w:p>
        </w:tc>
        <w:tc>
          <w:tcPr>
            <w:tcW w:w="3969" w:type="dxa"/>
          </w:tcPr>
          <w:p w14:paraId="0B1978D6">
            <w:pPr>
              <w:spacing w:after="0" w:line="240" w:lineRule="auto"/>
              <w:jc w:val="center"/>
            </w:pPr>
            <w:r>
              <w:t>将赛题需求拆解为知识库、意图分析、多模态解析与课件生成四个模块；制定WBS与里程碑；组织每日站会与代码评审</w:t>
            </w:r>
          </w:p>
        </w:tc>
      </w:tr>
      <w:tr w14:paraId="2D3175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0F2BD49B">
            <w:pPr>
              <w:spacing w:after="0" w:line="240" w:lineRule="auto"/>
              <w:jc w:val="center"/>
              <w:rPr>
                <w:rFonts w:hint="eastAsia" w:eastAsia="宋体"/>
                <w:lang w:val="en-US" w:eastAsia="zh-CN"/>
              </w:rPr>
            </w:pPr>
            <w:r>
              <w:rPr>
                <w:rFonts w:hint="eastAsia"/>
                <w:lang w:val="en-US" w:eastAsia="zh-CN"/>
              </w:rPr>
              <w:t>江南</w:t>
            </w:r>
          </w:p>
        </w:tc>
        <w:tc>
          <w:tcPr>
            <w:tcW w:w="1417" w:type="dxa"/>
          </w:tcPr>
          <w:p w14:paraId="628E7F4F">
            <w:pPr>
              <w:spacing w:after="0" w:line="240" w:lineRule="auto"/>
              <w:jc w:val="center"/>
            </w:pPr>
            <w:r>
              <w:t>技术经理</w:t>
            </w:r>
          </w:p>
        </w:tc>
        <w:tc>
          <w:tcPr>
            <w:tcW w:w="2268" w:type="dxa"/>
          </w:tcPr>
          <w:p w14:paraId="7B3A5DA3">
            <w:pPr>
              <w:spacing w:after="0" w:line="240" w:lineRule="auto"/>
              <w:jc w:val="center"/>
            </w:pPr>
            <w:r>
              <w:t>技术选型、架构设计、核心编码、技术攻关</w:t>
            </w:r>
          </w:p>
        </w:tc>
        <w:tc>
          <w:tcPr>
            <w:tcW w:w="3969" w:type="dxa"/>
          </w:tcPr>
          <w:p w14:paraId="029C06A7">
            <w:pPr>
              <w:spacing w:after="0" w:line="240" w:lineRule="auto"/>
              <w:jc w:val="center"/>
            </w:pPr>
            <w:r>
              <w:t>设计Flask加ChromaDB加LLM技术架构；主导PPT/Word/游戏生成引擎、RAG向量库与多模态解析的编码实现；解决Windows路径与文件名编码等工程问题</w:t>
            </w:r>
          </w:p>
        </w:tc>
      </w:tr>
      <w:tr w14:paraId="72A9FC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67" w:type="dxa"/>
          </w:tcPr>
          <w:p w14:paraId="447AE35D">
            <w:pPr>
              <w:spacing w:after="0" w:line="240" w:lineRule="auto"/>
              <w:jc w:val="center"/>
              <w:rPr>
                <w:rFonts w:hint="eastAsia" w:eastAsia="宋体"/>
                <w:lang w:val="en-US" w:eastAsia="zh-CN"/>
              </w:rPr>
            </w:pPr>
            <w:r>
              <w:rPr>
                <w:rFonts w:hint="eastAsia"/>
                <w:lang w:val="en-US" w:eastAsia="zh-CN"/>
              </w:rPr>
              <w:t>吴韵谦</w:t>
            </w:r>
          </w:p>
        </w:tc>
        <w:tc>
          <w:tcPr>
            <w:tcW w:w="1417" w:type="dxa"/>
          </w:tcPr>
          <w:p w14:paraId="127C1536">
            <w:pPr>
              <w:spacing w:after="0" w:line="240" w:lineRule="auto"/>
              <w:jc w:val="center"/>
            </w:pPr>
            <w:r>
              <w:t>客户关系经理</w:t>
            </w:r>
          </w:p>
        </w:tc>
        <w:tc>
          <w:tcPr>
            <w:tcW w:w="2268" w:type="dxa"/>
          </w:tcPr>
          <w:p w14:paraId="638CDA9B">
            <w:pPr>
              <w:spacing w:after="0" w:line="240" w:lineRule="auto"/>
              <w:jc w:val="center"/>
            </w:pPr>
            <w:r>
              <w:t>需求调研、成本测算、可行性分析、商务对接</w:t>
            </w:r>
          </w:p>
        </w:tc>
        <w:tc>
          <w:tcPr>
            <w:tcW w:w="3969" w:type="dxa"/>
          </w:tcPr>
          <w:p w14:paraId="5377C6FC">
            <w:pPr>
              <w:spacing w:after="0" w:line="240" w:lineRule="auto"/>
              <w:jc w:val="center"/>
            </w:pPr>
            <w:r>
              <w:t>调研锐捷教育信息化场景需求；测算API调用、服务器与人力成本；分析技术、经济与运营可行性；制定推广落地路径</w:t>
            </w:r>
          </w:p>
        </w:tc>
      </w:tr>
    </w:tbl>
    <w:p w14:paraId="248BE842">
      <w:pPr>
        <w:pStyle w:val="5"/>
      </w:pPr>
      <w:bookmarkStart w:id="16" w:name="_LarkToc00016"/>
      <w:r>
        <w:rPr>
          <w:rFonts w:ascii="黑体" w:hAnsi="黑体" w:eastAsia="黑体"/>
        </w:rPr>
        <w:t>3.1.3  项目管理机制</w:t>
      </w:r>
      <w:bookmarkEnd w:id="16"/>
    </w:p>
    <w:p w14:paraId="1139B7C1">
      <w:r>
        <w:t>项目通过WBS工作分解、里程碑管控与质量保障三项机制，对进度、质量与交付进行闭环管理。</w:t>
      </w:r>
    </w:p>
    <w:p w14:paraId="76AA0DC4">
      <w:r>
        <w:t>（1）WBS工作分解：将项目整体任务划分为六个工作包，每个工作包均指定责任人并明确交付物：</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2835"/>
        <w:gridCol w:w="1701"/>
        <w:gridCol w:w="2551"/>
      </w:tblGrid>
      <w:tr w14:paraId="2EC956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88CC472">
            <w:pPr>
              <w:spacing w:after="0" w:line="240" w:lineRule="auto"/>
              <w:jc w:val="center"/>
            </w:pPr>
            <w:r>
              <w:t>工作包</w:t>
            </w:r>
          </w:p>
        </w:tc>
        <w:tc>
          <w:tcPr>
            <w:tcW w:w="2835" w:type="dxa"/>
          </w:tcPr>
          <w:p w14:paraId="28E91F08">
            <w:pPr>
              <w:spacing w:after="0" w:line="240" w:lineRule="auto"/>
              <w:jc w:val="center"/>
            </w:pPr>
            <w:r>
              <w:t>主要内容</w:t>
            </w:r>
          </w:p>
        </w:tc>
        <w:tc>
          <w:tcPr>
            <w:tcW w:w="1701" w:type="dxa"/>
          </w:tcPr>
          <w:p w14:paraId="62F729D0">
            <w:pPr>
              <w:spacing w:after="0" w:line="240" w:lineRule="auto"/>
              <w:jc w:val="center"/>
            </w:pPr>
            <w:r>
              <w:t>责任人</w:t>
            </w:r>
          </w:p>
        </w:tc>
        <w:tc>
          <w:tcPr>
            <w:tcW w:w="2551" w:type="dxa"/>
          </w:tcPr>
          <w:p w14:paraId="163AAA57">
            <w:pPr>
              <w:spacing w:after="0" w:line="240" w:lineRule="auto"/>
              <w:jc w:val="center"/>
            </w:pPr>
            <w:r>
              <w:t>交付物</w:t>
            </w:r>
          </w:p>
        </w:tc>
      </w:tr>
      <w:tr w14:paraId="524361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2A2ED7">
            <w:pPr>
              <w:spacing w:after="0" w:line="240" w:lineRule="auto"/>
              <w:jc w:val="center"/>
            </w:pPr>
            <w:r>
              <w:t>环境搭建</w:t>
            </w:r>
          </w:p>
        </w:tc>
        <w:tc>
          <w:tcPr>
            <w:tcW w:w="2835" w:type="dxa"/>
          </w:tcPr>
          <w:p w14:paraId="29AB9E5D">
            <w:pPr>
              <w:spacing w:after="0" w:line="240" w:lineRule="auto"/>
              <w:jc w:val="center"/>
            </w:pPr>
            <w:r>
              <w:t>Flask框架搭建、开发环境配置</w:t>
            </w:r>
          </w:p>
        </w:tc>
        <w:tc>
          <w:tcPr>
            <w:tcW w:w="1701" w:type="dxa"/>
          </w:tcPr>
          <w:p w14:paraId="009AFCDD">
            <w:pPr>
              <w:spacing w:after="0" w:line="240" w:lineRule="auto"/>
              <w:jc w:val="center"/>
              <w:rPr>
                <w:rFonts w:hint="eastAsia" w:eastAsia="宋体"/>
                <w:lang w:eastAsia="zh-CN"/>
              </w:rPr>
            </w:pPr>
            <w:r>
              <w:rPr>
                <w:rFonts w:hint="eastAsia"/>
                <w:lang w:val="en-US" w:eastAsia="zh-CN"/>
              </w:rPr>
              <w:t>江南</w:t>
            </w:r>
          </w:p>
        </w:tc>
        <w:tc>
          <w:tcPr>
            <w:tcW w:w="2551" w:type="dxa"/>
          </w:tcPr>
          <w:p w14:paraId="0C14648E">
            <w:pPr>
              <w:spacing w:after="0" w:line="240" w:lineRule="auto"/>
              <w:jc w:val="center"/>
            </w:pPr>
            <w:r>
              <w:t>可运行的Flask工程骨架</w:t>
            </w:r>
          </w:p>
        </w:tc>
      </w:tr>
      <w:tr w14:paraId="1F0397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2C7B919">
            <w:pPr>
              <w:spacing w:after="0" w:line="240" w:lineRule="auto"/>
              <w:jc w:val="center"/>
            </w:pPr>
            <w:r>
              <w:t>RAG知识库</w:t>
            </w:r>
          </w:p>
        </w:tc>
        <w:tc>
          <w:tcPr>
            <w:tcW w:w="2835" w:type="dxa"/>
          </w:tcPr>
          <w:p w14:paraId="48621963">
            <w:pPr>
              <w:spacing w:after="0" w:line="240" w:lineRule="auto"/>
              <w:jc w:val="center"/>
            </w:pPr>
            <w:r>
              <w:t>向量库构建、文档入库与检索</w:t>
            </w:r>
          </w:p>
        </w:tc>
        <w:tc>
          <w:tcPr>
            <w:tcW w:w="1701" w:type="dxa"/>
          </w:tcPr>
          <w:p w14:paraId="2170CDC8">
            <w:pPr>
              <w:spacing w:after="0" w:line="240" w:lineRule="auto"/>
              <w:jc w:val="center"/>
              <w:rPr>
                <w:rFonts w:hint="eastAsia" w:eastAsia="宋体"/>
                <w:lang w:eastAsia="zh-CN"/>
              </w:rPr>
            </w:pPr>
            <w:r>
              <w:rPr>
                <w:rFonts w:hint="eastAsia"/>
                <w:lang w:val="en-US" w:eastAsia="zh-CN"/>
              </w:rPr>
              <w:t>江南</w:t>
            </w:r>
          </w:p>
        </w:tc>
        <w:tc>
          <w:tcPr>
            <w:tcW w:w="2551" w:type="dxa"/>
          </w:tcPr>
          <w:p w14:paraId="7A524D5B">
            <w:pPr>
              <w:spacing w:after="0" w:line="240" w:lineRule="auto"/>
              <w:jc w:val="center"/>
            </w:pPr>
            <w:r>
              <w:t>ChromaDB知识库加上入库与检索接口</w:t>
            </w:r>
          </w:p>
        </w:tc>
      </w:tr>
      <w:tr w14:paraId="2CEA75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E709F7F">
            <w:pPr>
              <w:spacing w:after="0" w:line="240" w:lineRule="auto"/>
              <w:jc w:val="center"/>
            </w:pPr>
            <w:r>
              <w:t>意图理解</w:t>
            </w:r>
          </w:p>
        </w:tc>
        <w:tc>
          <w:tcPr>
            <w:tcW w:w="2835" w:type="dxa"/>
          </w:tcPr>
          <w:p w14:paraId="668517AA">
            <w:pPr>
              <w:spacing w:after="0" w:line="240" w:lineRule="auto"/>
              <w:jc w:val="center"/>
            </w:pPr>
            <w:r>
              <w:t>教学意图结构化解析</w:t>
            </w:r>
          </w:p>
        </w:tc>
        <w:tc>
          <w:tcPr>
            <w:tcW w:w="1701" w:type="dxa"/>
          </w:tcPr>
          <w:p w14:paraId="627DF2A0">
            <w:pPr>
              <w:spacing w:after="0" w:line="240" w:lineRule="auto"/>
              <w:jc w:val="center"/>
              <w:rPr>
                <w:rFonts w:hint="eastAsia" w:eastAsia="宋体"/>
                <w:lang w:eastAsia="zh-CN"/>
              </w:rPr>
            </w:pPr>
            <w:r>
              <w:rPr>
                <w:rFonts w:hint="eastAsia"/>
                <w:lang w:val="en-US" w:eastAsia="zh-CN"/>
              </w:rPr>
              <w:t>江南</w:t>
            </w:r>
          </w:p>
        </w:tc>
        <w:tc>
          <w:tcPr>
            <w:tcW w:w="2551" w:type="dxa"/>
          </w:tcPr>
          <w:p w14:paraId="402A8849">
            <w:pPr>
              <w:spacing w:after="0" w:line="240" w:lineRule="auto"/>
              <w:jc w:val="center"/>
            </w:pPr>
            <w:r>
              <w:t>意图分析模块</w:t>
            </w:r>
          </w:p>
        </w:tc>
      </w:tr>
      <w:tr w14:paraId="7BEB81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B8976BC">
            <w:pPr>
              <w:spacing w:after="0" w:line="240" w:lineRule="auto"/>
              <w:jc w:val="center"/>
            </w:pPr>
            <w:r>
              <w:t>多模态解析</w:t>
            </w:r>
          </w:p>
        </w:tc>
        <w:tc>
          <w:tcPr>
            <w:tcW w:w="2835" w:type="dxa"/>
          </w:tcPr>
          <w:p w14:paraId="26DEBCD9">
            <w:pPr>
              <w:spacing w:after="0" w:line="240" w:lineRule="auto"/>
              <w:jc w:val="center"/>
            </w:pPr>
            <w:r>
              <w:t>文档解析、OCR、图片识别</w:t>
            </w:r>
          </w:p>
        </w:tc>
        <w:tc>
          <w:tcPr>
            <w:tcW w:w="1701" w:type="dxa"/>
          </w:tcPr>
          <w:p w14:paraId="264BDA86">
            <w:pPr>
              <w:spacing w:after="0" w:line="240" w:lineRule="auto"/>
              <w:jc w:val="center"/>
              <w:rPr>
                <w:rFonts w:hint="eastAsia" w:eastAsia="宋体"/>
                <w:lang w:eastAsia="zh-CN"/>
              </w:rPr>
            </w:pPr>
            <w:r>
              <w:rPr>
                <w:rFonts w:hint="eastAsia"/>
                <w:lang w:val="en-US" w:eastAsia="zh-CN"/>
              </w:rPr>
              <w:t>江南</w:t>
            </w:r>
          </w:p>
        </w:tc>
        <w:tc>
          <w:tcPr>
            <w:tcW w:w="2551" w:type="dxa"/>
          </w:tcPr>
          <w:p w14:paraId="0643D604">
            <w:pPr>
              <w:spacing w:after="0" w:line="240" w:lineRule="auto"/>
              <w:jc w:val="center"/>
            </w:pPr>
            <w:r>
              <w:t>多模态解析模块</w:t>
            </w:r>
          </w:p>
        </w:tc>
      </w:tr>
      <w:tr w14:paraId="469003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50D1541">
            <w:pPr>
              <w:spacing w:after="0" w:line="240" w:lineRule="auto"/>
              <w:jc w:val="center"/>
            </w:pPr>
            <w:r>
              <w:t>课件生成</w:t>
            </w:r>
          </w:p>
        </w:tc>
        <w:tc>
          <w:tcPr>
            <w:tcW w:w="2835" w:type="dxa"/>
          </w:tcPr>
          <w:p w14:paraId="1F1949B6">
            <w:pPr>
              <w:spacing w:after="0" w:line="240" w:lineRule="auto"/>
              <w:jc w:val="center"/>
            </w:pPr>
            <w:r>
              <w:t>PPT/Word/游戏生成引擎</w:t>
            </w:r>
          </w:p>
        </w:tc>
        <w:tc>
          <w:tcPr>
            <w:tcW w:w="1701" w:type="dxa"/>
          </w:tcPr>
          <w:p w14:paraId="2A4DBC46">
            <w:pPr>
              <w:spacing w:after="0" w:line="240" w:lineRule="auto"/>
              <w:jc w:val="center"/>
            </w:pPr>
            <w:r>
              <w:rPr>
                <w:rFonts w:hint="eastAsia"/>
                <w:lang w:val="en-US" w:eastAsia="zh-CN"/>
              </w:rPr>
              <w:t>江南</w:t>
            </w:r>
          </w:p>
        </w:tc>
        <w:tc>
          <w:tcPr>
            <w:tcW w:w="2551" w:type="dxa"/>
          </w:tcPr>
          <w:p w14:paraId="28DEACBC">
            <w:pPr>
              <w:spacing w:after="0" w:line="240" w:lineRule="auto"/>
              <w:jc w:val="center"/>
            </w:pPr>
            <w:r>
              <w:t>三类课件生成引擎</w:t>
            </w:r>
          </w:p>
        </w:tc>
      </w:tr>
      <w:tr w14:paraId="1718D8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B86F191">
            <w:pPr>
              <w:spacing w:after="0" w:line="240" w:lineRule="auto"/>
              <w:jc w:val="center"/>
            </w:pPr>
            <w:r>
              <w:t>前端交互</w:t>
            </w:r>
          </w:p>
        </w:tc>
        <w:tc>
          <w:tcPr>
            <w:tcW w:w="2835" w:type="dxa"/>
          </w:tcPr>
          <w:p w14:paraId="5F6778E4">
            <w:pPr>
              <w:spacing w:after="0" w:line="240" w:lineRule="auto"/>
              <w:jc w:val="center"/>
            </w:pPr>
            <w:r>
              <w:t>网页交互界面与课件预览</w:t>
            </w:r>
          </w:p>
        </w:tc>
        <w:tc>
          <w:tcPr>
            <w:tcW w:w="1701" w:type="dxa"/>
          </w:tcPr>
          <w:p w14:paraId="3A7A6C9E">
            <w:pPr>
              <w:spacing w:after="0" w:line="240" w:lineRule="auto"/>
              <w:jc w:val="center"/>
            </w:pPr>
            <w:r>
              <w:rPr>
                <w:rFonts w:hint="eastAsia"/>
                <w:lang w:val="en-US" w:eastAsia="zh-CN"/>
              </w:rPr>
              <w:t>吴苏萍</w:t>
            </w:r>
            <w:r>
              <w:t>（协调）、</w:t>
            </w:r>
            <w:r>
              <w:rPr>
                <w:rFonts w:hint="eastAsia"/>
                <w:lang w:val="en-US" w:eastAsia="zh-CN"/>
              </w:rPr>
              <w:t>江南</w:t>
            </w:r>
            <w:r>
              <w:t>（实现）</w:t>
            </w:r>
          </w:p>
        </w:tc>
        <w:tc>
          <w:tcPr>
            <w:tcW w:w="2551" w:type="dxa"/>
          </w:tcPr>
          <w:p w14:paraId="3178F10A">
            <w:pPr>
              <w:spacing w:after="0" w:line="240" w:lineRule="auto"/>
              <w:jc w:val="center"/>
            </w:pPr>
            <w:r>
              <w:t>浏览器端交互界面</w:t>
            </w:r>
          </w:p>
        </w:tc>
      </w:tr>
    </w:tbl>
    <w:p w14:paraId="4221AAD9">
      <w:r>
        <w:t>（2）里程碑管控：按照四周迭代节奏设置四个里程碑，每个里程碑明确核心目标与关键交付物：</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134"/>
        <w:gridCol w:w="3118"/>
        <w:gridCol w:w="2835"/>
      </w:tblGrid>
      <w:tr w14:paraId="497183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7020392">
            <w:pPr>
              <w:spacing w:after="0" w:line="240" w:lineRule="auto"/>
              <w:jc w:val="center"/>
            </w:pPr>
            <w:r>
              <w:t>里程碑</w:t>
            </w:r>
          </w:p>
        </w:tc>
        <w:tc>
          <w:tcPr>
            <w:tcW w:w="1134" w:type="dxa"/>
          </w:tcPr>
          <w:p w14:paraId="474B14E4">
            <w:pPr>
              <w:spacing w:after="0" w:line="240" w:lineRule="auto"/>
              <w:jc w:val="center"/>
            </w:pPr>
            <w:r>
              <w:t>时间</w:t>
            </w:r>
          </w:p>
        </w:tc>
        <w:tc>
          <w:tcPr>
            <w:tcW w:w="3118" w:type="dxa"/>
          </w:tcPr>
          <w:p w14:paraId="4AE267B2">
            <w:pPr>
              <w:spacing w:after="0" w:line="240" w:lineRule="auto"/>
              <w:jc w:val="center"/>
            </w:pPr>
            <w:r>
              <w:t>核心目标</w:t>
            </w:r>
          </w:p>
        </w:tc>
        <w:tc>
          <w:tcPr>
            <w:tcW w:w="2835" w:type="dxa"/>
          </w:tcPr>
          <w:p w14:paraId="7DE1FFC1">
            <w:pPr>
              <w:spacing w:after="0" w:line="240" w:lineRule="auto"/>
              <w:jc w:val="center"/>
            </w:pPr>
            <w:r>
              <w:t>关键交付物</w:t>
            </w:r>
          </w:p>
        </w:tc>
      </w:tr>
      <w:tr w14:paraId="777393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59781AF">
            <w:pPr>
              <w:spacing w:after="0" w:line="240" w:lineRule="auto"/>
              <w:jc w:val="center"/>
            </w:pPr>
            <w:r>
              <w:t>M1</w:t>
            </w:r>
          </w:p>
        </w:tc>
        <w:tc>
          <w:tcPr>
            <w:tcW w:w="1134" w:type="dxa"/>
          </w:tcPr>
          <w:p w14:paraId="0A7BABA2">
            <w:pPr>
              <w:spacing w:after="0" w:line="240" w:lineRule="auto"/>
              <w:jc w:val="center"/>
            </w:pPr>
            <w:r>
              <w:t>第1周</w:t>
            </w:r>
          </w:p>
        </w:tc>
        <w:tc>
          <w:tcPr>
            <w:tcW w:w="3118" w:type="dxa"/>
          </w:tcPr>
          <w:p w14:paraId="18DB3722">
            <w:pPr>
              <w:spacing w:after="0" w:line="240" w:lineRule="auto"/>
              <w:jc w:val="center"/>
            </w:pPr>
            <w:r>
              <w:t>环境搭建加Flask框架跑通加前端骨架</w:t>
            </w:r>
          </w:p>
        </w:tc>
        <w:tc>
          <w:tcPr>
            <w:tcW w:w="2835" w:type="dxa"/>
          </w:tcPr>
          <w:p w14:paraId="29AE3516">
            <w:pPr>
              <w:spacing w:after="0" w:line="240" w:lineRule="auto"/>
              <w:jc w:val="center"/>
            </w:pPr>
            <w:r>
              <w:t>可运行Flask服务、前端页面骨架</w:t>
            </w:r>
          </w:p>
        </w:tc>
      </w:tr>
      <w:tr w14:paraId="5A0C68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FB0F8A8">
            <w:pPr>
              <w:spacing w:after="0" w:line="240" w:lineRule="auto"/>
              <w:jc w:val="center"/>
            </w:pPr>
            <w:r>
              <w:t>M2</w:t>
            </w:r>
          </w:p>
        </w:tc>
        <w:tc>
          <w:tcPr>
            <w:tcW w:w="1134" w:type="dxa"/>
          </w:tcPr>
          <w:p w14:paraId="35C81060">
            <w:pPr>
              <w:spacing w:after="0" w:line="240" w:lineRule="auto"/>
              <w:jc w:val="center"/>
            </w:pPr>
            <w:r>
              <w:t>第2周</w:t>
            </w:r>
          </w:p>
        </w:tc>
        <w:tc>
          <w:tcPr>
            <w:tcW w:w="3118" w:type="dxa"/>
          </w:tcPr>
          <w:p w14:paraId="2B3E852E">
            <w:pPr>
              <w:spacing w:after="0" w:line="240" w:lineRule="auto"/>
              <w:jc w:val="center"/>
            </w:pPr>
            <w:r>
              <w:t>RAG知识库加文档解析加意图分析模块</w:t>
            </w:r>
          </w:p>
        </w:tc>
        <w:tc>
          <w:tcPr>
            <w:tcW w:w="2835" w:type="dxa"/>
          </w:tcPr>
          <w:p w14:paraId="6CE1B63E">
            <w:pPr>
              <w:spacing w:after="0" w:line="240" w:lineRule="auto"/>
              <w:jc w:val="center"/>
            </w:pPr>
            <w:r>
              <w:t>知识库入库与检索可用、意图解析接口</w:t>
            </w:r>
          </w:p>
        </w:tc>
      </w:tr>
      <w:tr w14:paraId="7C0D22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32E170F">
            <w:pPr>
              <w:spacing w:after="0" w:line="240" w:lineRule="auto"/>
              <w:jc w:val="center"/>
            </w:pPr>
            <w:r>
              <w:t>M3</w:t>
            </w:r>
          </w:p>
        </w:tc>
        <w:tc>
          <w:tcPr>
            <w:tcW w:w="1134" w:type="dxa"/>
          </w:tcPr>
          <w:p w14:paraId="5CB5FD0B">
            <w:pPr>
              <w:spacing w:after="0" w:line="240" w:lineRule="auto"/>
              <w:jc w:val="center"/>
            </w:pPr>
            <w:r>
              <w:t>第3周</w:t>
            </w:r>
          </w:p>
        </w:tc>
        <w:tc>
          <w:tcPr>
            <w:tcW w:w="3118" w:type="dxa"/>
          </w:tcPr>
          <w:p w14:paraId="335B6527">
            <w:pPr>
              <w:spacing w:after="0" w:line="240" w:lineRule="auto"/>
              <w:jc w:val="center"/>
            </w:pPr>
            <w:r>
              <w:t>PPT/Word/游戏生成引擎加多模态融合</w:t>
            </w:r>
          </w:p>
        </w:tc>
        <w:tc>
          <w:tcPr>
            <w:tcW w:w="2835" w:type="dxa"/>
          </w:tcPr>
          <w:p w14:paraId="0FCA2A5B">
            <w:pPr>
              <w:spacing w:after="0" w:line="240" w:lineRule="auto"/>
              <w:jc w:val="center"/>
            </w:pPr>
            <w:r>
              <w:t>三类生成引擎、融合指令链路</w:t>
            </w:r>
          </w:p>
        </w:tc>
      </w:tr>
      <w:tr w14:paraId="3BB947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D5FFC91">
            <w:pPr>
              <w:spacing w:after="0" w:line="240" w:lineRule="auto"/>
              <w:jc w:val="center"/>
            </w:pPr>
            <w:r>
              <w:t>M4</w:t>
            </w:r>
          </w:p>
        </w:tc>
        <w:tc>
          <w:tcPr>
            <w:tcW w:w="1134" w:type="dxa"/>
          </w:tcPr>
          <w:p w14:paraId="2282A8E4">
            <w:pPr>
              <w:spacing w:after="0" w:line="240" w:lineRule="auto"/>
              <w:jc w:val="center"/>
            </w:pPr>
            <w:r>
              <w:t>第4周</w:t>
            </w:r>
          </w:p>
        </w:tc>
        <w:tc>
          <w:tcPr>
            <w:tcW w:w="3118" w:type="dxa"/>
          </w:tcPr>
          <w:p w14:paraId="637FF56C">
            <w:pPr>
              <w:spacing w:after="0" w:line="240" w:lineRule="auto"/>
              <w:jc w:val="center"/>
            </w:pPr>
            <w:r>
              <w:t>迭代优化加导出闭环加联调测试</w:t>
            </w:r>
          </w:p>
        </w:tc>
        <w:tc>
          <w:tcPr>
            <w:tcW w:w="2835" w:type="dxa"/>
          </w:tcPr>
          <w:p w14:paraId="29DBB600">
            <w:pPr>
              <w:spacing w:after="0" w:line="240" w:lineRule="auto"/>
              <w:jc w:val="center"/>
            </w:pPr>
            <w:r>
              <w:t>端到端闭环演示、测试报告</w:t>
            </w:r>
          </w:p>
        </w:tc>
      </w:tr>
    </w:tbl>
    <w:p w14:paraId="0FA1FBFA">
      <w:pPr>
        <w:jc w:val="center"/>
      </w:pPr>
      <w:r>
        <w:drawing>
          <wp:inline distT="0" distB="0" distL="114300" distR="114300">
            <wp:extent cx="5029200" cy="2486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029200" cy="2486346"/>
                    </a:xfrm>
                    <a:prstGeom prst="rect">
                      <a:avLst/>
                    </a:prstGeom>
                  </pic:spPr>
                </pic:pic>
              </a:graphicData>
            </a:graphic>
          </wp:inline>
        </w:drawing>
      </w:r>
    </w:p>
    <w:p w14:paraId="75FA909F">
      <w:pPr>
        <w:jc w:val="center"/>
      </w:pPr>
      <w:r>
        <w:rPr>
          <w:i/>
          <w:color w:val="64748B"/>
          <w:sz w:val="18"/>
        </w:rPr>
        <w:t>图3-2  项目里程碑甘特图</w:t>
      </w:r>
    </w:p>
    <w:p w14:paraId="751BB672">
      <w:r>
        <w:t>（3）质量保障：设置代码评审、接口联调与用户验收三道质量关口。代码评审由技术经理</w:t>
      </w:r>
      <w:r>
        <w:rPr>
          <w:rFonts w:hint="eastAsia"/>
          <w:lang w:val="en-US" w:eastAsia="zh-CN"/>
        </w:rPr>
        <w:t>江南</w:t>
      </w:r>
      <w:r>
        <w:t>负责，保障核心模块的编码质量；接口联调由项目经理</w:t>
      </w:r>
      <w:r>
        <w:rPr>
          <w:rFonts w:hint="eastAsia"/>
          <w:lang w:val="en-US" w:eastAsia="zh-CN"/>
        </w:rPr>
        <w:t>吴苏萍</w:t>
      </w:r>
      <w:r>
        <w:t>协调，确保各模块间链路连通；用户验收由客户关系经理</w:t>
      </w:r>
      <w:r>
        <w:rPr>
          <w:rFonts w:hint="eastAsia"/>
          <w:lang w:val="en-US" w:eastAsia="zh-CN"/>
        </w:rPr>
        <w:t>吴韵谦</w:t>
      </w:r>
      <w:r>
        <w:t>对接，依据真实教学场景反馈驱动后续优化。</w:t>
      </w:r>
    </w:p>
    <w:p w14:paraId="1F55AE63">
      <w:pPr>
        <w:pStyle w:val="4"/>
      </w:pPr>
      <w:bookmarkStart w:id="17" w:name="_LarkToc00017"/>
      <w:r>
        <w:rPr>
          <w:rFonts w:ascii="黑体" w:hAnsi="黑体" w:eastAsia="黑体"/>
        </w:rPr>
        <w:t>3.2  业务分析方案</w:t>
      </w:r>
      <w:bookmarkEnd w:id="17"/>
    </w:p>
    <w:p w14:paraId="0C961C0A">
      <w:pPr>
        <w:pStyle w:val="5"/>
      </w:pPr>
      <w:bookmarkStart w:id="18" w:name="_LarkToc00018"/>
      <w:r>
        <w:rPr>
          <w:rFonts w:ascii="黑体" w:hAnsi="黑体" w:eastAsia="黑体"/>
        </w:rPr>
        <w:t>3.2.1  市场分析</w:t>
      </w:r>
      <w:bookmarkEnd w:id="18"/>
    </w:p>
    <w:p w14:paraId="3D7D7224">
      <w:r>
        <w:t>需要说明的是，本方案为学生实训与竞赛背景下的可行性研究，市场分析基于公开政策文件、行业研究资料及团队开发验证进行定性判断，相关数据仅供趋势参考。市场环境从政策、需求、供给与市场容量四个维度进行分析：</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3969"/>
        <w:gridCol w:w="3402"/>
      </w:tblGrid>
      <w:tr w14:paraId="41D2DB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ED9BCB1">
            <w:pPr>
              <w:spacing w:after="0" w:line="240" w:lineRule="auto"/>
              <w:jc w:val="center"/>
            </w:pPr>
            <w:r>
              <w:t>维度</w:t>
            </w:r>
          </w:p>
        </w:tc>
        <w:tc>
          <w:tcPr>
            <w:tcW w:w="3969" w:type="dxa"/>
          </w:tcPr>
          <w:p w14:paraId="68427DE0">
            <w:pPr>
              <w:spacing w:after="0" w:line="240" w:lineRule="auto"/>
              <w:jc w:val="center"/>
            </w:pPr>
            <w:r>
              <w:t>现状要点</w:t>
            </w:r>
          </w:p>
        </w:tc>
        <w:tc>
          <w:tcPr>
            <w:tcW w:w="3402" w:type="dxa"/>
          </w:tcPr>
          <w:p w14:paraId="12C01EDC">
            <w:pPr>
              <w:spacing w:after="0" w:line="240" w:lineRule="auto"/>
              <w:jc w:val="center"/>
            </w:pPr>
            <w:r>
              <w:t>对本方案的启示</w:t>
            </w:r>
          </w:p>
        </w:tc>
      </w:tr>
      <w:tr w14:paraId="30F1F8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45BF0A4">
            <w:pPr>
              <w:spacing w:after="0" w:line="240" w:lineRule="auto"/>
              <w:jc w:val="center"/>
            </w:pPr>
            <w:r>
              <w:t>政策环境</w:t>
            </w:r>
          </w:p>
        </w:tc>
        <w:tc>
          <w:tcPr>
            <w:tcW w:w="3969" w:type="dxa"/>
          </w:tcPr>
          <w:p w14:paraId="4CCB4A70">
            <w:pPr>
              <w:spacing w:after="0" w:line="240" w:lineRule="auto"/>
              <w:jc w:val="center"/>
            </w:pPr>
            <w:r>
              <w:t>教育部等九部门印发《关于加快推进教育数字化的意见》（教办〔2025〕3号）；教育部2024年启动人工智能赋能教育行动，2025年上线国家智慧教育平台2.0智能版；国家智慧教育公共服务平台用户总量已突破1.78亿</w:t>
            </w:r>
          </w:p>
        </w:tc>
        <w:tc>
          <w:tcPr>
            <w:tcW w:w="3402" w:type="dxa"/>
          </w:tcPr>
          <w:p w14:paraId="1FFF85BF">
            <w:pPr>
              <w:spacing w:after="0" w:line="240" w:lineRule="auto"/>
              <w:jc w:val="center"/>
            </w:pPr>
            <w:r>
              <w:t>政策层面明确支持AI赋能教学，教师使用AI工具有政策与平台基础</w:t>
            </w:r>
          </w:p>
        </w:tc>
      </w:tr>
      <w:tr w14:paraId="2AB8BC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9114474">
            <w:pPr>
              <w:spacing w:after="0" w:line="240" w:lineRule="auto"/>
              <w:jc w:val="center"/>
            </w:pPr>
            <w:r>
              <w:t>需求侧</w:t>
            </w:r>
          </w:p>
        </w:tc>
        <w:tc>
          <w:tcPr>
            <w:tcW w:w="3969" w:type="dxa"/>
          </w:tcPr>
          <w:p w14:paraId="7A9D58F6">
            <w:pPr>
              <w:spacing w:after="0" w:line="240" w:lineRule="auto"/>
              <w:jc w:val="center"/>
            </w:pPr>
            <w:r>
              <w:t>教师备课耗时长、重复劳动占比高；生成式AI已成为教师获取教学素材的常用手段，但教案加课件加互动游戏一体化产出的需求尚未被充分满足</w:t>
            </w:r>
          </w:p>
        </w:tc>
        <w:tc>
          <w:tcPr>
            <w:tcW w:w="3402" w:type="dxa"/>
          </w:tcPr>
          <w:p w14:paraId="51BFCA34">
            <w:pPr>
              <w:spacing w:after="0" w:line="240" w:lineRule="auto"/>
              <w:jc w:val="center"/>
            </w:pPr>
            <w:r>
              <w:t>一体化课件生成工具存在真实且尚未被充分满足的需求</w:t>
            </w:r>
          </w:p>
        </w:tc>
      </w:tr>
      <w:tr w14:paraId="01758F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9C39842">
            <w:pPr>
              <w:spacing w:after="0" w:line="240" w:lineRule="auto"/>
              <w:jc w:val="center"/>
            </w:pPr>
            <w:r>
              <w:t>供给侧</w:t>
            </w:r>
          </w:p>
        </w:tc>
        <w:tc>
          <w:tcPr>
            <w:tcW w:w="3969" w:type="dxa"/>
          </w:tcPr>
          <w:p w14:paraId="3818C460">
            <w:pPr>
              <w:spacing w:after="0" w:line="240" w:lineRule="auto"/>
              <w:jc w:val="center"/>
            </w:pPr>
            <w:r>
              <w:t>通用AI工具与办公AI发展迅速，但教育专用、可本地化部署的一体化课件生成工具仍较少</w:t>
            </w:r>
          </w:p>
        </w:tc>
        <w:tc>
          <w:tcPr>
            <w:tcW w:w="3402" w:type="dxa"/>
          </w:tcPr>
          <w:p w14:paraId="3A7809B3">
            <w:pPr>
              <w:spacing w:after="0" w:line="240" w:lineRule="auto"/>
              <w:jc w:val="center"/>
            </w:pPr>
            <w:r>
              <w:t>细分场景存在差异化切入空间</w:t>
            </w:r>
          </w:p>
        </w:tc>
      </w:tr>
      <w:tr w14:paraId="3B9E08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6C4D09E">
            <w:pPr>
              <w:spacing w:after="0" w:line="240" w:lineRule="auto"/>
              <w:jc w:val="center"/>
            </w:pPr>
            <w:r>
              <w:t>市场容量</w:t>
            </w:r>
          </w:p>
        </w:tc>
        <w:tc>
          <w:tcPr>
            <w:tcW w:w="3969" w:type="dxa"/>
          </w:tcPr>
          <w:p w14:paraId="5B5EC58C">
            <w:pPr>
              <w:spacing w:after="0" w:line="240" w:lineRule="auto"/>
              <w:jc w:val="center"/>
            </w:pPr>
            <w:r>
              <w:t>据Frost &amp; Sullivan行业研究，中国教育信息化支出预计2024至2029年复合增长率约3.5%，2029年约达6083亿元</w:t>
            </w:r>
          </w:p>
        </w:tc>
        <w:tc>
          <w:tcPr>
            <w:tcW w:w="3402" w:type="dxa"/>
          </w:tcPr>
          <w:p w14:paraId="07A0E9EA">
            <w:pPr>
              <w:spacing w:after="0" w:line="240" w:lineRule="auto"/>
              <w:jc w:val="center"/>
            </w:pPr>
            <w:r>
              <w:t>市场整体稳健增长，应聚焦细分场景而非追求大而全</w:t>
            </w:r>
          </w:p>
        </w:tc>
      </w:tr>
    </w:tbl>
    <w:p w14:paraId="08C6BE54">
      <w:pPr>
        <w:jc w:val="center"/>
      </w:pPr>
      <w:r>
        <w:drawing>
          <wp:inline distT="0" distB="0" distL="114300" distR="114300">
            <wp:extent cx="5029200" cy="2228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29200" cy="2228427"/>
                    </a:xfrm>
                    <a:prstGeom prst="rect">
                      <a:avLst/>
                    </a:prstGeom>
                  </pic:spPr>
                </pic:pic>
              </a:graphicData>
            </a:graphic>
          </wp:inline>
        </w:drawing>
      </w:r>
    </w:p>
    <w:p w14:paraId="0CA5C8C3">
      <w:pPr>
        <w:jc w:val="center"/>
      </w:pPr>
      <w:r>
        <w:rPr>
          <w:i/>
          <w:color w:val="64748B"/>
          <w:sz w:val="18"/>
        </w:rPr>
        <w:t>图3-3  市场环境分析（支出增长预测 + 需求紧迫度评估）</w:t>
      </w:r>
    </w:p>
    <w:p w14:paraId="798355C2">
      <w:r>
        <w:t>本方案将目标市场界定为使用锐捷云课堂与智慧教室的职业院校及高校计算机网络类课程教师这一细分场景。试点阶段计划选择1至2所学校，每校约50名教师参与使用，按单校年运营成本0.85万至2.03万元测算，试点总投入约1万至4万元，属于门槛较低、可承担的验证规模。</w:t>
      </w:r>
    </w:p>
    <w:p w14:paraId="48073BEC">
      <w:pPr>
        <w:pStyle w:val="5"/>
      </w:pPr>
      <w:bookmarkStart w:id="19" w:name="_LarkToc00019"/>
      <w:r>
        <w:rPr>
          <w:rFonts w:ascii="黑体" w:hAnsi="黑体" w:eastAsia="黑体"/>
        </w:rPr>
        <w:t>3.2.2  竞品分析</w:t>
      </w:r>
      <w:bookmarkEnd w:id="19"/>
    </w:p>
    <w:p w14:paraId="34DC377D">
      <w:r>
        <w:t>当前与教学课件相关的现有工具可归纳为四类，各类工具的主要能力、存在不足以及本方案的差异化定位对比如下表所示：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4"/>
        <w:gridCol w:w="1701"/>
        <w:gridCol w:w="1984"/>
        <w:gridCol w:w="1984"/>
      </w:tblGrid>
      <w:tr w14:paraId="40B7E6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86611D1">
            <w:pPr>
              <w:spacing w:after="0" w:line="240" w:lineRule="auto"/>
              <w:jc w:val="center"/>
            </w:pPr>
            <w:r>
              <w:t>竞品类别（典型代表）</w:t>
            </w:r>
          </w:p>
        </w:tc>
        <w:tc>
          <w:tcPr>
            <w:tcW w:w="1701" w:type="dxa"/>
          </w:tcPr>
          <w:p w14:paraId="0456F038">
            <w:pPr>
              <w:spacing w:after="0" w:line="240" w:lineRule="auto"/>
              <w:jc w:val="center"/>
            </w:pPr>
            <w:r>
              <w:t>主要能力</w:t>
            </w:r>
          </w:p>
        </w:tc>
        <w:tc>
          <w:tcPr>
            <w:tcW w:w="1984" w:type="dxa"/>
          </w:tcPr>
          <w:p w14:paraId="4357CB79">
            <w:pPr>
              <w:spacing w:after="0" w:line="240" w:lineRule="auto"/>
              <w:jc w:val="center"/>
            </w:pPr>
            <w:r>
              <w:t>相对不足</w:t>
            </w:r>
          </w:p>
        </w:tc>
        <w:tc>
          <w:tcPr>
            <w:tcW w:w="1984" w:type="dxa"/>
          </w:tcPr>
          <w:p w14:paraId="3A71EBD1">
            <w:pPr>
              <w:spacing w:after="0" w:line="240" w:lineRule="auto"/>
              <w:jc w:val="center"/>
            </w:pPr>
            <w:r>
              <w:t>本方案的差异点</w:t>
            </w:r>
          </w:p>
        </w:tc>
      </w:tr>
      <w:tr w14:paraId="029740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ADE8F11">
            <w:pPr>
              <w:spacing w:after="0" w:line="240" w:lineRule="auto"/>
              <w:jc w:val="center"/>
            </w:pPr>
            <w:r>
              <w:t>通用大模型助手（文心一言、豆包、Kimi、DeepSeek等）</w:t>
            </w:r>
          </w:p>
        </w:tc>
        <w:tc>
          <w:tcPr>
            <w:tcW w:w="1701" w:type="dxa"/>
          </w:tcPr>
          <w:p w14:paraId="75EEE25F">
            <w:pPr>
              <w:spacing w:after="0" w:line="240" w:lineRule="auto"/>
              <w:jc w:val="center"/>
            </w:pPr>
            <w:r>
              <w:t>对话式生成教案大纲与课件文案</w:t>
            </w:r>
          </w:p>
        </w:tc>
        <w:tc>
          <w:tcPr>
            <w:tcW w:w="1984" w:type="dxa"/>
          </w:tcPr>
          <w:p w14:paraId="495E973C">
            <w:pPr>
              <w:spacing w:after="0" w:line="240" w:lineRule="auto"/>
              <w:jc w:val="center"/>
            </w:pPr>
            <w:r>
              <w:t>缺乏教学意图结构化解析与确认闭环；不直接产出可编辑的PPTX/DOCX/HTML一体化产物；无本地知识库支撑</w:t>
            </w:r>
          </w:p>
        </w:tc>
        <w:tc>
          <w:tcPr>
            <w:tcW w:w="1984" w:type="dxa"/>
          </w:tcPr>
          <w:p w14:paraId="2B5DE62B">
            <w:pPr>
              <w:spacing w:after="0" w:line="240" w:lineRule="auto"/>
              <w:jc w:val="center"/>
            </w:pPr>
            <w:r>
              <w:t>教学意图解析加确认修正闭环；三类产物一键生成；本地RAG知识增强</w:t>
            </w:r>
          </w:p>
        </w:tc>
      </w:tr>
      <w:tr w14:paraId="0AFF2A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E390ABD">
            <w:pPr>
              <w:spacing w:after="0" w:line="240" w:lineRule="auto"/>
              <w:jc w:val="center"/>
            </w:pPr>
            <w:r>
              <w:t>通用办公AI（WPS AI、微软Copilot等）</w:t>
            </w:r>
          </w:p>
        </w:tc>
        <w:tc>
          <w:tcPr>
            <w:tcW w:w="1701" w:type="dxa"/>
          </w:tcPr>
          <w:p w14:paraId="0FBADED2">
            <w:pPr>
              <w:spacing w:after="0" w:line="240" w:lineRule="auto"/>
              <w:jc w:val="center"/>
            </w:pPr>
            <w:r>
              <w:t>一键生成PPT与文档，办公生态完善</w:t>
            </w:r>
          </w:p>
        </w:tc>
        <w:tc>
          <w:tcPr>
            <w:tcW w:w="1984" w:type="dxa"/>
          </w:tcPr>
          <w:p w14:paraId="442817CD">
            <w:pPr>
              <w:spacing w:after="0" w:line="240" w:lineRule="auto"/>
              <w:jc w:val="center"/>
            </w:pPr>
            <w:r>
              <w:t>面向通用办公场景，缺少教案结构、课堂互动设计与学科专业性</w:t>
            </w:r>
          </w:p>
        </w:tc>
        <w:tc>
          <w:tcPr>
            <w:tcW w:w="1984" w:type="dxa"/>
          </w:tcPr>
          <w:p w14:paraId="45C9E5DD">
            <w:pPr>
              <w:spacing w:after="0" w:line="240" w:lineRule="auto"/>
              <w:jc w:val="center"/>
            </w:pPr>
            <w:r>
              <w:t>内置标准教案模板与TCP等专业课模板；支持互动游戏生成；支持本地化部署</w:t>
            </w:r>
          </w:p>
        </w:tc>
      </w:tr>
      <w:tr w14:paraId="55050D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8F0694F">
            <w:pPr>
              <w:spacing w:after="0" w:line="240" w:lineRule="auto"/>
              <w:jc w:val="center"/>
            </w:pPr>
            <w:r>
              <w:t>教育信息化备课工具（希沃课件、101教育PPT等）</w:t>
            </w:r>
          </w:p>
        </w:tc>
        <w:tc>
          <w:tcPr>
            <w:tcW w:w="1701" w:type="dxa"/>
          </w:tcPr>
          <w:p w14:paraId="25F080C3">
            <w:pPr>
              <w:spacing w:after="0" w:line="240" w:lineRule="auto"/>
              <w:jc w:val="center"/>
            </w:pPr>
            <w:r>
              <w:t>素材库丰富、贴近课堂教学</w:t>
            </w:r>
          </w:p>
        </w:tc>
        <w:tc>
          <w:tcPr>
            <w:tcW w:w="1984" w:type="dxa"/>
          </w:tcPr>
          <w:p w14:paraId="784E655F">
            <w:pPr>
              <w:spacing w:after="0" w:line="240" w:lineRule="auto"/>
              <w:jc w:val="center"/>
            </w:pPr>
            <w:r>
              <w:t>以素材检索与模板为主，AI生成深度有限；对高校与职业院校专业课适配较弱</w:t>
            </w:r>
          </w:p>
        </w:tc>
        <w:tc>
          <w:tcPr>
            <w:tcW w:w="1984" w:type="dxa"/>
          </w:tcPr>
          <w:p w14:paraId="064E46A1">
            <w:pPr>
              <w:spacing w:after="0" w:line="240" w:lineRule="auto"/>
              <w:jc w:val="center"/>
            </w:pPr>
            <w:r>
              <w:t>大模型深度生成加多模态输入；面向高校与职教专业课</w:t>
            </w:r>
          </w:p>
        </w:tc>
      </w:tr>
      <w:tr w14:paraId="18FD18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865DF1F">
            <w:pPr>
              <w:spacing w:after="0" w:line="240" w:lineRule="auto"/>
              <w:jc w:val="center"/>
            </w:pPr>
            <w:r>
              <w:t>国际AI课件工具（Gamma、ChatSlide等）</w:t>
            </w:r>
          </w:p>
        </w:tc>
        <w:tc>
          <w:tcPr>
            <w:tcW w:w="1701" w:type="dxa"/>
          </w:tcPr>
          <w:p w14:paraId="48CE8C1F">
            <w:pPr>
              <w:spacing w:after="0" w:line="240" w:lineRule="auto"/>
              <w:jc w:val="center"/>
            </w:pPr>
            <w:r>
              <w:t>交互式课件与演示生成体验较好</w:t>
            </w:r>
          </w:p>
        </w:tc>
        <w:tc>
          <w:tcPr>
            <w:tcW w:w="1984" w:type="dxa"/>
          </w:tcPr>
          <w:p w14:paraId="7225315F">
            <w:pPr>
              <w:spacing w:after="0" w:line="240" w:lineRule="auto"/>
              <w:jc w:val="center"/>
            </w:pPr>
            <w:r>
              <w:t>面向海外课程体系与K12场景，中文教学与本地学科适配不足</w:t>
            </w:r>
          </w:p>
        </w:tc>
        <w:tc>
          <w:tcPr>
            <w:tcW w:w="1984" w:type="dxa"/>
          </w:tcPr>
          <w:p w14:paraId="58F7067E">
            <w:pPr>
              <w:spacing w:after="0" w:line="240" w:lineRule="auto"/>
              <w:jc w:val="center"/>
            </w:pPr>
            <w:r>
              <w:t>中文教学场景适配；适配锐捷生态；支持本地化部署</w:t>
            </w:r>
          </w:p>
        </w:tc>
      </w:tr>
    </w:tbl>
    <w:p w14:paraId="1578368F">
      <w:pPr>
        <w:jc w:val="center"/>
      </w:pPr>
      <w:r>
        <w:drawing>
          <wp:inline distT="0" distB="0" distL="114300" distR="114300">
            <wp:extent cx="50292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029200" cy="3962706"/>
                    </a:xfrm>
                    <a:prstGeom prst="rect">
                      <a:avLst/>
                    </a:prstGeom>
                  </pic:spPr>
                </pic:pic>
              </a:graphicData>
            </a:graphic>
          </wp:inline>
        </w:drawing>
      </w:r>
    </w:p>
    <w:p w14:paraId="060516B8">
      <w:pPr>
        <w:jc w:val="center"/>
      </w:pPr>
      <w:r>
        <w:rPr>
          <w:i/>
          <w:color w:val="64748B"/>
          <w:sz w:val="18"/>
        </w:rPr>
        <w:t>图3-4  竞品能力对比雷达图</w:t>
      </w:r>
    </w:p>
    <w:p w14:paraId="72AEC3BA">
      <w:r>
        <w:t>本方案不与通用大模型及办公AI在通用能力层面进行正面竞争，而是聚焦计算机网络类课程教师备课这一细分场景，以教学意图理解、本地知识库增强、教案PPT互动游戏一体化生成与本地化部署的组合优势形成差异化。在架构设计上预留模型可插拔能力，可根据技术发展灵活替换大模型、向量库与解析组件。</w:t>
      </w:r>
    </w:p>
    <w:p w14:paraId="03B3DE19">
      <w:pPr>
        <w:pStyle w:val="5"/>
      </w:pPr>
      <w:bookmarkStart w:id="20" w:name="_LarkToc00020"/>
      <w:r>
        <w:rPr>
          <w:rFonts w:ascii="黑体" w:hAnsi="黑体" w:eastAsia="黑体"/>
        </w:rPr>
        <w:t>3.2.3  目标客户与业务场景</w:t>
      </w:r>
      <w:bookmarkEnd w:id="20"/>
    </w:p>
    <w:p w14:paraId="4DAB036B">
      <w:r>
        <w:t>方案的核心客户群体为职业院校与高校中计算机网络类课程的教师，以及使用锐捷云课堂与智慧教室的教育机构。核心业务场景涵盖日常备课、知识沉淀、课堂互动与课件迭代四类，具体如下表所示：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402"/>
        <w:gridCol w:w="3402"/>
      </w:tblGrid>
      <w:tr w14:paraId="22C6EA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6D4232F">
            <w:pPr>
              <w:spacing w:after="0" w:line="240" w:lineRule="auto"/>
              <w:jc w:val="center"/>
            </w:pPr>
            <w:r>
              <w:t>场景</w:t>
            </w:r>
          </w:p>
        </w:tc>
        <w:tc>
          <w:tcPr>
            <w:tcW w:w="3402" w:type="dxa"/>
          </w:tcPr>
          <w:p w14:paraId="4F28DA0F">
            <w:pPr>
              <w:spacing w:after="0" w:line="240" w:lineRule="auto"/>
              <w:jc w:val="center"/>
            </w:pPr>
            <w:r>
              <w:t>典型诉求</w:t>
            </w:r>
          </w:p>
        </w:tc>
        <w:tc>
          <w:tcPr>
            <w:tcW w:w="3402" w:type="dxa"/>
          </w:tcPr>
          <w:p w14:paraId="13E7B31B">
            <w:pPr>
              <w:spacing w:after="0" w:line="240" w:lineRule="auto"/>
              <w:jc w:val="center"/>
            </w:pPr>
            <w:r>
              <w:t>方案价值</w:t>
            </w:r>
          </w:p>
        </w:tc>
      </w:tr>
      <w:tr w14:paraId="03DC7C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CB24D77">
            <w:pPr>
              <w:spacing w:after="0" w:line="240" w:lineRule="auto"/>
              <w:jc w:val="center"/>
            </w:pPr>
            <w:r>
              <w:t>日常备课</w:t>
            </w:r>
          </w:p>
        </w:tc>
        <w:tc>
          <w:tcPr>
            <w:tcW w:w="3402" w:type="dxa"/>
          </w:tcPr>
          <w:p w14:paraId="70AA70F3">
            <w:pPr>
              <w:spacing w:after="0" w:line="240" w:lineRule="auto"/>
              <w:jc w:val="center"/>
            </w:pPr>
            <w:r>
              <w:t>教师输入：帮我做一份TCP三次握手的课件，45分钟，面向大一高职学生</w:t>
            </w:r>
          </w:p>
        </w:tc>
        <w:tc>
          <w:tcPr>
            <w:tcW w:w="3402" w:type="dxa"/>
          </w:tcPr>
          <w:p w14:paraId="1346A4E5">
            <w:pPr>
              <w:spacing w:after="0" w:line="240" w:lineRule="auto"/>
              <w:jc w:val="center"/>
            </w:pPr>
            <w:r>
              <w:t>分钟级产出PPT加教案加互动游戏，可直接用于课堂</w:t>
            </w:r>
          </w:p>
        </w:tc>
      </w:tr>
      <w:tr w14:paraId="295226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CF32D42">
            <w:pPr>
              <w:spacing w:after="0" w:line="240" w:lineRule="auto"/>
              <w:jc w:val="center"/>
            </w:pPr>
            <w:r>
              <w:t>知识沉淀</w:t>
            </w:r>
          </w:p>
        </w:tc>
        <w:tc>
          <w:tcPr>
            <w:tcW w:w="3402" w:type="dxa"/>
          </w:tcPr>
          <w:p w14:paraId="6BFE8FE2">
            <w:pPr>
              <w:spacing w:after="0" w:line="240" w:lineRule="auto"/>
              <w:jc w:val="center"/>
            </w:pPr>
            <w:r>
              <w:t>教师将历年教案与教材PDF上传至本地知识库</w:t>
            </w:r>
          </w:p>
        </w:tc>
        <w:tc>
          <w:tcPr>
            <w:tcW w:w="3402" w:type="dxa"/>
          </w:tcPr>
          <w:p w14:paraId="4E4D7276">
            <w:pPr>
              <w:spacing w:after="0" w:line="240" w:lineRule="auto"/>
              <w:jc w:val="center"/>
            </w:pPr>
            <w:r>
              <w:t>后续生成课件时自动检索引用，保障内容专业性</w:t>
            </w:r>
          </w:p>
        </w:tc>
      </w:tr>
      <w:tr w14:paraId="380E52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30AEB69">
            <w:pPr>
              <w:spacing w:after="0" w:line="240" w:lineRule="auto"/>
              <w:jc w:val="center"/>
            </w:pPr>
            <w:r>
              <w:t>课堂互动</w:t>
            </w:r>
          </w:p>
        </w:tc>
        <w:tc>
          <w:tcPr>
            <w:tcW w:w="3402" w:type="dxa"/>
          </w:tcPr>
          <w:p w14:paraId="545C8322">
            <w:pPr>
              <w:spacing w:after="0" w:line="240" w:lineRule="auto"/>
              <w:jc w:val="center"/>
            </w:pPr>
            <w:r>
              <w:t>课堂投屏使用HTML5互动小游戏（问答、填空、配对）</w:t>
            </w:r>
          </w:p>
        </w:tc>
        <w:tc>
          <w:tcPr>
            <w:tcW w:w="3402" w:type="dxa"/>
          </w:tcPr>
          <w:p w14:paraId="3B44261D">
            <w:pPr>
              <w:spacing w:after="0" w:line="240" w:lineRule="auto"/>
              <w:jc w:val="center"/>
            </w:pPr>
            <w:r>
              <w:t>即时检验学生掌握情况，提升课堂参与度</w:t>
            </w:r>
          </w:p>
        </w:tc>
      </w:tr>
      <w:tr w14:paraId="66911C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26289C3">
            <w:pPr>
              <w:spacing w:after="0" w:line="240" w:lineRule="auto"/>
              <w:jc w:val="center"/>
            </w:pPr>
            <w:r>
              <w:t>课件迭代</w:t>
            </w:r>
          </w:p>
        </w:tc>
        <w:tc>
          <w:tcPr>
            <w:tcW w:w="3402" w:type="dxa"/>
          </w:tcPr>
          <w:p w14:paraId="384DA287">
            <w:pPr>
              <w:spacing w:after="0" w:line="240" w:lineRule="auto"/>
              <w:jc w:val="center"/>
            </w:pPr>
            <w:r>
              <w:t>教师提出：把第二页简化一下、增加一个Wireshark抓包案例</w:t>
            </w:r>
          </w:p>
        </w:tc>
        <w:tc>
          <w:tcPr>
            <w:tcW w:w="3402" w:type="dxa"/>
          </w:tcPr>
          <w:p w14:paraId="40441DF3">
            <w:pPr>
              <w:spacing w:after="0" w:line="240" w:lineRule="auto"/>
              <w:jc w:val="center"/>
            </w:pPr>
            <w:r>
              <w:t>自然语言理解后批量更新PPT与教案，迭代成本较低</w:t>
            </w:r>
          </w:p>
        </w:tc>
      </w:tr>
    </w:tbl>
    <w:p w14:paraId="4ADC096A">
      <w:pPr>
        <w:pStyle w:val="5"/>
      </w:pPr>
      <w:bookmarkStart w:id="21" w:name="_LarkToc00021"/>
      <w:r>
        <w:rPr>
          <w:rFonts w:ascii="黑体" w:hAnsi="黑体" w:eastAsia="黑体"/>
        </w:rPr>
        <w:t>3.2.4  业务流程分析</w:t>
      </w:r>
      <w:bookmarkEnd w:id="21"/>
    </w:p>
    <w:p w14:paraId="348FAA8A">
      <w:r>
        <w:t>系统业务流程以课件制作需求识别作为决策节点，将普通问答与课件生产两条路径进行分流处理：</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6236"/>
      </w:tblGrid>
      <w:tr w14:paraId="399665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6C7B90B">
            <w:pPr>
              <w:spacing w:after="0" w:line="240" w:lineRule="auto"/>
              <w:jc w:val="center"/>
            </w:pPr>
            <w:r>
              <w:t>环节</w:t>
            </w:r>
          </w:p>
        </w:tc>
        <w:tc>
          <w:tcPr>
            <w:tcW w:w="6236" w:type="dxa"/>
          </w:tcPr>
          <w:p w14:paraId="12253308">
            <w:pPr>
              <w:spacing w:after="0" w:line="240" w:lineRule="auto"/>
              <w:jc w:val="center"/>
            </w:pPr>
            <w:r>
              <w:t>处理逻辑</w:t>
            </w:r>
          </w:p>
        </w:tc>
      </w:tr>
      <w:tr w14:paraId="3D1355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F093C81">
            <w:pPr>
              <w:spacing w:after="0" w:line="240" w:lineRule="auto"/>
              <w:jc w:val="center"/>
            </w:pPr>
            <w:r>
              <w:t>需求输入</w:t>
            </w:r>
          </w:p>
        </w:tc>
        <w:tc>
          <w:tcPr>
            <w:tcW w:w="6236" w:type="dxa"/>
          </w:tcPr>
          <w:p w14:paraId="2084C9E3">
            <w:pPr>
              <w:spacing w:after="0" w:line="240" w:lineRule="auto"/>
              <w:jc w:val="center"/>
            </w:pPr>
            <w:r>
              <w:t>教师输入教学需求</w:t>
            </w:r>
          </w:p>
        </w:tc>
      </w:tr>
      <w:tr w14:paraId="3E0458BD">
        <w:tblPrEx>
          <w:tblCellMar>
            <w:top w:w="0" w:type="dxa"/>
            <w:left w:w="108" w:type="dxa"/>
            <w:bottom w:w="0" w:type="dxa"/>
            <w:right w:w="108" w:type="dxa"/>
          </w:tblCellMar>
        </w:tblPrEx>
        <w:trPr>
          <w:jc w:val="center"/>
        </w:trPr>
        <w:tc>
          <w:tcPr>
            <w:tcW w:w="1701" w:type="dxa"/>
          </w:tcPr>
          <w:p w14:paraId="02997E18">
            <w:pPr>
              <w:spacing w:after="0" w:line="240" w:lineRule="auto"/>
              <w:jc w:val="center"/>
            </w:pPr>
            <w:r>
              <w:t>意图识别</w:t>
            </w:r>
          </w:p>
        </w:tc>
        <w:tc>
          <w:tcPr>
            <w:tcW w:w="6236" w:type="dxa"/>
          </w:tcPr>
          <w:p w14:paraId="00424521">
            <w:pPr>
              <w:spacing w:after="0" w:line="240" w:lineRule="auto"/>
              <w:jc w:val="center"/>
            </w:pPr>
            <w:r>
              <w:t>判断是否为课件制作需求；非课件需求转入普通问答（RAG增强）</w:t>
            </w:r>
          </w:p>
        </w:tc>
      </w:tr>
      <w:tr w14:paraId="52F3A5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FA09AC4">
            <w:pPr>
              <w:spacing w:after="0" w:line="240" w:lineRule="auto"/>
              <w:jc w:val="center"/>
            </w:pPr>
            <w:r>
              <w:t>结构化意图解析</w:t>
            </w:r>
          </w:p>
        </w:tc>
        <w:tc>
          <w:tcPr>
            <w:tcW w:w="6236" w:type="dxa"/>
          </w:tcPr>
          <w:p w14:paraId="51C2FA6D">
            <w:pPr>
              <w:spacing w:after="0" w:line="240" w:lineRule="auto"/>
              <w:jc w:val="center"/>
            </w:pPr>
            <w:r>
              <w:t>输出教学目标、重难点、知识点、受众与课堂活动等要素</w:t>
            </w:r>
          </w:p>
        </w:tc>
      </w:tr>
      <w:tr w14:paraId="0F9703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CC3AFB7">
            <w:pPr>
              <w:spacing w:after="0" w:line="240" w:lineRule="auto"/>
              <w:jc w:val="center"/>
            </w:pPr>
            <w:r>
              <w:t>确认环节</w:t>
            </w:r>
          </w:p>
        </w:tc>
        <w:tc>
          <w:tcPr>
            <w:tcW w:w="6236" w:type="dxa"/>
          </w:tcPr>
          <w:p w14:paraId="1B265C53">
            <w:pPr>
              <w:spacing w:after="0" w:line="240" w:lineRule="auto"/>
              <w:jc w:val="center"/>
            </w:pPr>
            <w:r>
              <w:t>弹窗展示解析结果，教师可通过自然语言补充或修改，确认后进入融合</w:t>
            </w:r>
          </w:p>
        </w:tc>
      </w:tr>
      <w:tr w14:paraId="349CA2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77A6A0A">
            <w:pPr>
              <w:spacing w:after="0" w:line="240" w:lineRule="auto"/>
              <w:jc w:val="center"/>
            </w:pPr>
            <w:r>
              <w:t>多模态融合</w:t>
            </w:r>
          </w:p>
        </w:tc>
        <w:tc>
          <w:tcPr>
            <w:tcW w:w="6236" w:type="dxa"/>
          </w:tcPr>
          <w:p w14:paraId="60174EA8">
            <w:pPr>
              <w:spacing w:after="0" w:line="240" w:lineRule="auto"/>
              <w:jc w:val="center"/>
            </w:pPr>
            <w:r>
              <w:t>参考资料解析结合RAG知识库检索，形成标准化课件指令</w:t>
            </w:r>
          </w:p>
        </w:tc>
      </w:tr>
      <w:tr w14:paraId="1735BF99">
        <w:tblPrEx>
          <w:tblCellMar>
            <w:top w:w="0" w:type="dxa"/>
            <w:left w:w="108" w:type="dxa"/>
            <w:bottom w:w="0" w:type="dxa"/>
            <w:right w:w="108" w:type="dxa"/>
          </w:tblCellMar>
        </w:tblPrEx>
        <w:trPr>
          <w:jc w:val="center"/>
        </w:trPr>
        <w:tc>
          <w:tcPr>
            <w:tcW w:w="1701" w:type="dxa"/>
          </w:tcPr>
          <w:p w14:paraId="0464685A">
            <w:pPr>
              <w:spacing w:after="0" w:line="240" w:lineRule="auto"/>
              <w:jc w:val="center"/>
            </w:pPr>
            <w:r>
              <w:t>课件生成</w:t>
            </w:r>
          </w:p>
        </w:tc>
        <w:tc>
          <w:tcPr>
            <w:tcW w:w="6236" w:type="dxa"/>
          </w:tcPr>
          <w:p w14:paraId="4679D43C">
            <w:pPr>
              <w:spacing w:after="0" w:line="240" w:lineRule="auto"/>
              <w:jc w:val="center"/>
            </w:pPr>
            <w:r>
              <w:t>并行产出PPTX、DOCX与HTML5三类产物</w:t>
            </w:r>
          </w:p>
        </w:tc>
      </w:tr>
      <w:tr w14:paraId="54B077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F94E9D0">
            <w:pPr>
              <w:spacing w:after="0" w:line="240" w:lineRule="auto"/>
              <w:jc w:val="center"/>
            </w:pPr>
            <w:r>
              <w:t>预览迭代</w:t>
            </w:r>
          </w:p>
        </w:tc>
        <w:tc>
          <w:tcPr>
            <w:tcW w:w="6236" w:type="dxa"/>
          </w:tcPr>
          <w:p w14:paraId="37411720">
            <w:pPr>
              <w:spacing w:after="0" w:line="240" w:lineRule="auto"/>
              <w:jc w:val="center"/>
            </w:pPr>
            <w:r>
              <w:t>教师通过自然语言提出修改指令，系统批量迭代更新</w:t>
            </w:r>
          </w:p>
        </w:tc>
      </w:tr>
      <w:tr w14:paraId="4F9266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CFEC2C5">
            <w:pPr>
              <w:spacing w:after="0" w:line="240" w:lineRule="auto"/>
              <w:jc w:val="center"/>
            </w:pPr>
            <w:r>
              <w:t>一键导出</w:t>
            </w:r>
          </w:p>
        </w:tc>
        <w:tc>
          <w:tcPr>
            <w:tcW w:w="6236" w:type="dxa"/>
          </w:tcPr>
          <w:p w14:paraId="3871EA26">
            <w:pPr>
              <w:spacing w:after="0" w:line="240" w:lineRule="auto"/>
              <w:jc w:val="center"/>
            </w:pPr>
            <w:r>
              <w:t>教师确认满意后一键导出全部产物</w:t>
            </w:r>
          </w:p>
        </w:tc>
      </w:tr>
    </w:tbl>
    <w:p w14:paraId="6B37BC50">
      <w:pPr>
        <w:jc w:val="both"/>
      </w:pPr>
      <w:r>
        <w:drawing>
          <wp:anchor distT="0" distB="0" distL="114300" distR="114300" simplePos="0" relativeHeight="251659264" behindDoc="0" locked="0" layoutInCell="1" allowOverlap="1">
            <wp:simplePos x="0" y="0"/>
            <wp:positionH relativeFrom="column">
              <wp:posOffset>1760220</wp:posOffset>
            </wp:positionH>
            <wp:positionV relativeFrom="paragraph">
              <wp:posOffset>90170</wp:posOffset>
            </wp:positionV>
            <wp:extent cx="2363470" cy="3760470"/>
            <wp:effectExtent l="0" t="0" r="8255" b="190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2363470" cy="3760470"/>
                    </a:xfrm>
                    <a:prstGeom prst="rect">
                      <a:avLst/>
                    </a:prstGeom>
                    <a:noFill/>
                    <a:ln>
                      <a:noFill/>
                    </a:ln>
                  </pic:spPr>
                </pic:pic>
              </a:graphicData>
            </a:graphic>
          </wp:anchor>
        </w:drawing>
      </w:r>
    </w:p>
    <w:p w14:paraId="17B1FB3D">
      <w:pPr>
        <w:jc w:val="center"/>
      </w:pPr>
      <w:r>
        <w:rPr>
          <w:i/>
          <w:color w:val="64748B"/>
          <w:sz w:val="18"/>
        </w:rPr>
        <w:t>图3-5  系统业务流程图（含决策分支）</w:t>
      </w:r>
    </w:p>
    <w:p w14:paraId="3CE5EB6D">
      <w:pPr>
        <w:pStyle w:val="5"/>
      </w:pPr>
      <w:bookmarkStart w:id="22" w:name="_LarkToc00022"/>
      <w:r>
        <w:rPr>
          <w:rFonts w:ascii="黑体" w:hAnsi="黑体" w:eastAsia="黑体"/>
        </w:rPr>
        <w:t>3.2.5  需求优先级与实施排期</w:t>
      </w:r>
      <w:bookmarkEnd w:id="22"/>
    </w:p>
    <w:p w14:paraId="3C7EF41B">
      <w:r>
        <w:t>基于业务价值与实现依赖两个维度，对各项需求进行优先级分级，并结合里程碑安排给出建议排期：</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2268"/>
        <w:gridCol w:w="2551"/>
        <w:gridCol w:w="2268"/>
      </w:tblGrid>
      <w:tr w14:paraId="259EB8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269C25A">
            <w:pPr>
              <w:spacing w:after="0" w:line="240" w:lineRule="auto"/>
              <w:jc w:val="center"/>
            </w:pPr>
            <w:r>
              <w:t>优先级</w:t>
            </w:r>
          </w:p>
        </w:tc>
        <w:tc>
          <w:tcPr>
            <w:tcW w:w="2268" w:type="dxa"/>
          </w:tcPr>
          <w:p w14:paraId="45892D05">
            <w:pPr>
              <w:spacing w:after="0" w:line="240" w:lineRule="auto"/>
              <w:jc w:val="center"/>
            </w:pPr>
            <w:r>
              <w:t>需求项</w:t>
            </w:r>
          </w:p>
        </w:tc>
        <w:tc>
          <w:tcPr>
            <w:tcW w:w="2551" w:type="dxa"/>
          </w:tcPr>
          <w:p w14:paraId="579DF5F5">
            <w:pPr>
              <w:spacing w:after="0" w:line="240" w:lineRule="auto"/>
              <w:jc w:val="center"/>
            </w:pPr>
            <w:r>
              <w:t>说明</w:t>
            </w:r>
          </w:p>
        </w:tc>
        <w:tc>
          <w:tcPr>
            <w:tcW w:w="2268" w:type="dxa"/>
          </w:tcPr>
          <w:p w14:paraId="13FF1C87">
            <w:pPr>
              <w:spacing w:after="0" w:line="240" w:lineRule="auto"/>
              <w:jc w:val="center"/>
            </w:pPr>
            <w:r>
              <w:t>排期建议</w:t>
            </w:r>
          </w:p>
        </w:tc>
      </w:tr>
      <w:tr w14:paraId="323303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AD1073C">
            <w:pPr>
              <w:spacing w:after="0" w:line="240" w:lineRule="auto"/>
              <w:jc w:val="center"/>
            </w:pPr>
            <w:r>
              <w:t>P0</w:t>
            </w:r>
          </w:p>
        </w:tc>
        <w:tc>
          <w:tcPr>
            <w:tcW w:w="2268" w:type="dxa"/>
          </w:tcPr>
          <w:p w14:paraId="28AA2A40">
            <w:pPr>
              <w:spacing w:after="0" w:line="240" w:lineRule="auto"/>
              <w:jc w:val="center"/>
            </w:pPr>
            <w:r>
              <w:t>课件生成（PPT加Word加游戏）</w:t>
            </w:r>
          </w:p>
        </w:tc>
        <w:tc>
          <w:tcPr>
            <w:tcW w:w="2551" w:type="dxa"/>
          </w:tcPr>
          <w:p w14:paraId="1894BA6C">
            <w:pPr>
              <w:spacing w:after="0" w:line="240" w:lineRule="auto"/>
              <w:jc w:val="center"/>
            </w:pPr>
            <w:r>
              <w:t>核心交付物，必须实现</w:t>
            </w:r>
          </w:p>
        </w:tc>
        <w:tc>
          <w:tcPr>
            <w:tcW w:w="2268" w:type="dxa"/>
          </w:tcPr>
          <w:p w14:paraId="35135D26">
            <w:pPr>
              <w:spacing w:after="0" w:line="240" w:lineRule="auto"/>
              <w:jc w:val="center"/>
            </w:pPr>
            <w:r>
              <w:t>第1至3周（随M1至M3落地）</w:t>
            </w:r>
          </w:p>
        </w:tc>
      </w:tr>
      <w:tr w14:paraId="74AEBF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F7894E7">
            <w:pPr>
              <w:spacing w:after="0" w:line="240" w:lineRule="auto"/>
              <w:jc w:val="center"/>
            </w:pPr>
            <w:r>
              <w:t>P0</w:t>
            </w:r>
          </w:p>
        </w:tc>
        <w:tc>
          <w:tcPr>
            <w:tcW w:w="2268" w:type="dxa"/>
          </w:tcPr>
          <w:p w14:paraId="178001BC">
            <w:pPr>
              <w:spacing w:after="0" w:line="240" w:lineRule="auto"/>
              <w:jc w:val="center"/>
            </w:pPr>
            <w:r>
              <w:t>RAG知识库</w:t>
            </w:r>
          </w:p>
        </w:tc>
        <w:tc>
          <w:tcPr>
            <w:tcW w:w="2551" w:type="dxa"/>
          </w:tcPr>
          <w:p w14:paraId="5077462D">
            <w:pPr>
              <w:spacing w:after="0" w:line="240" w:lineRule="auto"/>
              <w:jc w:val="center"/>
            </w:pPr>
            <w:r>
              <w:t>内容专业性保障，必须实现</w:t>
            </w:r>
          </w:p>
        </w:tc>
        <w:tc>
          <w:tcPr>
            <w:tcW w:w="2268" w:type="dxa"/>
          </w:tcPr>
          <w:p w14:paraId="57078E2D">
            <w:pPr>
              <w:spacing w:after="0" w:line="240" w:lineRule="auto"/>
              <w:jc w:val="center"/>
            </w:pPr>
            <w:r>
              <w:t>第2周（M2）</w:t>
            </w:r>
          </w:p>
        </w:tc>
      </w:tr>
      <w:tr w14:paraId="178385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BF63257">
            <w:pPr>
              <w:spacing w:after="0" w:line="240" w:lineRule="auto"/>
              <w:jc w:val="center"/>
            </w:pPr>
            <w:r>
              <w:t>P0</w:t>
            </w:r>
          </w:p>
        </w:tc>
        <w:tc>
          <w:tcPr>
            <w:tcW w:w="2268" w:type="dxa"/>
          </w:tcPr>
          <w:p w14:paraId="218D920C">
            <w:pPr>
              <w:spacing w:after="0" w:line="240" w:lineRule="auto"/>
              <w:jc w:val="center"/>
            </w:pPr>
            <w:r>
              <w:t>意图结构化解析</w:t>
            </w:r>
          </w:p>
        </w:tc>
        <w:tc>
          <w:tcPr>
            <w:tcW w:w="2551" w:type="dxa"/>
          </w:tcPr>
          <w:p w14:paraId="12D7CE6D">
            <w:pPr>
              <w:spacing w:after="0" w:line="240" w:lineRule="auto"/>
              <w:jc w:val="center"/>
            </w:pPr>
            <w:r>
              <w:t>理解深度的关键，必须实现</w:t>
            </w:r>
          </w:p>
        </w:tc>
        <w:tc>
          <w:tcPr>
            <w:tcW w:w="2268" w:type="dxa"/>
          </w:tcPr>
          <w:p w14:paraId="49EAF6AA">
            <w:pPr>
              <w:spacing w:after="0" w:line="240" w:lineRule="auto"/>
              <w:jc w:val="center"/>
            </w:pPr>
            <w:r>
              <w:t>第2周（M2）</w:t>
            </w:r>
          </w:p>
        </w:tc>
      </w:tr>
      <w:tr w14:paraId="122C2D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221C68C">
            <w:pPr>
              <w:spacing w:after="0" w:line="240" w:lineRule="auto"/>
              <w:jc w:val="center"/>
            </w:pPr>
            <w:r>
              <w:t>P1</w:t>
            </w:r>
          </w:p>
        </w:tc>
        <w:tc>
          <w:tcPr>
            <w:tcW w:w="2268" w:type="dxa"/>
          </w:tcPr>
          <w:p w14:paraId="44E5306B">
            <w:pPr>
              <w:spacing w:after="0" w:line="240" w:lineRule="auto"/>
              <w:jc w:val="center"/>
            </w:pPr>
            <w:r>
              <w:t>多模态文件解析</w:t>
            </w:r>
          </w:p>
        </w:tc>
        <w:tc>
          <w:tcPr>
            <w:tcW w:w="2551" w:type="dxa"/>
          </w:tcPr>
          <w:p w14:paraId="2DD7894A">
            <w:pPr>
              <w:spacing w:after="0" w:line="240" w:lineRule="auto"/>
              <w:jc w:val="center"/>
            </w:pPr>
            <w:r>
              <w:t>支持PDF/Word/PPT与图片</w:t>
            </w:r>
          </w:p>
        </w:tc>
        <w:tc>
          <w:tcPr>
            <w:tcW w:w="2268" w:type="dxa"/>
          </w:tcPr>
          <w:p w14:paraId="225B4F07">
            <w:pPr>
              <w:spacing w:after="0" w:line="240" w:lineRule="auto"/>
              <w:jc w:val="center"/>
            </w:pPr>
            <w:r>
              <w:t>第2至3周（M2至M3）</w:t>
            </w:r>
          </w:p>
        </w:tc>
      </w:tr>
      <w:tr w14:paraId="7DFAFB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91004C4">
            <w:pPr>
              <w:spacing w:after="0" w:line="240" w:lineRule="auto"/>
              <w:jc w:val="center"/>
            </w:pPr>
            <w:r>
              <w:t>P1</w:t>
            </w:r>
          </w:p>
        </w:tc>
        <w:tc>
          <w:tcPr>
            <w:tcW w:w="2268" w:type="dxa"/>
          </w:tcPr>
          <w:p w14:paraId="5DF768AE">
            <w:pPr>
              <w:spacing w:after="0" w:line="240" w:lineRule="auto"/>
              <w:jc w:val="center"/>
            </w:pPr>
            <w:r>
              <w:t>自然语言迭代优化</w:t>
            </w:r>
          </w:p>
        </w:tc>
        <w:tc>
          <w:tcPr>
            <w:tcW w:w="2551" w:type="dxa"/>
          </w:tcPr>
          <w:p w14:paraId="7F60601E">
            <w:pPr>
              <w:spacing w:after="0" w:line="240" w:lineRule="auto"/>
              <w:jc w:val="center"/>
            </w:pPr>
            <w:r>
              <w:t>提升用户体验</w:t>
            </w:r>
          </w:p>
        </w:tc>
        <w:tc>
          <w:tcPr>
            <w:tcW w:w="2268" w:type="dxa"/>
          </w:tcPr>
          <w:p w14:paraId="5699F134">
            <w:pPr>
              <w:spacing w:after="0" w:line="240" w:lineRule="auto"/>
              <w:jc w:val="center"/>
            </w:pPr>
            <w:r>
              <w:t>第3至4周（M3至M4）</w:t>
            </w:r>
          </w:p>
        </w:tc>
      </w:tr>
      <w:tr w14:paraId="43F79E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5A6FEA0">
            <w:pPr>
              <w:spacing w:after="0" w:line="240" w:lineRule="auto"/>
              <w:jc w:val="center"/>
            </w:pPr>
            <w:r>
              <w:t>P2</w:t>
            </w:r>
          </w:p>
        </w:tc>
        <w:tc>
          <w:tcPr>
            <w:tcW w:w="2268" w:type="dxa"/>
          </w:tcPr>
          <w:p w14:paraId="72A628F8">
            <w:pPr>
              <w:spacing w:after="0" w:line="240" w:lineRule="auto"/>
              <w:jc w:val="center"/>
            </w:pPr>
            <w:r>
              <w:t>语音输入</w:t>
            </w:r>
          </w:p>
        </w:tc>
        <w:tc>
          <w:tcPr>
            <w:tcW w:w="2551" w:type="dxa"/>
          </w:tcPr>
          <w:p w14:paraId="3FB65D0B">
            <w:pPr>
              <w:spacing w:after="0" w:line="240" w:lineRule="auto"/>
              <w:jc w:val="center"/>
            </w:pPr>
            <w:r>
              <w:t>便捷性增强</w:t>
            </w:r>
          </w:p>
        </w:tc>
        <w:tc>
          <w:tcPr>
            <w:tcW w:w="2268" w:type="dxa"/>
          </w:tcPr>
          <w:p w14:paraId="640B4149">
            <w:pPr>
              <w:spacing w:after="0" w:line="240" w:lineRule="auto"/>
              <w:jc w:val="center"/>
            </w:pPr>
            <w:r>
              <w:t>核心闭环稳定后迭代</w:t>
            </w:r>
          </w:p>
        </w:tc>
      </w:tr>
      <w:tr w14:paraId="46D477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1F13892">
            <w:pPr>
              <w:spacing w:after="0" w:line="240" w:lineRule="auto"/>
              <w:jc w:val="center"/>
            </w:pPr>
            <w:r>
              <w:t>P2</w:t>
            </w:r>
          </w:p>
        </w:tc>
        <w:tc>
          <w:tcPr>
            <w:tcW w:w="2268" w:type="dxa"/>
          </w:tcPr>
          <w:p w14:paraId="4655F249">
            <w:pPr>
              <w:spacing w:after="0" w:line="240" w:lineRule="auto"/>
              <w:jc w:val="center"/>
            </w:pPr>
            <w:r>
              <w:t>视频摘要</w:t>
            </w:r>
          </w:p>
        </w:tc>
        <w:tc>
          <w:tcPr>
            <w:tcW w:w="2551" w:type="dxa"/>
          </w:tcPr>
          <w:p w14:paraId="68463A76">
            <w:pPr>
              <w:spacing w:after="0" w:line="240" w:lineRule="auto"/>
              <w:jc w:val="center"/>
            </w:pPr>
            <w:r>
              <w:t>拓展多模态能力</w:t>
            </w:r>
          </w:p>
        </w:tc>
        <w:tc>
          <w:tcPr>
            <w:tcW w:w="2268" w:type="dxa"/>
          </w:tcPr>
          <w:p w14:paraId="5B63384B">
            <w:pPr>
              <w:spacing w:after="0" w:line="240" w:lineRule="auto"/>
              <w:jc w:val="center"/>
            </w:pPr>
            <w:r>
              <w:t>核心闭环稳定后迭代</w:t>
            </w:r>
          </w:p>
        </w:tc>
      </w:tr>
    </w:tbl>
    <w:p w14:paraId="64EDA77B">
      <w:pPr>
        <w:jc w:val="center"/>
      </w:pPr>
      <w:r>
        <w:drawing>
          <wp:inline distT="0" distB="0" distL="114300" distR="114300">
            <wp:extent cx="5029200" cy="39357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029200" cy="3935896"/>
                    </a:xfrm>
                    <a:prstGeom prst="rect">
                      <a:avLst/>
                    </a:prstGeom>
                  </pic:spPr>
                </pic:pic>
              </a:graphicData>
            </a:graphic>
          </wp:inline>
        </w:drawing>
      </w:r>
    </w:p>
    <w:p w14:paraId="0FD991CA">
      <w:pPr>
        <w:jc w:val="center"/>
      </w:pPr>
      <w:r>
        <w:rPr>
          <w:i/>
          <w:color w:val="64748B"/>
          <w:sz w:val="18"/>
        </w:rPr>
        <w:t>图3-6  需求优先级矩阵图</w:t>
      </w:r>
    </w:p>
    <w:p w14:paraId="41D8113B">
      <w:pPr>
        <w:pStyle w:val="5"/>
      </w:pPr>
      <w:bookmarkStart w:id="23" w:name="_LarkToc00023"/>
      <w:r>
        <w:rPr>
          <w:rFonts w:ascii="黑体" w:hAnsi="黑体" w:eastAsia="黑体"/>
        </w:rPr>
        <w:t>3.2.6  社会、法律、文化影响分析</w:t>
      </w:r>
      <w:bookmarkEnd w:id="23"/>
    </w:p>
    <w:p w14:paraId="6C9AF72E">
      <w:r>
        <w:t>本方案在教育信息化场景下的推广涉及社会、法律与文化三个层面的影响，具体分析如下表所示：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969"/>
        <w:gridCol w:w="3402"/>
      </w:tblGrid>
      <w:tr w14:paraId="5B7D01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B79C7C2">
            <w:pPr>
              <w:spacing w:after="0" w:line="240" w:lineRule="auto"/>
              <w:jc w:val="center"/>
            </w:pPr>
            <w:r>
              <w:t>影响维度</w:t>
            </w:r>
          </w:p>
        </w:tc>
        <w:tc>
          <w:tcPr>
            <w:tcW w:w="3969" w:type="dxa"/>
          </w:tcPr>
          <w:p w14:paraId="5744DF22">
            <w:pPr>
              <w:spacing w:after="0" w:line="240" w:lineRule="auto"/>
              <w:jc w:val="center"/>
            </w:pPr>
            <w:r>
              <w:t>具体分析</w:t>
            </w:r>
          </w:p>
        </w:tc>
        <w:tc>
          <w:tcPr>
            <w:tcW w:w="3402" w:type="dxa"/>
          </w:tcPr>
          <w:p w14:paraId="49F8F2D9">
            <w:pPr>
              <w:spacing w:after="0" w:line="240" w:lineRule="auto"/>
              <w:jc w:val="center"/>
            </w:pPr>
            <w:r>
              <w:t>应对措施</w:t>
            </w:r>
          </w:p>
        </w:tc>
      </w:tr>
      <w:tr w14:paraId="0DE832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0C00F52">
            <w:pPr>
              <w:spacing w:after="0" w:line="240" w:lineRule="auto"/>
              <w:jc w:val="center"/>
            </w:pPr>
            <w:r>
              <w:t>社会影响</w:t>
            </w:r>
          </w:p>
        </w:tc>
        <w:tc>
          <w:tcPr>
            <w:tcW w:w="3969" w:type="dxa"/>
          </w:tcPr>
          <w:p w14:paraId="1B3D54ED">
            <w:pPr>
              <w:spacing w:after="0" w:line="240" w:lineRule="auto"/>
              <w:jc w:val="center"/>
            </w:pPr>
            <w:r>
              <w:t>促进教育公平：低成本工具使欠发达地区学校也可使用；推动教师角色从事务型制作向教学设计型创新转变；标准化课件生成保障教学质量底线</w:t>
            </w:r>
          </w:p>
        </w:tc>
        <w:tc>
          <w:tcPr>
            <w:tcW w:w="3402" w:type="dxa"/>
          </w:tcPr>
          <w:p w14:paraId="3FE52832">
            <w:pPr>
              <w:spacing w:after="0" w:line="240" w:lineRule="auto"/>
              <w:jc w:val="center"/>
            </w:pPr>
            <w:r>
              <w:t>试点阶段面向不同层次院校验证普适性；收集教师反馈持续优化</w:t>
            </w:r>
          </w:p>
        </w:tc>
      </w:tr>
      <w:tr w14:paraId="287EE3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1695D35">
            <w:pPr>
              <w:spacing w:after="0" w:line="240" w:lineRule="auto"/>
              <w:jc w:val="center"/>
            </w:pPr>
            <w:r>
              <w:t>法律影响</w:t>
            </w:r>
          </w:p>
        </w:tc>
        <w:tc>
          <w:tcPr>
            <w:tcW w:w="3969" w:type="dxa"/>
          </w:tcPr>
          <w:p w14:paraId="73D01FDA">
            <w:pPr>
              <w:spacing w:after="0" w:line="240" w:lineRule="auto"/>
              <w:jc w:val="center"/>
            </w:pPr>
            <w:r>
              <w:t>数据合规：知识库与文件本地存储，数据不出校，符合《个人信息保护法》与教育数据安全要求；知识版权：生成的课件版权归教师所有；AI伦理：遵循教育部《教师生成式人工智能应用指引（第一版）》</w:t>
            </w:r>
          </w:p>
        </w:tc>
        <w:tc>
          <w:tcPr>
            <w:tcW w:w="3402" w:type="dxa"/>
          </w:tcPr>
          <w:p w14:paraId="74B2657F">
            <w:pPr>
              <w:spacing w:after="0" w:line="240" w:lineRule="auto"/>
              <w:jc w:val="center"/>
            </w:pPr>
            <w:r>
              <w:t>本地化部署保障数据安全；明确课件版权归属；产品中标注AI辅助生成标识</w:t>
            </w:r>
          </w:p>
        </w:tc>
      </w:tr>
      <w:tr w14:paraId="34EF52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2A33C44">
            <w:pPr>
              <w:spacing w:after="0" w:line="240" w:lineRule="auto"/>
              <w:jc w:val="center"/>
            </w:pPr>
            <w:r>
              <w:t>文化影响</w:t>
            </w:r>
          </w:p>
        </w:tc>
        <w:tc>
          <w:tcPr>
            <w:tcW w:w="3969" w:type="dxa"/>
          </w:tcPr>
          <w:p w14:paraId="7227C805">
            <w:pPr>
              <w:spacing w:after="0" w:line="240" w:lineRule="auto"/>
              <w:jc w:val="center"/>
            </w:pPr>
            <w:r>
              <w:t>中文教学场景适配：面向中国高校与职教计算机网络课程；推动教学文化从灌输式向互动式转变；将学校积累的纸质与电子资料结构化沉淀为数字资产</w:t>
            </w:r>
          </w:p>
        </w:tc>
        <w:tc>
          <w:tcPr>
            <w:tcW w:w="3402" w:type="dxa"/>
          </w:tcPr>
          <w:p w14:paraId="7BDAEFCC">
            <w:pPr>
              <w:spacing w:after="0" w:line="240" w:lineRule="auto"/>
              <w:jc w:val="center"/>
            </w:pPr>
            <w:r>
              <w:t>内置中文教学模板与专业课模板；提供互动游戏生成功能；支持历史教案入库复用</w:t>
            </w:r>
          </w:p>
        </w:tc>
      </w:tr>
    </w:tbl>
    <w:p w14:paraId="3A257B56">
      <w:pPr>
        <w:jc w:val="center"/>
      </w:pPr>
      <w:r>
        <w:drawing>
          <wp:inline distT="0" distB="0" distL="114300" distR="114300">
            <wp:extent cx="5562600" cy="3505200"/>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6"/>
                    <a:stretch>
                      <a:fillRect/>
                    </a:stretch>
                  </pic:blipFill>
                  <pic:spPr>
                    <a:xfrm>
                      <a:off x="0" y="0"/>
                      <a:ext cx="5562600" cy="3505200"/>
                    </a:xfrm>
                    <a:prstGeom prst="rect">
                      <a:avLst/>
                    </a:prstGeom>
                    <a:noFill/>
                    <a:ln>
                      <a:noFill/>
                    </a:ln>
                  </pic:spPr>
                </pic:pic>
              </a:graphicData>
            </a:graphic>
          </wp:inline>
        </w:drawing>
      </w:r>
    </w:p>
    <w:p w14:paraId="26D11C7C">
      <w:pPr>
        <w:jc w:val="center"/>
      </w:pPr>
      <w:r>
        <w:rPr>
          <w:i/>
          <w:color w:val="64748B"/>
          <w:sz w:val="18"/>
        </w:rPr>
        <w:t>图3-7  社会、法律、文化影响分析图</w:t>
      </w:r>
    </w:p>
    <w:p w14:paraId="4E46C02A">
      <w:r>
        <w:br w:type="page"/>
      </w:r>
    </w:p>
    <w:p w14:paraId="07074B41">
      <w:pPr>
        <w:pStyle w:val="3"/>
      </w:pPr>
      <w:bookmarkStart w:id="24" w:name="_LarkToc00024"/>
      <w:r>
        <w:rPr>
          <w:rFonts w:ascii="黑体" w:hAnsi="黑体" w:eastAsia="黑体"/>
        </w:rPr>
        <w:t>S2D  成本模型及可行性分析</w:t>
      </w:r>
      <w:bookmarkEnd w:id="24"/>
    </w:p>
    <w:p w14:paraId="1219E707">
      <w:r>
        <w:t>本模块由客户关系经理</w:t>
      </w:r>
      <w:r>
        <w:rPr>
          <w:rFonts w:hint="eastAsia"/>
          <w:lang w:val="en-US" w:eastAsia="zh-CN"/>
        </w:rPr>
        <w:t>吴韵谦</w:t>
      </w:r>
      <w:r>
        <w:t>主笔，围绕成本测算、可行性论证与推广路径展开分析，为方案的商业化落地提供量化依据。</w:t>
      </w:r>
    </w:p>
    <w:p w14:paraId="39F9AF23">
      <w:pPr>
        <w:pStyle w:val="4"/>
      </w:pPr>
      <w:bookmarkStart w:id="25" w:name="_LarkToc00025"/>
      <w:r>
        <w:rPr>
          <w:rFonts w:ascii="黑体" w:hAnsi="黑体" w:eastAsia="黑体"/>
        </w:rPr>
        <w:t>5.1  成本模型</w:t>
      </w:r>
      <w:bookmarkEnd w:id="25"/>
    </w:p>
    <w:p w14:paraId="0FE0A59A">
      <w:pPr>
        <w:pStyle w:val="5"/>
      </w:pPr>
      <w:bookmarkStart w:id="26" w:name="_LarkToc00026"/>
      <w:r>
        <w:rPr>
          <w:rFonts w:ascii="黑体" w:hAnsi="黑体" w:eastAsia="黑体"/>
        </w:rPr>
        <w:t>5.1.1  一次性投入成本</w:t>
      </w:r>
      <w:bookmarkEnd w:id="26"/>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2835"/>
        <w:gridCol w:w="1701"/>
        <w:gridCol w:w="2835"/>
      </w:tblGrid>
      <w:tr w14:paraId="380C97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8849E7C">
            <w:pPr>
              <w:spacing w:after="0" w:line="240" w:lineRule="auto"/>
              <w:jc w:val="center"/>
            </w:pPr>
            <w:r>
              <w:t>成本项</w:t>
            </w:r>
          </w:p>
        </w:tc>
        <w:tc>
          <w:tcPr>
            <w:tcW w:w="2835" w:type="dxa"/>
          </w:tcPr>
          <w:p w14:paraId="38CF40B5">
            <w:pPr>
              <w:spacing w:after="0" w:line="240" w:lineRule="auto"/>
              <w:jc w:val="center"/>
            </w:pPr>
            <w:r>
              <w:t>明细</w:t>
            </w:r>
          </w:p>
        </w:tc>
        <w:tc>
          <w:tcPr>
            <w:tcW w:w="1701" w:type="dxa"/>
          </w:tcPr>
          <w:p w14:paraId="5584BA2A">
            <w:pPr>
              <w:spacing w:after="0" w:line="240" w:lineRule="auto"/>
              <w:jc w:val="center"/>
            </w:pPr>
            <w:r>
              <w:t>金额估算（元）</w:t>
            </w:r>
          </w:p>
        </w:tc>
        <w:tc>
          <w:tcPr>
            <w:tcW w:w="2835" w:type="dxa"/>
          </w:tcPr>
          <w:p w14:paraId="20B225BD">
            <w:pPr>
              <w:spacing w:after="0" w:line="240" w:lineRule="auto"/>
              <w:jc w:val="center"/>
            </w:pPr>
            <w:r>
              <w:t>说明</w:t>
            </w:r>
          </w:p>
        </w:tc>
      </w:tr>
      <w:tr w14:paraId="2387D5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EA72940">
            <w:pPr>
              <w:spacing w:after="0" w:line="240" w:lineRule="auto"/>
              <w:jc w:val="center"/>
            </w:pPr>
            <w:r>
              <w:t>开发人力</w:t>
            </w:r>
          </w:p>
        </w:tc>
        <w:tc>
          <w:tcPr>
            <w:tcW w:w="2835" w:type="dxa"/>
          </w:tcPr>
          <w:p w14:paraId="153CA953">
            <w:pPr>
              <w:spacing w:after="0" w:line="240" w:lineRule="auto"/>
              <w:jc w:val="center"/>
            </w:pPr>
            <w:r>
              <w:t>4人乘4周乘人均成本</w:t>
            </w:r>
          </w:p>
        </w:tc>
        <w:tc>
          <w:tcPr>
            <w:tcW w:w="1701" w:type="dxa"/>
          </w:tcPr>
          <w:p w14:paraId="337993BE">
            <w:pPr>
              <w:spacing w:after="0" w:line="240" w:lineRule="auto"/>
              <w:jc w:val="center"/>
            </w:pPr>
            <w:r>
              <w:t>32,000</w:t>
            </w:r>
          </w:p>
        </w:tc>
        <w:tc>
          <w:tcPr>
            <w:tcW w:w="2835" w:type="dxa"/>
          </w:tcPr>
          <w:p w14:paraId="1A954855">
            <w:pPr>
              <w:spacing w:after="0" w:line="240" w:lineRule="auto"/>
              <w:jc w:val="center"/>
            </w:pPr>
            <w:r>
              <w:t>学生科创竞赛不计人力成本，此处为商业化估算</w:t>
            </w:r>
          </w:p>
        </w:tc>
      </w:tr>
      <w:tr w14:paraId="75795D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B979B40">
            <w:pPr>
              <w:spacing w:after="0" w:line="240" w:lineRule="auto"/>
              <w:jc w:val="center"/>
            </w:pPr>
            <w:r>
              <w:t>开发环境</w:t>
            </w:r>
          </w:p>
        </w:tc>
        <w:tc>
          <w:tcPr>
            <w:tcW w:w="2835" w:type="dxa"/>
          </w:tcPr>
          <w:p w14:paraId="46128CB5">
            <w:pPr>
              <w:spacing w:after="0" w:line="240" w:lineRule="auto"/>
              <w:jc w:val="center"/>
            </w:pPr>
            <w:r>
              <w:t>Python开发工具、测试设备</w:t>
            </w:r>
          </w:p>
        </w:tc>
        <w:tc>
          <w:tcPr>
            <w:tcW w:w="1701" w:type="dxa"/>
          </w:tcPr>
          <w:p w14:paraId="0A8F8A9B">
            <w:pPr>
              <w:spacing w:after="0" w:line="240" w:lineRule="auto"/>
              <w:jc w:val="center"/>
            </w:pPr>
            <w:r>
              <w:t>0</w:t>
            </w:r>
          </w:p>
        </w:tc>
        <w:tc>
          <w:tcPr>
            <w:tcW w:w="2835" w:type="dxa"/>
          </w:tcPr>
          <w:p w14:paraId="2251A446">
            <w:pPr>
              <w:spacing w:after="0" w:line="240" w:lineRule="auto"/>
              <w:jc w:val="center"/>
            </w:pPr>
            <w:r>
              <w:t>使用开源工具与现有设备</w:t>
            </w:r>
          </w:p>
        </w:tc>
      </w:tr>
      <w:tr w14:paraId="6A2A77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B9263AE">
            <w:pPr>
              <w:spacing w:after="0" w:line="240" w:lineRule="auto"/>
              <w:jc w:val="center"/>
            </w:pPr>
            <w:r>
              <w:t>服务器（开发期）</w:t>
            </w:r>
          </w:p>
        </w:tc>
        <w:tc>
          <w:tcPr>
            <w:tcW w:w="2835" w:type="dxa"/>
          </w:tcPr>
          <w:p w14:paraId="2B84ECBC">
            <w:pPr>
              <w:spacing w:after="0" w:line="240" w:lineRule="auto"/>
              <w:jc w:val="center"/>
            </w:pPr>
            <w:r>
              <w:t>云服务器2核4G乘1月</w:t>
            </w:r>
          </w:p>
        </w:tc>
        <w:tc>
          <w:tcPr>
            <w:tcW w:w="1701" w:type="dxa"/>
          </w:tcPr>
          <w:p w14:paraId="0A67E128">
            <w:pPr>
              <w:spacing w:after="0" w:line="240" w:lineRule="auto"/>
              <w:jc w:val="center"/>
            </w:pPr>
            <w:r>
              <w:t>200</w:t>
            </w:r>
          </w:p>
        </w:tc>
        <w:tc>
          <w:tcPr>
            <w:tcW w:w="2835" w:type="dxa"/>
          </w:tcPr>
          <w:p w14:paraId="6C4B5BDB">
            <w:pPr>
              <w:spacing w:after="0" w:line="240" w:lineRule="auto"/>
              <w:jc w:val="center"/>
            </w:pPr>
            <w:r>
              <w:t>开发联调使用</w:t>
            </w:r>
          </w:p>
        </w:tc>
      </w:tr>
      <w:tr w14:paraId="5633BD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B53EF47">
            <w:pPr>
              <w:spacing w:after="0" w:line="240" w:lineRule="auto"/>
              <w:jc w:val="center"/>
            </w:pPr>
            <w:r>
              <w:t>合计</w:t>
            </w:r>
          </w:p>
        </w:tc>
        <w:tc>
          <w:tcPr>
            <w:tcW w:w="2835" w:type="dxa"/>
          </w:tcPr>
          <w:p w14:paraId="606A9B82">
            <w:pPr>
              <w:spacing w:after="0" w:line="240" w:lineRule="auto"/>
              <w:jc w:val="center"/>
            </w:pPr>
          </w:p>
        </w:tc>
        <w:tc>
          <w:tcPr>
            <w:tcW w:w="1701" w:type="dxa"/>
          </w:tcPr>
          <w:p w14:paraId="65046DFB">
            <w:pPr>
              <w:spacing w:after="0" w:line="240" w:lineRule="auto"/>
              <w:jc w:val="center"/>
            </w:pPr>
            <w:r>
              <w:t>32,200</w:t>
            </w:r>
          </w:p>
        </w:tc>
        <w:tc>
          <w:tcPr>
            <w:tcW w:w="2835" w:type="dxa"/>
          </w:tcPr>
          <w:p w14:paraId="4D3FEAEF">
            <w:pPr>
              <w:spacing w:after="0" w:line="240" w:lineRule="auto"/>
              <w:jc w:val="center"/>
            </w:pPr>
          </w:p>
        </w:tc>
      </w:tr>
    </w:tbl>
    <w:p w14:paraId="6B2FF72B">
      <w:pPr>
        <w:pStyle w:val="5"/>
      </w:pPr>
      <w:bookmarkStart w:id="27" w:name="_LarkToc00027"/>
      <w:r>
        <w:rPr>
          <w:rFonts w:ascii="黑体" w:hAnsi="黑体" w:eastAsia="黑体"/>
        </w:rPr>
        <w:t>5.1.2  运营期成本</w:t>
      </w:r>
      <w:bookmarkEnd w:id="27"/>
    </w:p>
    <w:p w14:paraId="39C4EC38">
      <w:r>
        <w:t>成本估算以单校独立部署为口径，按照日均50次课件生成、日均10次图片解析的典型使用强度进行测算：</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1417"/>
        <w:gridCol w:w="1701"/>
        <w:gridCol w:w="3685"/>
      </w:tblGrid>
      <w:tr w14:paraId="6F36D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2381135">
            <w:pPr>
              <w:spacing w:after="0" w:line="240" w:lineRule="auto"/>
              <w:jc w:val="center"/>
            </w:pPr>
            <w:r>
              <w:t>成本项</w:t>
            </w:r>
          </w:p>
        </w:tc>
        <w:tc>
          <w:tcPr>
            <w:tcW w:w="1417" w:type="dxa"/>
          </w:tcPr>
          <w:p w14:paraId="51E6F364">
            <w:pPr>
              <w:spacing w:after="0" w:line="240" w:lineRule="auto"/>
              <w:jc w:val="center"/>
            </w:pPr>
            <w:r>
              <w:t>计费方式</w:t>
            </w:r>
          </w:p>
        </w:tc>
        <w:tc>
          <w:tcPr>
            <w:tcW w:w="1701" w:type="dxa"/>
          </w:tcPr>
          <w:p w14:paraId="0D75A1BB">
            <w:pPr>
              <w:spacing w:after="0" w:line="240" w:lineRule="auto"/>
              <w:jc w:val="center"/>
            </w:pPr>
            <w:r>
              <w:t>年成本估算（元）</w:t>
            </w:r>
          </w:p>
        </w:tc>
        <w:tc>
          <w:tcPr>
            <w:tcW w:w="3685" w:type="dxa"/>
          </w:tcPr>
          <w:p w14:paraId="6A917833">
            <w:pPr>
              <w:spacing w:after="0" w:line="240" w:lineRule="auto"/>
              <w:jc w:val="center"/>
            </w:pPr>
            <w:r>
              <w:t>说明</w:t>
            </w:r>
          </w:p>
        </w:tc>
      </w:tr>
      <w:tr w14:paraId="13E422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F5C9E10">
            <w:pPr>
              <w:spacing w:after="0" w:line="240" w:lineRule="auto"/>
              <w:jc w:val="center"/>
            </w:pPr>
            <w:r>
              <w:t>大模型API调用</w:t>
            </w:r>
          </w:p>
        </w:tc>
        <w:tc>
          <w:tcPr>
            <w:tcW w:w="1417" w:type="dxa"/>
          </w:tcPr>
          <w:p w14:paraId="683ECB44">
            <w:pPr>
              <w:spacing w:after="0" w:line="240" w:lineRule="auto"/>
              <w:jc w:val="center"/>
            </w:pPr>
            <w:r>
              <w:t>按Token计费</w:t>
            </w:r>
          </w:p>
        </w:tc>
        <w:tc>
          <w:tcPr>
            <w:tcW w:w="1701" w:type="dxa"/>
          </w:tcPr>
          <w:p w14:paraId="006F691E">
            <w:pPr>
              <w:spacing w:after="0" w:line="240" w:lineRule="auto"/>
              <w:jc w:val="center"/>
            </w:pPr>
            <w:r>
              <w:t>3,000至8,000</w:t>
            </w:r>
          </w:p>
        </w:tc>
        <w:tc>
          <w:tcPr>
            <w:tcW w:w="3685" w:type="dxa"/>
          </w:tcPr>
          <w:p w14:paraId="475AB3DD">
            <w:pPr>
              <w:spacing w:after="0" w:line="240" w:lineRule="auto"/>
              <w:jc w:val="center"/>
            </w:pPr>
            <w:r>
              <w:t>日均50次课件生成，单次约5K tokens；qwen3.7-plus输入0.008元每千tokens、输出0.02元每千tokens</w:t>
            </w:r>
          </w:p>
        </w:tc>
      </w:tr>
      <w:tr w14:paraId="08A8BB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579D71C">
            <w:pPr>
              <w:spacing w:after="0" w:line="240" w:lineRule="auto"/>
              <w:jc w:val="center"/>
            </w:pPr>
            <w:r>
              <w:t>向量化API</w:t>
            </w:r>
          </w:p>
        </w:tc>
        <w:tc>
          <w:tcPr>
            <w:tcW w:w="1417" w:type="dxa"/>
          </w:tcPr>
          <w:p w14:paraId="53DC4C5E">
            <w:pPr>
              <w:spacing w:after="0" w:line="240" w:lineRule="auto"/>
              <w:jc w:val="center"/>
            </w:pPr>
            <w:r>
              <w:t>按tokens计费</w:t>
            </w:r>
          </w:p>
        </w:tc>
        <w:tc>
          <w:tcPr>
            <w:tcW w:w="1701" w:type="dxa"/>
          </w:tcPr>
          <w:p w14:paraId="44A2543C">
            <w:pPr>
              <w:spacing w:after="0" w:line="240" w:lineRule="auto"/>
              <w:jc w:val="center"/>
            </w:pPr>
            <w:r>
              <w:t>200至500</w:t>
            </w:r>
          </w:p>
        </w:tc>
        <w:tc>
          <w:tcPr>
            <w:tcW w:w="3685" w:type="dxa"/>
          </w:tcPr>
          <w:p w14:paraId="001C6E5F">
            <w:pPr>
              <w:spacing w:after="0" w:line="240" w:lineRule="auto"/>
              <w:jc w:val="center"/>
            </w:pPr>
            <w:r>
              <w:t>DashScope text-embedding-v2，知识库增量入库使用</w:t>
            </w:r>
          </w:p>
        </w:tc>
      </w:tr>
      <w:tr w14:paraId="395C79A2">
        <w:tblPrEx>
          <w:tblCellMar>
            <w:top w:w="0" w:type="dxa"/>
            <w:left w:w="108" w:type="dxa"/>
            <w:bottom w:w="0" w:type="dxa"/>
            <w:right w:w="108" w:type="dxa"/>
          </w:tblCellMar>
        </w:tblPrEx>
        <w:trPr>
          <w:jc w:val="center"/>
        </w:trPr>
        <w:tc>
          <w:tcPr>
            <w:tcW w:w="1701" w:type="dxa"/>
          </w:tcPr>
          <w:p w14:paraId="5CC93CF4">
            <w:pPr>
              <w:spacing w:after="0" w:line="240" w:lineRule="auto"/>
              <w:jc w:val="center"/>
            </w:pPr>
            <w:r>
              <w:t>多模态图片识别</w:t>
            </w:r>
          </w:p>
        </w:tc>
        <w:tc>
          <w:tcPr>
            <w:tcW w:w="1417" w:type="dxa"/>
          </w:tcPr>
          <w:p w14:paraId="4D52053C">
            <w:pPr>
              <w:spacing w:after="0" w:line="240" w:lineRule="auto"/>
              <w:jc w:val="center"/>
            </w:pPr>
            <w:r>
              <w:t>按次计费</w:t>
            </w:r>
          </w:p>
        </w:tc>
        <w:tc>
          <w:tcPr>
            <w:tcW w:w="1701" w:type="dxa"/>
          </w:tcPr>
          <w:p w14:paraId="0ED9CD2A">
            <w:pPr>
              <w:spacing w:after="0" w:line="240" w:lineRule="auto"/>
              <w:jc w:val="center"/>
            </w:pPr>
            <w:r>
              <w:t>300至800</w:t>
            </w:r>
          </w:p>
        </w:tc>
        <w:tc>
          <w:tcPr>
            <w:tcW w:w="3685" w:type="dxa"/>
          </w:tcPr>
          <w:p w14:paraId="0590E95C">
            <w:pPr>
              <w:spacing w:after="0" w:line="240" w:lineRule="auto"/>
              <w:jc w:val="center"/>
            </w:pPr>
            <w:r>
              <w:t>qwen3.7-plus多模态，日均10次图片解析</w:t>
            </w:r>
          </w:p>
        </w:tc>
      </w:tr>
      <w:tr w14:paraId="5B0EC3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C92C44E">
            <w:pPr>
              <w:spacing w:after="0" w:line="240" w:lineRule="auto"/>
              <w:jc w:val="center"/>
            </w:pPr>
            <w:r>
              <w:t>服务器部署</w:t>
            </w:r>
          </w:p>
        </w:tc>
        <w:tc>
          <w:tcPr>
            <w:tcW w:w="1417" w:type="dxa"/>
          </w:tcPr>
          <w:p w14:paraId="61447FFE">
            <w:pPr>
              <w:spacing w:after="0" w:line="240" w:lineRule="auto"/>
              <w:jc w:val="center"/>
            </w:pPr>
            <w:r>
              <w:t>本地化部署</w:t>
            </w:r>
          </w:p>
        </w:tc>
        <w:tc>
          <w:tcPr>
            <w:tcW w:w="1701" w:type="dxa"/>
          </w:tcPr>
          <w:p w14:paraId="570E1BB3">
            <w:pPr>
              <w:spacing w:after="0" w:line="240" w:lineRule="auto"/>
              <w:jc w:val="center"/>
            </w:pPr>
            <w:r>
              <w:t>0至3,000</w:t>
            </w:r>
          </w:p>
        </w:tc>
        <w:tc>
          <w:tcPr>
            <w:tcW w:w="3685" w:type="dxa"/>
          </w:tcPr>
          <w:p w14:paraId="2C8C8D24">
            <w:pPr>
              <w:spacing w:after="0" w:line="240" w:lineRule="auto"/>
              <w:jc w:val="center"/>
            </w:pPr>
            <w:r>
              <w:t>可部署于学校现有服务器（锐捷云课堂节点），无需额外采购；租用云服务器约3,000元/年</w:t>
            </w:r>
          </w:p>
        </w:tc>
      </w:tr>
      <w:tr w14:paraId="5B5A6E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7BFD668">
            <w:pPr>
              <w:spacing w:after="0" w:line="240" w:lineRule="auto"/>
              <w:jc w:val="center"/>
            </w:pPr>
            <w:r>
              <w:t>存储</w:t>
            </w:r>
          </w:p>
        </w:tc>
        <w:tc>
          <w:tcPr>
            <w:tcW w:w="1417" w:type="dxa"/>
          </w:tcPr>
          <w:p w14:paraId="4149F0F4">
            <w:pPr>
              <w:spacing w:after="0" w:line="240" w:lineRule="auto"/>
              <w:jc w:val="center"/>
            </w:pPr>
            <w:r>
              <w:t>本地存储</w:t>
            </w:r>
          </w:p>
        </w:tc>
        <w:tc>
          <w:tcPr>
            <w:tcW w:w="1701" w:type="dxa"/>
          </w:tcPr>
          <w:p w14:paraId="533DB44C">
            <w:pPr>
              <w:spacing w:after="0" w:line="240" w:lineRule="auto"/>
              <w:jc w:val="center"/>
            </w:pPr>
            <w:r>
              <w:t>0</w:t>
            </w:r>
          </w:p>
        </w:tc>
        <w:tc>
          <w:tcPr>
            <w:tcW w:w="3685" w:type="dxa"/>
          </w:tcPr>
          <w:p w14:paraId="2C154C9F">
            <w:pPr>
              <w:spacing w:after="0" w:line="240" w:lineRule="auto"/>
              <w:jc w:val="center"/>
            </w:pPr>
            <w:r>
              <w:t>ChromaDB本地持久化加文件本地存储，利用学校现有存储</w:t>
            </w:r>
          </w:p>
        </w:tc>
      </w:tr>
      <w:tr w14:paraId="634AE5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E30FE89">
            <w:pPr>
              <w:spacing w:after="0" w:line="240" w:lineRule="auto"/>
              <w:jc w:val="center"/>
            </w:pPr>
            <w:r>
              <w:t>维护人力</w:t>
            </w:r>
          </w:p>
        </w:tc>
        <w:tc>
          <w:tcPr>
            <w:tcW w:w="1417" w:type="dxa"/>
          </w:tcPr>
          <w:p w14:paraId="61126932">
            <w:pPr>
              <w:spacing w:after="0" w:line="240" w:lineRule="auto"/>
              <w:jc w:val="center"/>
            </w:pPr>
            <w:r>
              <w:t>兼职运维</w:t>
            </w:r>
          </w:p>
        </w:tc>
        <w:tc>
          <w:tcPr>
            <w:tcW w:w="1701" w:type="dxa"/>
          </w:tcPr>
          <w:p w14:paraId="3C149B78">
            <w:pPr>
              <w:spacing w:after="0" w:line="240" w:lineRule="auto"/>
              <w:jc w:val="center"/>
            </w:pPr>
            <w:r>
              <w:t>5,000</w:t>
            </w:r>
          </w:p>
        </w:tc>
        <w:tc>
          <w:tcPr>
            <w:tcW w:w="3685" w:type="dxa"/>
          </w:tcPr>
          <w:p w14:paraId="6E1B050C">
            <w:pPr>
              <w:spacing w:after="0" w:line="240" w:lineRule="auto"/>
              <w:jc w:val="center"/>
            </w:pPr>
            <w:r>
              <w:t>学期初集中培训加日常答疑</w:t>
            </w:r>
          </w:p>
        </w:tc>
      </w:tr>
      <w:tr w14:paraId="41554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B2BEFE5">
            <w:pPr>
              <w:spacing w:after="0" w:line="240" w:lineRule="auto"/>
              <w:jc w:val="center"/>
            </w:pPr>
            <w:r>
              <w:t>合计</w:t>
            </w:r>
          </w:p>
        </w:tc>
        <w:tc>
          <w:tcPr>
            <w:tcW w:w="1417" w:type="dxa"/>
          </w:tcPr>
          <w:p w14:paraId="3E042416">
            <w:pPr>
              <w:spacing w:after="0" w:line="240" w:lineRule="auto"/>
              <w:jc w:val="center"/>
            </w:pPr>
          </w:p>
        </w:tc>
        <w:tc>
          <w:tcPr>
            <w:tcW w:w="1701" w:type="dxa"/>
          </w:tcPr>
          <w:p w14:paraId="77A30FA5">
            <w:pPr>
              <w:spacing w:after="0" w:line="240" w:lineRule="auto"/>
              <w:jc w:val="center"/>
            </w:pPr>
            <w:r>
              <w:t>8,500至20,300</w:t>
            </w:r>
          </w:p>
        </w:tc>
        <w:tc>
          <w:tcPr>
            <w:tcW w:w="3685" w:type="dxa"/>
          </w:tcPr>
          <w:p w14:paraId="5CA35C91">
            <w:pPr>
              <w:spacing w:after="0" w:line="240" w:lineRule="auto"/>
              <w:jc w:val="center"/>
            </w:pPr>
          </w:p>
        </w:tc>
      </w:tr>
    </w:tbl>
    <w:p w14:paraId="67EFBE79">
      <w:pPr>
        <w:jc w:val="center"/>
      </w:pPr>
    </w:p>
    <w:p w14:paraId="4670CB66">
      <w:pPr>
        <w:pStyle w:val="5"/>
      </w:pPr>
      <w:bookmarkStart w:id="28" w:name="_LarkToc00028"/>
      <w:r>
        <w:rPr>
          <w:rFonts w:ascii="黑体" w:hAnsi="黑体" w:eastAsia="黑体"/>
        </w:rPr>
        <w:t>5.1.3  成本控制策略</w:t>
      </w:r>
      <w:bookmarkEnd w:id="28"/>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969"/>
        <w:gridCol w:w="2835"/>
      </w:tblGrid>
      <w:tr w14:paraId="06DA99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C14D920">
            <w:pPr>
              <w:spacing w:after="0" w:line="240" w:lineRule="auto"/>
              <w:jc w:val="center"/>
            </w:pPr>
            <w:r>
              <w:t>策略</w:t>
            </w:r>
          </w:p>
        </w:tc>
        <w:tc>
          <w:tcPr>
            <w:tcW w:w="3969" w:type="dxa"/>
          </w:tcPr>
          <w:p w14:paraId="26A8CCCF">
            <w:pPr>
              <w:spacing w:after="0" w:line="240" w:lineRule="auto"/>
              <w:jc w:val="center"/>
            </w:pPr>
            <w:r>
              <w:t>具体做法</w:t>
            </w:r>
          </w:p>
        </w:tc>
        <w:tc>
          <w:tcPr>
            <w:tcW w:w="2835" w:type="dxa"/>
          </w:tcPr>
          <w:p w14:paraId="7855D05D">
            <w:pPr>
              <w:spacing w:after="0" w:line="240" w:lineRule="auto"/>
              <w:jc w:val="center"/>
            </w:pPr>
            <w:r>
              <w:t>降本效果</w:t>
            </w:r>
          </w:p>
        </w:tc>
      </w:tr>
      <w:tr w14:paraId="5CAE64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9F7BED7">
            <w:pPr>
              <w:spacing w:after="0" w:line="240" w:lineRule="auto"/>
              <w:jc w:val="center"/>
            </w:pPr>
            <w:r>
              <w:t>模型选型降本</w:t>
            </w:r>
          </w:p>
        </w:tc>
        <w:tc>
          <w:tcPr>
            <w:tcW w:w="3969" w:type="dxa"/>
          </w:tcPr>
          <w:p w14:paraId="4A71009A">
            <w:pPr>
              <w:spacing w:after="0" w:line="240" w:lineRule="auto"/>
              <w:jc w:val="center"/>
            </w:pPr>
            <w:r>
              <w:t>结构化生成使用qwen3.7-plus（性价比高），普通对话使用DeepSeek-flash（成本更低）</w:t>
            </w:r>
          </w:p>
        </w:tc>
        <w:tc>
          <w:tcPr>
            <w:tcW w:w="2835" w:type="dxa"/>
          </w:tcPr>
          <w:p w14:paraId="54559CD0">
            <w:pPr>
              <w:spacing w:after="0" w:line="240" w:lineRule="auto"/>
              <w:jc w:val="center"/>
            </w:pPr>
            <w:r>
              <w:t>避免全部使用高价模型</w:t>
            </w:r>
          </w:p>
        </w:tc>
      </w:tr>
      <w:tr w14:paraId="2C7D4F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44E9BAA">
            <w:pPr>
              <w:spacing w:after="0" w:line="240" w:lineRule="auto"/>
              <w:jc w:val="center"/>
            </w:pPr>
            <w:r>
              <w:t>RAG本地化</w:t>
            </w:r>
          </w:p>
        </w:tc>
        <w:tc>
          <w:tcPr>
            <w:tcW w:w="3969" w:type="dxa"/>
          </w:tcPr>
          <w:p w14:paraId="46D4DAFD">
            <w:pPr>
              <w:spacing w:after="0" w:line="240" w:lineRule="auto"/>
              <w:jc w:val="center"/>
            </w:pPr>
            <w:r>
              <w:t>知识库向量化与检索在本地ChromaDB完成</w:t>
            </w:r>
          </w:p>
        </w:tc>
        <w:tc>
          <w:tcPr>
            <w:tcW w:w="2835" w:type="dxa"/>
          </w:tcPr>
          <w:p w14:paraId="17CAF6E2">
            <w:pPr>
              <w:spacing w:after="0" w:line="240" w:lineRule="auto"/>
              <w:jc w:val="center"/>
            </w:pPr>
            <w:r>
              <w:t>仅生成环节调用大模型API，大幅减少Token消耗</w:t>
            </w:r>
          </w:p>
        </w:tc>
      </w:tr>
      <w:tr w14:paraId="3FFD0D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4746C39">
            <w:pPr>
              <w:spacing w:after="0" w:line="240" w:lineRule="auto"/>
              <w:jc w:val="center"/>
            </w:pPr>
            <w:r>
              <w:t>批量向量化</w:t>
            </w:r>
          </w:p>
        </w:tc>
        <w:tc>
          <w:tcPr>
            <w:tcW w:w="3969" w:type="dxa"/>
          </w:tcPr>
          <w:p w14:paraId="4F3437F7">
            <w:pPr>
              <w:spacing w:after="0" w:line="240" w:lineRule="auto"/>
              <w:jc w:val="center"/>
            </w:pPr>
            <w:r>
              <w:t>DashScope embedding按25条/批处理</w:t>
            </w:r>
          </w:p>
        </w:tc>
        <w:tc>
          <w:tcPr>
            <w:tcW w:w="2835" w:type="dxa"/>
          </w:tcPr>
          <w:p w14:paraId="4A706D08">
            <w:pPr>
              <w:spacing w:after="0" w:line="240" w:lineRule="auto"/>
              <w:jc w:val="center"/>
            </w:pPr>
            <w:r>
              <w:t>降低调用次数</w:t>
            </w:r>
          </w:p>
        </w:tc>
      </w:tr>
      <w:tr w14:paraId="567CD0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7E0CB91">
            <w:pPr>
              <w:spacing w:after="0" w:line="240" w:lineRule="auto"/>
              <w:jc w:val="center"/>
            </w:pPr>
            <w:r>
              <w:t>降级保障</w:t>
            </w:r>
          </w:p>
        </w:tc>
        <w:tc>
          <w:tcPr>
            <w:tcW w:w="3969" w:type="dxa"/>
          </w:tcPr>
          <w:p w14:paraId="5AEB62B0">
            <w:pPr>
              <w:spacing w:after="0" w:line="240" w:lineRule="auto"/>
              <w:jc w:val="center"/>
            </w:pPr>
            <w:r>
              <w:t>OCR未安装或API额度不足时进行优雅降级</w:t>
            </w:r>
          </w:p>
        </w:tc>
        <w:tc>
          <w:tcPr>
            <w:tcW w:w="2835" w:type="dxa"/>
          </w:tcPr>
          <w:p w14:paraId="0A6689C3">
            <w:pPr>
              <w:spacing w:after="0" w:line="240" w:lineRule="auto"/>
              <w:jc w:val="center"/>
            </w:pPr>
            <w:r>
              <w:t>不阻塞核心流程</w:t>
            </w:r>
          </w:p>
        </w:tc>
      </w:tr>
    </w:tbl>
    <w:p w14:paraId="6665B715">
      <w:pPr>
        <w:jc w:val="center"/>
      </w:pPr>
      <w:r>
        <w:drawing>
          <wp:inline distT="0" distB="0" distL="114300" distR="114300">
            <wp:extent cx="5029200" cy="27920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029200" cy="2792585"/>
                    </a:xfrm>
                    <a:prstGeom prst="rect">
                      <a:avLst/>
                    </a:prstGeom>
                  </pic:spPr>
                </pic:pic>
              </a:graphicData>
            </a:graphic>
          </wp:inline>
        </w:drawing>
      </w:r>
    </w:p>
    <w:p w14:paraId="750A758E">
      <w:pPr>
        <w:jc w:val="center"/>
      </w:pPr>
      <w:r>
        <w:rPr>
          <w:i/>
          <w:color w:val="64748B"/>
          <w:sz w:val="18"/>
        </w:rPr>
        <w:t>图5-</w:t>
      </w:r>
      <w:r>
        <w:rPr>
          <w:rFonts w:hint="eastAsia"/>
          <w:i/>
          <w:color w:val="64748B"/>
          <w:sz w:val="18"/>
          <w:lang w:val="en-US" w:eastAsia="zh-CN"/>
        </w:rPr>
        <w:t>1</w:t>
      </w:r>
      <w:r>
        <w:rPr>
          <w:i/>
          <w:color w:val="64748B"/>
          <w:sz w:val="18"/>
        </w:rPr>
        <w:t xml:space="preserve">  成本与效率对比（本方案 vs 商业平台 vs 通用AI）</w:t>
      </w:r>
    </w:p>
    <w:p w14:paraId="7AA25593">
      <w:pPr>
        <w:pStyle w:val="4"/>
      </w:pPr>
      <w:bookmarkStart w:id="29" w:name="_LarkToc00029"/>
      <w:r>
        <w:rPr>
          <w:rFonts w:ascii="黑体" w:hAnsi="黑体" w:eastAsia="黑体"/>
        </w:rPr>
        <w:t>5.2  可行性分析</w:t>
      </w:r>
      <w:bookmarkEnd w:id="29"/>
    </w:p>
    <w:p w14:paraId="1FF10E70">
      <w:pPr>
        <w:pStyle w:val="5"/>
      </w:pPr>
      <w:bookmarkStart w:id="30" w:name="_LarkToc00030"/>
      <w:r>
        <w:rPr>
          <w:rFonts w:ascii="黑体" w:hAnsi="黑体" w:eastAsia="黑体"/>
        </w:rPr>
        <w:t>5.2.1  技术可行性</w:t>
      </w:r>
      <w:bookmarkEnd w:id="30"/>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5102"/>
        <w:gridCol w:w="1417"/>
      </w:tblGrid>
      <w:tr w14:paraId="763267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EB94BBE">
            <w:pPr>
              <w:spacing w:after="0" w:line="240" w:lineRule="auto"/>
              <w:jc w:val="center"/>
            </w:pPr>
            <w:r>
              <w:t>维度</w:t>
            </w:r>
          </w:p>
        </w:tc>
        <w:tc>
          <w:tcPr>
            <w:tcW w:w="5102" w:type="dxa"/>
          </w:tcPr>
          <w:p w14:paraId="24ADCF2F">
            <w:pPr>
              <w:spacing w:after="0" w:line="240" w:lineRule="auto"/>
              <w:jc w:val="center"/>
            </w:pPr>
            <w:r>
              <w:t>分析</w:t>
            </w:r>
          </w:p>
        </w:tc>
        <w:tc>
          <w:tcPr>
            <w:tcW w:w="1417" w:type="dxa"/>
          </w:tcPr>
          <w:p w14:paraId="6402447E">
            <w:pPr>
              <w:spacing w:after="0" w:line="240" w:lineRule="auto"/>
              <w:jc w:val="center"/>
            </w:pPr>
            <w:r>
              <w:t>结论</w:t>
            </w:r>
          </w:p>
        </w:tc>
      </w:tr>
      <w:tr w14:paraId="4C3DC6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AADE656">
            <w:pPr>
              <w:spacing w:after="0" w:line="240" w:lineRule="auto"/>
              <w:jc w:val="center"/>
            </w:pPr>
            <w:r>
              <w:t>核心算法</w:t>
            </w:r>
          </w:p>
        </w:tc>
        <w:tc>
          <w:tcPr>
            <w:tcW w:w="5102" w:type="dxa"/>
          </w:tcPr>
          <w:p w14:paraId="0E203D14">
            <w:pPr>
              <w:spacing w:after="0" w:line="240" w:lineRule="auto"/>
              <w:jc w:val="center"/>
            </w:pPr>
            <w:r>
              <w:t>RAG检索（ChromaDB加余弦相似度）、LLM结构化生成与多模态解析均为成熟技术</w:t>
            </w:r>
          </w:p>
        </w:tc>
        <w:tc>
          <w:tcPr>
            <w:tcW w:w="1417" w:type="dxa"/>
          </w:tcPr>
          <w:p w14:paraId="12376786">
            <w:pPr>
              <w:spacing w:after="0" w:line="240" w:lineRule="auto"/>
              <w:jc w:val="center"/>
            </w:pPr>
            <w:r>
              <w:t>可行</w:t>
            </w:r>
          </w:p>
        </w:tc>
      </w:tr>
      <w:tr w14:paraId="16ED1D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31C0E46">
            <w:pPr>
              <w:spacing w:after="0" w:line="240" w:lineRule="auto"/>
              <w:jc w:val="center"/>
            </w:pPr>
            <w:r>
              <w:t>技术栈</w:t>
            </w:r>
          </w:p>
        </w:tc>
        <w:tc>
          <w:tcPr>
            <w:tcW w:w="5102" w:type="dxa"/>
          </w:tcPr>
          <w:p w14:paraId="23856175">
            <w:pPr>
              <w:spacing w:after="0" w:line="240" w:lineRule="auto"/>
              <w:jc w:val="center"/>
            </w:pPr>
            <w:r>
              <w:t>Flask、ChromaDB与python-pptx/docx均为稳定开源组件，社区活跃</w:t>
            </w:r>
          </w:p>
        </w:tc>
        <w:tc>
          <w:tcPr>
            <w:tcW w:w="1417" w:type="dxa"/>
          </w:tcPr>
          <w:p w14:paraId="3F1FF8D2">
            <w:pPr>
              <w:spacing w:after="0" w:line="240" w:lineRule="auto"/>
              <w:jc w:val="center"/>
            </w:pPr>
            <w:r>
              <w:t>可行</w:t>
            </w:r>
          </w:p>
        </w:tc>
      </w:tr>
      <w:tr w14:paraId="714261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0A9E032">
            <w:pPr>
              <w:spacing w:after="0" w:line="240" w:lineRule="auto"/>
              <w:jc w:val="center"/>
            </w:pPr>
            <w:r>
              <w:t>模型能力</w:t>
            </w:r>
          </w:p>
        </w:tc>
        <w:tc>
          <w:tcPr>
            <w:tcW w:w="5102" w:type="dxa"/>
          </w:tcPr>
          <w:p w14:paraId="1DA17DB4">
            <w:pPr>
              <w:spacing w:after="0" w:line="240" w:lineRule="auto"/>
              <w:jc w:val="center"/>
            </w:pPr>
            <w:r>
              <w:t>qwen3.7-plus在中文教学场景表现良好，支持结构化JSON输出与多模态图片理解</w:t>
            </w:r>
          </w:p>
        </w:tc>
        <w:tc>
          <w:tcPr>
            <w:tcW w:w="1417" w:type="dxa"/>
          </w:tcPr>
          <w:p w14:paraId="576B5298">
            <w:pPr>
              <w:spacing w:after="0" w:line="240" w:lineRule="auto"/>
              <w:jc w:val="center"/>
            </w:pPr>
            <w:r>
              <w:t>可行</w:t>
            </w:r>
          </w:p>
        </w:tc>
      </w:tr>
      <w:tr w14:paraId="2CCC72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C3693CC">
            <w:pPr>
              <w:spacing w:after="0" w:line="240" w:lineRule="auto"/>
              <w:jc w:val="center"/>
            </w:pPr>
            <w:r>
              <w:t>工程实现</w:t>
            </w:r>
          </w:p>
        </w:tc>
        <w:tc>
          <w:tcPr>
            <w:tcW w:w="5102" w:type="dxa"/>
          </w:tcPr>
          <w:p w14:paraId="2D7E5DD5">
            <w:pPr>
              <w:spacing w:after="0" w:line="240" w:lineRule="auto"/>
              <w:jc w:val="center"/>
            </w:pPr>
            <w:r>
              <w:t>核心模块编码已全部完成并跑通闭环，包含Windows适配与降级策略</w:t>
            </w:r>
          </w:p>
        </w:tc>
        <w:tc>
          <w:tcPr>
            <w:tcW w:w="1417" w:type="dxa"/>
          </w:tcPr>
          <w:p w14:paraId="66480B48">
            <w:pPr>
              <w:spacing w:after="0" w:line="240" w:lineRule="auto"/>
              <w:jc w:val="center"/>
            </w:pPr>
            <w:r>
              <w:t>已验证</w:t>
            </w:r>
          </w:p>
        </w:tc>
      </w:tr>
      <w:tr w14:paraId="420F89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6AB954E">
            <w:pPr>
              <w:spacing w:after="0" w:line="240" w:lineRule="auto"/>
              <w:jc w:val="center"/>
            </w:pPr>
            <w:r>
              <w:t>扩展性</w:t>
            </w:r>
          </w:p>
        </w:tc>
        <w:tc>
          <w:tcPr>
            <w:tcW w:w="5102" w:type="dxa"/>
          </w:tcPr>
          <w:p w14:paraId="118046E2">
            <w:pPr>
              <w:spacing w:after="0" w:line="240" w:lineRule="auto"/>
              <w:jc w:val="center"/>
            </w:pPr>
            <w:r>
              <w:t>模块化设计（单例模式加接口抽象），可插拔替换LLM、向量库与解析器</w:t>
            </w:r>
          </w:p>
        </w:tc>
        <w:tc>
          <w:tcPr>
            <w:tcW w:w="1417" w:type="dxa"/>
          </w:tcPr>
          <w:p w14:paraId="1EF5E262">
            <w:pPr>
              <w:spacing w:after="0" w:line="240" w:lineRule="auto"/>
              <w:jc w:val="center"/>
            </w:pPr>
            <w:r>
              <w:t>可行</w:t>
            </w:r>
          </w:p>
        </w:tc>
      </w:tr>
    </w:tbl>
    <w:p w14:paraId="7819B902">
      <w:pPr>
        <w:pStyle w:val="5"/>
      </w:pPr>
      <w:bookmarkStart w:id="31" w:name="_LarkToc00031"/>
      <w:r>
        <w:rPr>
          <w:rFonts w:ascii="黑体" w:hAnsi="黑体" w:eastAsia="黑体"/>
        </w:rPr>
        <w:t>5.2.2  经济可行性</w:t>
      </w:r>
      <w:bookmarkEnd w:id="31"/>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5102"/>
        <w:gridCol w:w="1417"/>
      </w:tblGrid>
      <w:tr w14:paraId="17D97D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0A75763">
            <w:pPr>
              <w:spacing w:after="0" w:line="240" w:lineRule="auto"/>
              <w:jc w:val="center"/>
            </w:pPr>
            <w:r>
              <w:t>维度</w:t>
            </w:r>
          </w:p>
        </w:tc>
        <w:tc>
          <w:tcPr>
            <w:tcW w:w="5102" w:type="dxa"/>
          </w:tcPr>
          <w:p w14:paraId="65953C9B">
            <w:pPr>
              <w:spacing w:after="0" w:line="240" w:lineRule="auto"/>
              <w:jc w:val="center"/>
            </w:pPr>
            <w:r>
              <w:t>分析</w:t>
            </w:r>
          </w:p>
        </w:tc>
        <w:tc>
          <w:tcPr>
            <w:tcW w:w="1417" w:type="dxa"/>
          </w:tcPr>
          <w:p w14:paraId="30FD1D93">
            <w:pPr>
              <w:spacing w:after="0" w:line="240" w:lineRule="auto"/>
              <w:jc w:val="center"/>
            </w:pPr>
            <w:r>
              <w:t>结论</w:t>
            </w:r>
          </w:p>
        </w:tc>
      </w:tr>
      <w:tr w14:paraId="323299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0FA1975">
            <w:pPr>
              <w:spacing w:after="0" w:line="240" w:lineRule="auto"/>
              <w:jc w:val="center"/>
            </w:pPr>
            <w:r>
              <w:t>投入产出比</w:t>
            </w:r>
          </w:p>
        </w:tc>
        <w:tc>
          <w:tcPr>
            <w:tcW w:w="5102" w:type="dxa"/>
          </w:tcPr>
          <w:p w14:paraId="36B75264">
            <w:pPr>
              <w:spacing w:after="0" w:line="240" w:lineRule="auto"/>
              <w:jc w:val="center"/>
            </w:pPr>
            <w:r>
              <w:t>单校年运营成本约0.85万至2万元，教师备课效率目标提升80%，按50名教师、人均年节省200小时计算，时间价值远超投入</w:t>
            </w:r>
          </w:p>
        </w:tc>
        <w:tc>
          <w:tcPr>
            <w:tcW w:w="1417" w:type="dxa"/>
          </w:tcPr>
          <w:p w14:paraId="4F886DF1">
            <w:pPr>
              <w:spacing w:after="0" w:line="240" w:lineRule="auto"/>
              <w:jc w:val="center"/>
            </w:pPr>
            <w:r>
              <w:t>高ROI</w:t>
            </w:r>
          </w:p>
        </w:tc>
      </w:tr>
      <w:tr w14:paraId="29F1AE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969CA51">
            <w:pPr>
              <w:spacing w:after="0" w:line="240" w:lineRule="auto"/>
              <w:jc w:val="center"/>
            </w:pPr>
            <w:r>
              <w:t>边际成本</w:t>
            </w:r>
          </w:p>
        </w:tc>
        <w:tc>
          <w:tcPr>
            <w:tcW w:w="5102" w:type="dxa"/>
          </w:tcPr>
          <w:p w14:paraId="49ED9A4D">
            <w:pPr>
              <w:spacing w:after="0" w:line="240" w:lineRule="auto"/>
              <w:jc w:val="center"/>
            </w:pPr>
            <w:r>
              <w:t>增加使用教师几乎不增加服务器成本（本地部署），仅API调用线性增长</w:t>
            </w:r>
          </w:p>
        </w:tc>
        <w:tc>
          <w:tcPr>
            <w:tcW w:w="1417" w:type="dxa"/>
          </w:tcPr>
          <w:p w14:paraId="55A60328">
            <w:pPr>
              <w:spacing w:after="0" w:line="240" w:lineRule="auto"/>
              <w:jc w:val="center"/>
            </w:pPr>
            <w:r>
              <w:t>规模效应</w:t>
            </w:r>
          </w:p>
        </w:tc>
      </w:tr>
      <w:tr w14:paraId="4C03B1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E02313C">
            <w:pPr>
              <w:spacing w:after="0" w:line="240" w:lineRule="auto"/>
              <w:jc w:val="center"/>
            </w:pPr>
            <w:r>
              <w:t>替代方案对比</w:t>
            </w:r>
          </w:p>
        </w:tc>
        <w:tc>
          <w:tcPr>
            <w:tcW w:w="5102" w:type="dxa"/>
          </w:tcPr>
          <w:p w14:paraId="70B72F9D">
            <w:pPr>
              <w:spacing w:after="0" w:line="240" w:lineRule="auto"/>
              <w:jc w:val="center"/>
            </w:pPr>
            <w:r>
              <w:t>相比商业课件平台（年服务费5万至20万），本方案成本仅为五分之一至十分之一</w:t>
            </w:r>
          </w:p>
        </w:tc>
        <w:tc>
          <w:tcPr>
            <w:tcW w:w="1417" w:type="dxa"/>
          </w:tcPr>
          <w:p w14:paraId="6171C65F">
            <w:pPr>
              <w:spacing w:after="0" w:line="240" w:lineRule="auto"/>
              <w:jc w:val="center"/>
            </w:pPr>
            <w:r>
              <w:t>成本优势</w:t>
            </w:r>
          </w:p>
        </w:tc>
      </w:tr>
      <w:tr w14:paraId="2B3EF6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7A7320A">
            <w:pPr>
              <w:spacing w:after="0" w:line="240" w:lineRule="auto"/>
              <w:jc w:val="center"/>
            </w:pPr>
            <w:r>
              <w:t>付费意愿</w:t>
            </w:r>
          </w:p>
        </w:tc>
        <w:tc>
          <w:tcPr>
            <w:tcW w:w="5102" w:type="dxa"/>
          </w:tcPr>
          <w:p w14:paraId="009CFD76">
            <w:pPr>
              <w:spacing w:after="0" w:line="240" w:lineRule="auto"/>
              <w:jc w:val="center"/>
            </w:pPr>
            <w:r>
              <w:t>教育信息化预算持续增长，锐捷生态客户已有采购习惯</w:t>
            </w:r>
          </w:p>
        </w:tc>
        <w:tc>
          <w:tcPr>
            <w:tcW w:w="1417" w:type="dxa"/>
          </w:tcPr>
          <w:p w14:paraId="741CA386">
            <w:pPr>
              <w:spacing w:after="0" w:line="240" w:lineRule="auto"/>
              <w:jc w:val="center"/>
            </w:pPr>
            <w:r>
              <w:t>有市场</w:t>
            </w:r>
          </w:p>
        </w:tc>
      </w:tr>
    </w:tbl>
    <w:p w14:paraId="6EDE7EC2">
      <w:pPr>
        <w:pStyle w:val="5"/>
      </w:pPr>
      <w:bookmarkStart w:id="32" w:name="_LarkToc00032"/>
      <w:r>
        <w:rPr>
          <w:rFonts w:ascii="黑体" w:hAnsi="黑体" w:eastAsia="黑体"/>
        </w:rPr>
        <w:t>5.2.3  运营可行性</w:t>
      </w:r>
      <w:bookmarkEnd w:id="32"/>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5102"/>
        <w:gridCol w:w="1417"/>
      </w:tblGrid>
      <w:tr w14:paraId="78CD69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3F5FEB9">
            <w:pPr>
              <w:spacing w:after="0" w:line="240" w:lineRule="auto"/>
              <w:jc w:val="center"/>
            </w:pPr>
            <w:r>
              <w:t>维度</w:t>
            </w:r>
          </w:p>
        </w:tc>
        <w:tc>
          <w:tcPr>
            <w:tcW w:w="5102" w:type="dxa"/>
          </w:tcPr>
          <w:p w14:paraId="6A20C217">
            <w:pPr>
              <w:spacing w:after="0" w:line="240" w:lineRule="auto"/>
              <w:jc w:val="center"/>
            </w:pPr>
            <w:r>
              <w:t>分析</w:t>
            </w:r>
          </w:p>
        </w:tc>
        <w:tc>
          <w:tcPr>
            <w:tcW w:w="1417" w:type="dxa"/>
          </w:tcPr>
          <w:p w14:paraId="55D7DC1B">
            <w:pPr>
              <w:spacing w:after="0" w:line="240" w:lineRule="auto"/>
              <w:jc w:val="center"/>
            </w:pPr>
            <w:r>
              <w:t>结论</w:t>
            </w:r>
          </w:p>
        </w:tc>
      </w:tr>
      <w:tr w14:paraId="6CEC74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A21EC51">
            <w:pPr>
              <w:spacing w:after="0" w:line="240" w:lineRule="auto"/>
              <w:jc w:val="center"/>
            </w:pPr>
            <w:r>
              <w:t>部署难度</w:t>
            </w:r>
          </w:p>
        </w:tc>
        <w:tc>
          <w:tcPr>
            <w:tcW w:w="5102" w:type="dxa"/>
          </w:tcPr>
          <w:p w14:paraId="0538BBED">
            <w:pPr>
              <w:spacing w:after="0" w:line="240" w:lineRule="auto"/>
              <w:jc w:val="center"/>
            </w:pPr>
            <w:r>
              <w:t>单文件python app.py启动，前端浏览器即用，无需复杂运维</w:t>
            </w:r>
          </w:p>
        </w:tc>
        <w:tc>
          <w:tcPr>
            <w:tcW w:w="1417" w:type="dxa"/>
          </w:tcPr>
          <w:p w14:paraId="5A51471D">
            <w:pPr>
              <w:spacing w:after="0" w:line="240" w:lineRule="auto"/>
              <w:jc w:val="center"/>
            </w:pPr>
            <w:r>
              <w:t>易部署</w:t>
            </w:r>
          </w:p>
        </w:tc>
      </w:tr>
      <w:tr w14:paraId="204C6E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8C373BA">
            <w:pPr>
              <w:spacing w:after="0" w:line="240" w:lineRule="auto"/>
              <w:jc w:val="center"/>
            </w:pPr>
            <w:r>
              <w:t>数据安全</w:t>
            </w:r>
          </w:p>
        </w:tc>
        <w:tc>
          <w:tcPr>
            <w:tcW w:w="5102" w:type="dxa"/>
          </w:tcPr>
          <w:p w14:paraId="52088554">
            <w:pPr>
              <w:spacing w:after="0" w:line="240" w:lineRule="auto"/>
              <w:jc w:val="center"/>
            </w:pPr>
            <w:r>
              <w:t>知识库与文件本地存储，不上传云端，符合教育数据安全要求</w:t>
            </w:r>
          </w:p>
        </w:tc>
        <w:tc>
          <w:tcPr>
            <w:tcW w:w="1417" w:type="dxa"/>
          </w:tcPr>
          <w:p w14:paraId="20E07C71">
            <w:pPr>
              <w:spacing w:after="0" w:line="240" w:lineRule="auto"/>
              <w:jc w:val="center"/>
            </w:pPr>
            <w:r>
              <w:t>合规</w:t>
            </w:r>
          </w:p>
        </w:tc>
      </w:tr>
      <w:tr w14:paraId="701547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511928C">
            <w:pPr>
              <w:spacing w:after="0" w:line="240" w:lineRule="auto"/>
              <w:jc w:val="center"/>
            </w:pPr>
            <w:r>
              <w:t>用户门槛</w:t>
            </w:r>
          </w:p>
        </w:tc>
        <w:tc>
          <w:tcPr>
            <w:tcW w:w="5102" w:type="dxa"/>
          </w:tcPr>
          <w:p w14:paraId="415F8B61">
            <w:pPr>
              <w:spacing w:after="0" w:line="240" w:lineRule="auto"/>
              <w:jc w:val="center"/>
            </w:pPr>
            <w:r>
              <w:t>自然语言交互，零学习成本，适配非技术背景教师</w:t>
            </w:r>
          </w:p>
        </w:tc>
        <w:tc>
          <w:tcPr>
            <w:tcW w:w="1417" w:type="dxa"/>
          </w:tcPr>
          <w:p w14:paraId="35BF4FA4">
            <w:pPr>
              <w:spacing w:after="0" w:line="240" w:lineRule="auto"/>
              <w:jc w:val="center"/>
            </w:pPr>
            <w:r>
              <w:t>易用</w:t>
            </w:r>
          </w:p>
        </w:tc>
      </w:tr>
      <w:tr w14:paraId="0D00F3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6494B5C">
            <w:pPr>
              <w:spacing w:after="0" w:line="240" w:lineRule="auto"/>
              <w:jc w:val="center"/>
            </w:pPr>
            <w:r>
              <w:t>锐捷适配</w:t>
            </w:r>
          </w:p>
        </w:tc>
        <w:tc>
          <w:tcPr>
            <w:tcW w:w="5102" w:type="dxa"/>
          </w:tcPr>
          <w:p w14:paraId="0F62CB61">
            <w:pPr>
              <w:spacing w:after="0" w:line="240" w:lineRule="auto"/>
              <w:jc w:val="center"/>
            </w:pPr>
            <w:r>
              <w:t>适配锐捷云课堂文件存储规范与智慧教室多媒体终端</w:t>
            </w:r>
          </w:p>
        </w:tc>
        <w:tc>
          <w:tcPr>
            <w:tcW w:w="1417" w:type="dxa"/>
          </w:tcPr>
          <w:p w14:paraId="26825B6C">
            <w:pPr>
              <w:spacing w:after="0" w:line="240" w:lineRule="auto"/>
              <w:jc w:val="center"/>
            </w:pPr>
            <w:r>
              <w:t>场景契合</w:t>
            </w:r>
          </w:p>
        </w:tc>
      </w:tr>
      <w:tr w14:paraId="5BB706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FBCE52D">
            <w:pPr>
              <w:spacing w:after="0" w:line="240" w:lineRule="auto"/>
              <w:jc w:val="center"/>
            </w:pPr>
            <w:r>
              <w:t>维护成本</w:t>
            </w:r>
          </w:p>
        </w:tc>
        <w:tc>
          <w:tcPr>
            <w:tcW w:w="5102" w:type="dxa"/>
          </w:tcPr>
          <w:p w14:paraId="7F4707D6">
            <w:pPr>
              <w:spacing w:after="0" w:line="240" w:lineRule="auto"/>
              <w:jc w:val="center"/>
            </w:pPr>
            <w:r>
              <w:t>开源组件加本地部署，仅需学期初集中维护</w:t>
            </w:r>
          </w:p>
        </w:tc>
        <w:tc>
          <w:tcPr>
            <w:tcW w:w="1417" w:type="dxa"/>
          </w:tcPr>
          <w:p w14:paraId="1AB76266">
            <w:pPr>
              <w:spacing w:after="0" w:line="240" w:lineRule="auto"/>
              <w:jc w:val="center"/>
            </w:pPr>
            <w:r>
              <w:t>低成本</w:t>
            </w:r>
          </w:p>
        </w:tc>
      </w:tr>
    </w:tbl>
    <w:p w14:paraId="306F86DB">
      <w:pPr>
        <w:jc w:val="center"/>
      </w:pPr>
      <w:r>
        <w:drawing>
          <wp:inline distT="0" distB="0" distL="114300" distR="114300">
            <wp:extent cx="5029200" cy="3110865"/>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029200" cy="3110889"/>
                    </a:xfrm>
                    <a:prstGeom prst="rect">
                      <a:avLst/>
                    </a:prstGeom>
                  </pic:spPr>
                </pic:pic>
              </a:graphicData>
            </a:graphic>
          </wp:inline>
        </w:drawing>
      </w:r>
    </w:p>
    <w:p w14:paraId="72A54FC0">
      <w:pPr>
        <w:jc w:val="center"/>
      </w:pPr>
      <w:r>
        <w:rPr>
          <w:i/>
          <w:color w:val="64748B"/>
          <w:sz w:val="18"/>
        </w:rPr>
        <w:t>图5-</w:t>
      </w:r>
      <w:r>
        <w:rPr>
          <w:rFonts w:hint="eastAsia"/>
          <w:i/>
          <w:color w:val="64748B"/>
          <w:sz w:val="18"/>
          <w:lang w:val="en-US" w:eastAsia="zh-CN"/>
        </w:rPr>
        <w:t>2</w:t>
      </w:r>
      <w:r>
        <w:rPr>
          <w:i/>
          <w:color w:val="64748B"/>
          <w:sz w:val="18"/>
        </w:rPr>
        <w:t xml:space="preserve">  方案可行性综合评估</w:t>
      </w:r>
    </w:p>
    <w:p w14:paraId="1D4D492E">
      <w:pPr>
        <w:pStyle w:val="5"/>
      </w:pPr>
      <w:bookmarkStart w:id="33" w:name="_LarkToc00033"/>
      <w:r>
        <w:rPr>
          <w:rFonts w:ascii="黑体" w:hAnsi="黑体" w:eastAsia="黑体"/>
        </w:rPr>
        <w:t>5.2.4  风险与应对</w:t>
      </w:r>
      <w:bookmarkEnd w:id="33"/>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51"/>
        <w:gridCol w:w="850"/>
        <w:gridCol w:w="5102"/>
      </w:tblGrid>
      <w:tr w14:paraId="73B634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DC28EA8">
            <w:pPr>
              <w:spacing w:after="0" w:line="240" w:lineRule="auto"/>
              <w:jc w:val="center"/>
            </w:pPr>
            <w:r>
              <w:t>风险</w:t>
            </w:r>
          </w:p>
        </w:tc>
        <w:tc>
          <w:tcPr>
            <w:tcW w:w="850" w:type="dxa"/>
          </w:tcPr>
          <w:p w14:paraId="3C3C3A34">
            <w:pPr>
              <w:spacing w:after="0" w:line="240" w:lineRule="auto"/>
              <w:jc w:val="center"/>
            </w:pPr>
            <w:r>
              <w:t>等级</w:t>
            </w:r>
          </w:p>
        </w:tc>
        <w:tc>
          <w:tcPr>
            <w:tcW w:w="5102" w:type="dxa"/>
          </w:tcPr>
          <w:p w14:paraId="5BAE772F">
            <w:pPr>
              <w:spacing w:after="0" w:line="240" w:lineRule="auto"/>
              <w:jc w:val="center"/>
            </w:pPr>
            <w:r>
              <w:t>应对措施</w:t>
            </w:r>
          </w:p>
        </w:tc>
      </w:tr>
      <w:tr w14:paraId="28CB63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69893608">
            <w:pPr>
              <w:spacing w:after="0" w:line="240" w:lineRule="auto"/>
              <w:jc w:val="center"/>
            </w:pPr>
            <w:r>
              <w:t>大模型API额度不足或涨价</w:t>
            </w:r>
          </w:p>
        </w:tc>
        <w:tc>
          <w:tcPr>
            <w:tcW w:w="850" w:type="dxa"/>
          </w:tcPr>
          <w:p w14:paraId="367FA03A">
            <w:pPr>
              <w:spacing w:after="0" w:line="240" w:lineRule="auto"/>
              <w:jc w:val="center"/>
            </w:pPr>
            <w:r>
              <w:t>中</w:t>
            </w:r>
          </w:p>
        </w:tc>
        <w:tc>
          <w:tcPr>
            <w:tcW w:w="5102" w:type="dxa"/>
          </w:tcPr>
          <w:p w14:paraId="57BAB222">
            <w:pPr>
              <w:spacing w:after="0" w:line="240" w:lineRule="auto"/>
              <w:jc w:val="center"/>
            </w:pPr>
            <w:r>
              <w:t>多模型备用（百炼加DeepSeek）；mock降级模式；成本监控告警</w:t>
            </w:r>
          </w:p>
        </w:tc>
      </w:tr>
      <w:tr w14:paraId="7AB0F4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1E0B553F">
            <w:pPr>
              <w:spacing w:after="0" w:line="240" w:lineRule="auto"/>
              <w:jc w:val="center"/>
            </w:pPr>
            <w:r>
              <w:t>OCR引擎首次下载模型较慢</w:t>
            </w:r>
          </w:p>
        </w:tc>
        <w:tc>
          <w:tcPr>
            <w:tcW w:w="850" w:type="dxa"/>
          </w:tcPr>
          <w:p w14:paraId="38FD1E37">
            <w:pPr>
              <w:spacing w:after="0" w:line="240" w:lineRule="auto"/>
              <w:jc w:val="center"/>
            </w:pPr>
            <w:r>
              <w:t>低</w:t>
            </w:r>
          </w:p>
        </w:tc>
        <w:tc>
          <w:tcPr>
            <w:tcW w:w="5102" w:type="dxa"/>
          </w:tcPr>
          <w:p w14:paraId="46EB587F">
            <w:pPr>
              <w:spacing w:after="0" w:line="240" w:lineRule="auto"/>
              <w:jc w:val="center"/>
            </w:pPr>
            <w:r>
              <w:t>懒加载加降级跳过，不阻塞核心文本入库</w:t>
            </w:r>
          </w:p>
        </w:tc>
      </w:tr>
      <w:tr w14:paraId="767330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5B41701">
            <w:pPr>
              <w:spacing w:after="0" w:line="240" w:lineRule="auto"/>
              <w:jc w:val="center"/>
            </w:pPr>
            <w:r>
              <w:t>学校网络无法访问外部API</w:t>
            </w:r>
          </w:p>
        </w:tc>
        <w:tc>
          <w:tcPr>
            <w:tcW w:w="850" w:type="dxa"/>
          </w:tcPr>
          <w:p w14:paraId="0752DCF3">
            <w:pPr>
              <w:spacing w:after="0" w:line="240" w:lineRule="auto"/>
              <w:jc w:val="center"/>
            </w:pPr>
            <w:r>
              <w:t>中</w:t>
            </w:r>
          </w:p>
        </w:tc>
        <w:tc>
          <w:tcPr>
            <w:tcW w:w="5102" w:type="dxa"/>
          </w:tcPr>
          <w:p w14:paraId="58833193">
            <w:pPr>
              <w:spacing w:after="0" w:line="240" w:lineRule="auto"/>
              <w:jc w:val="center"/>
            </w:pPr>
            <w:r>
              <w:t>可对接学校内网部署的私有化大模型；核心RAG检索本地完成不依赖外网</w:t>
            </w:r>
          </w:p>
        </w:tc>
      </w:tr>
      <w:tr w14:paraId="39CFAF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F5BBAB0">
            <w:pPr>
              <w:spacing w:after="0" w:line="240" w:lineRule="auto"/>
              <w:jc w:val="center"/>
            </w:pPr>
            <w:r>
              <w:t>教师使用意愿不足</w:t>
            </w:r>
          </w:p>
        </w:tc>
        <w:tc>
          <w:tcPr>
            <w:tcW w:w="850" w:type="dxa"/>
          </w:tcPr>
          <w:p w14:paraId="1DF5CF7D">
            <w:pPr>
              <w:spacing w:after="0" w:line="240" w:lineRule="auto"/>
              <w:jc w:val="center"/>
            </w:pPr>
            <w:r>
              <w:t>中</w:t>
            </w:r>
          </w:p>
        </w:tc>
        <w:tc>
          <w:tcPr>
            <w:tcW w:w="5102" w:type="dxa"/>
          </w:tcPr>
          <w:p w14:paraId="33627D8C">
            <w:pPr>
              <w:spacing w:after="0" w:line="240" w:lineRule="auto"/>
              <w:jc w:val="center"/>
            </w:pPr>
            <w:r>
              <w:t>提供语音输入、一键生成与自然语言迭代等极简交互；学期初集中培训</w:t>
            </w:r>
          </w:p>
        </w:tc>
      </w:tr>
      <w:tr w14:paraId="37EA6D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D7B3F86">
            <w:pPr>
              <w:spacing w:after="0" w:line="240" w:lineRule="auto"/>
              <w:jc w:val="center"/>
            </w:pPr>
            <w:r>
              <w:t>生成内容质量不稳定</w:t>
            </w:r>
          </w:p>
        </w:tc>
        <w:tc>
          <w:tcPr>
            <w:tcW w:w="850" w:type="dxa"/>
          </w:tcPr>
          <w:p w14:paraId="467FC964">
            <w:pPr>
              <w:spacing w:after="0" w:line="240" w:lineRule="auto"/>
              <w:jc w:val="center"/>
            </w:pPr>
            <w:r>
              <w:t>中</w:t>
            </w:r>
          </w:p>
        </w:tc>
        <w:tc>
          <w:tcPr>
            <w:tcW w:w="5102" w:type="dxa"/>
          </w:tcPr>
          <w:p w14:paraId="57695C6A">
            <w:pPr>
              <w:spacing w:after="0" w:line="240" w:lineRule="auto"/>
              <w:jc w:val="center"/>
            </w:pPr>
            <w:r>
              <w:t>RAG知识库增强加结构化意图约束加教师确认环节，三重保障</w:t>
            </w:r>
          </w:p>
        </w:tc>
      </w:tr>
    </w:tbl>
    <w:p w14:paraId="4A000ADD">
      <w:pPr>
        <w:pStyle w:val="4"/>
      </w:pPr>
      <w:bookmarkStart w:id="34" w:name="_LarkToc00034"/>
      <w:r>
        <w:rPr>
          <w:rFonts w:ascii="黑体" w:hAnsi="黑体" w:eastAsia="黑体"/>
        </w:rPr>
        <w:t>5.3  落地推广路径</w:t>
      </w:r>
      <w:bookmarkEnd w:id="34"/>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984"/>
        <w:gridCol w:w="3402"/>
        <w:gridCol w:w="2268"/>
      </w:tblGrid>
      <w:tr w14:paraId="7AD360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B1AF53A">
            <w:pPr>
              <w:spacing w:after="0" w:line="240" w:lineRule="auto"/>
              <w:jc w:val="center"/>
            </w:pPr>
            <w:r>
              <w:t>阶段</w:t>
            </w:r>
          </w:p>
        </w:tc>
        <w:tc>
          <w:tcPr>
            <w:tcW w:w="1984" w:type="dxa"/>
          </w:tcPr>
          <w:p w14:paraId="406FC954">
            <w:pPr>
              <w:spacing w:after="0" w:line="240" w:lineRule="auto"/>
              <w:jc w:val="center"/>
            </w:pPr>
            <w:r>
              <w:t>核心目标</w:t>
            </w:r>
          </w:p>
        </w:tc>
        <w:tc>
          <w:tcPr>
            <w:tcW w:w="3402" w:type="dxa"/>
          </w:tcPr>
          <w:p w14:paraId="76A74CCF">
            <w:pPr>
              <w:spacing w:after="0" w:line="240" w:lineRule="auto"/>
              <w:jc w:val="center"/>
            </w:pPr>
            <w:r>
              <w:t>关键动作</w:t>
            </w:r>
          </w:p>
        </w:tc>
        <w:tc>
          <w:tcPr>
            <w:tcW w:w="2268" w:type="dxa"/>
          </w:tcPr>
          <w:p w14:paraId="6ACB6B96">
            <w:pPr>
              <w:spacing w:after="0" w:line="240" w:lineRule="auto"/>
              <w:jc w:val="center"/>
            </w:pPr>
            <w:r>
              <w:t>预期成果</w:t>
            </w:r>
          </w:p>
        </w:tc>
      </w:tr>
      <w:tr w14:paraId="20FFB8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39F921A">
            <w:pPr>
              <w:spacing w:after="0" w:line="240" w:lineRule="auto"/>
              <w:jc w:val="center"/>
            </w:pPr>
            <w:r>
              <w:t>试点阶段</w:t>
            </w:r>
          </w:p>
        </w:tc>
        <w:tc>
          <w:tcPr>
            <w:tcW w:w="1984" w:type="dxa"/>
          </w:tcPr>
          <w:p w14:paraId="11BB9766">
            <w:pPr>
              <w:spacing w:after="0" w:line="240" w:lineRule="auto"/>
              <w:jc w:val="center"/>
            </w:pPr>
            <w:r>
              <w:t>验证产品价值与稳定性</w:t>
            </w:r>
          </w:p>
        </w:tc>
        <w:tc>
          <w:tcPr>
            <w:tcW w:w="3402" w:type="dxa"/>
          </w:tcPr>
          <w:p w14:paraId="7AB8CAE8">
            <w:pPr>
              <w:spacing w:after="0" w:line="240" w:lineRule="auto"/>
              <w:jc w:val="center"/>
            </w:pPr>
            <w:r>
              <w:t>选择1至2所锐捷合作院校试点，收集真实教学场景反馈</w:t>
            </w:r>
          </w:p>
        </w:tc>
        <w:tc>
          <w:tcPr>
            <w:tcW w:w="2268" w:type="dxa"/>
          </w:tcPr>
          <w:p w14:paraId="7C850578">
            <w:pPr>
              <w:spacing w:after="0" w:line="240" w:lineRule="auto"/>
              <w:jc w:val="center"/>
            </w:pPr>
            <w:r>
              <w:t>优化提示词与模板，形成可复制的标杆案例</w:t>
            </w:r>
          </w:p>
        </w:tc>
      </w:tr>
      <w:tr w14:paraId="50B215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4B7DDF4">
            <w:pPr>
              <w:spacing w:after="0" w:line="240" w:lineRule="auto"/>
              <w:jc w:val="center"/>
            </w:pPr>
            <w:r>
              <w:t>推广阶段</w:t>
            </w:r>
          </w:p>
        </w:tc>
        <w:tc>
          <w:tcPr>
            <w:tcW w:w="1984" w:type="dxa"/>
          </w:tcPr>
          <w:p w14:paraId="4793539D">
            <w:pPr>
              <w:spacing w:after="0" w:line="240" w:lineRule="auto"/>
              <w:jc w:val="center"/>
            </w:pPr>
            <w:r>
              <w:t>扩大客户覆盖</w:t>
            </w:r>
          </w:p>
        </w:tc>
        <w:tc>
          <w:tcPr>
            <w:tcW w:w="3402" w:type="dxa"/>
          </w:tcPr>
          <w:p w14:paraId="0528AA4B">
            <w:pPr>
              <w:spacing w:after="0" w:line="240" w:lineRule="auto"/>
              <w:jc w:val="center"/>
            </w:pPr>
            <w:r>
              <w:t>依托锐捷教育渠道向云课堂客户推广，提供免费试用加付费增值模式</w:t>
            </w:r>
          </w:p>
        </w:tc>
        <w:tc>
          <w:tcPr>
            <w:tcW w:w="2268" w:type="dxa"/>
          </w:tcPr>
          <w:p w14:paraId="56B666BE">
            <w:pPr>
              <w:spacing w:after="0" w:line="240" w:lineRule="auto"/>
              <w:jc w:val="center"/>
            </w:pPr>
            <w:r>
              <w:t>形成付费转化，建立渠道合作机制</w:t>
            </w:r>
          </w:p>
        </w:tc>
      </w:tr>
      <w:tr w14:paraId="5AF084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6C20009">
            <w:pPr>
              <w:spacing w:after="0" w:line="240" w:lineRule="auto"/>
              <w:jc w:val="center"/>
            </w:pPr>
            <w:r>
              <w:t>生态阶段</w:t>
            </w:r>
          </w:p>
        </w:tc>
        <w:tc>
          <w:tcPr>
            <w:tcW w:w="1984" w:type="dxa"/>
          </w:tcPr>
          <w:p w14:paraId="406E8CD7">
            <w:pPr>
              <w:spacing w:after="0" w:line="240" w:lineRule="auto"/>
              <w:jc w:val="center"/>
            </w:pPr>
            <w:r>
              <w:t>深度融入教学生态</w:t>
            </w:r>
          </w:p>
        </w:tc>
        <w:tc>
          <w:tcPr>
            <w:tcW w:w="3402" w:type="dxa"/>
          </w:tcPr>
          <w:p w14:paraId="46B98FA3">
            <w:pPr>
              <w:spacing w:after="0" w:line="240" w:lineRule="auto"/>
              <w:jc w:val="center"/>
            </w:pPr>
            <w:r>
              <w:t>与锐捷智慧教室深度集成，支持课件一键推送至课堂终端</w:t>
            </w:r>
          </w:p>
        </w:tc>
        <w:tc>
          <w:tcPr>
            <w:tcW w:w="2268" w:type="dxa"/>
          </w:tcPr>
          <w:p w14:paraId="64877089">
            <w:pPr>
              <w:spacing w:after="0" w:line="240" w:lineRule="auto"/>
              <w:jc w:val="center"/>
            </w:pPr>
            <w:r>
              <w:t>构建教学数据闭环，形成长期粘性</w:t>
            </w:r>
          </w:p>
        </w:tc>
      </w:tr>
    </w:tbl>
    <w:p w14:paraId="0F71505D">
      <w:r>
        <w:br w:type="page"/>
      </w:r>
    </w:p>
    <w:p w14:paraId="6297B6B3">
      <w:pPr>
        <w:pStyle w:val="3"/>
      </w:pPr>
      <w:bookmarkStart w:id="35" w:name="_LarkToc00035"/>
      <w:r>
        <w:rPr>
          <w:rFonts w:ascii="黑体" w:hAnsi="黑体" w:eastAsia="黑体"/>
        </w:rPr>
        <w:t>方案整体竞争力总结</w:t>
      </w:r>
      <w:bookmarkEnd w:id="35"/>
    </w:p>
    <w:p w14:paraId="115C09DA">
      <w:r>
        <w:t>本方案围绕多模态AI互动式教学智能体，构建了从需求输入到产物导出的完整闭环。方案的整体竞争力可归纳为以下五个方面：</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6803"/>
      </w:tblGrid>
      <w:tr w14:paraId="4F44E3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3F56E86">
            <w:pPr>
              <w:spacing w:after="0" w:line="240" w:lineRule="auto"/>
              <w:jc w:val="center"/>
            </w:pPr>
            <w:r>
              <w:t>竞争力维度</w:t>
            </w:r>
          </w:p>
        </w:tc>
        <w:tc>
          <w:tcPr>
            <w:tcW w:w="6803" w:type="dxa"/>
          </w:tcPr>
          <w:p w14:paraId="7126BA9C">
            <w:pPr>
              <w:spacing w:after="0" w:line="240" w:lineRule="auto"/>
              <w:jc w:val="center"/>
            </w:pPr>
            <w:r>
              <w:t>具体体现</w:t>
            </w:r>
          </w:p>
        </w:tc>
      </w:tr>
      <w:tr w14:paraId="2355D2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5DF6D55">
            <w:pPr>
              <w:spacing w:after="0" w:line="240" w:lineRule="auto"/>
              <w:jc w:val="center"/>
            </w:pPr>
            <w:r>
              <w:t>意图深度</w:t>
            </w:r>
          </w:p>
        </w:tc>
        <w:tc>
          <w:tcPr>
            <w:tcW w:w="6803" w:type="dxa"/>
          </w:tcPr>
          <w:p w14:paraId="0B7C5E35">
            <w:pPr>
              <w:spacing w:after="0" w:line="240" w:lineRule="auto"/>
              <w:jc w:val="center"/>
            </w:pPr>
            <w:r>
              <w:t>以LLM结构化解析教学意图（目标、重难点、受众与活动）为核心驱动，区别于关键词匹配加模板填充的浅层生成</w:t>
            </w:r>
          </w:p>
        </w:tc>
      </w:tr>
      <w:tr w14:paraId="7C96A1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C88BEA6">
            <w:pPr>
              <w:spacing w:after="0" w:line="240" w:lineRule="auto"/>
              <w:jc w:val="center"/>
            </w:pPr>
            <w:r>
              <w:t>专业底座</w:t>
            </w:r>
          </w:p>
        </w:tc>
        <w:tc>
          <w:tcPr>
            <w:tcW w:w="6803" w:type="dxa"/>
          </w:tcPr>
          <w:p w14:paraId="26457F45">
            <w:pPr>
              <w:spacing w:after="0" w:line="240" w:lineRule="auto"/>
              <w:jc w:val="center"/>
            </w:pPr>
            <w:r>
              <w:t>本地RAG知识库对学校已有教学资料进行结构化利用，降低AI幻觉，保障内容专业性</w:t>
            </w:r>
          </w:p>
        </w:tc>
      </w:tr>
      <w:tr w14:paraId="27C5E2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B82EB3C">
            <w:pPr>
              <w:spacing w:after="0" w:line="240" w:lineRule="auto"/>
              <w:jc w:val="center"/>
            </w:pPr>
            <w:r>
              <w:t>多模一体</w:t>
            </w:r>
          </w:p>
        </w:tc>
        <w:tc>
          <w:tcPr>
            <w:tcW w:w="6803" w:type="dxa"/>
          </w:tcPr>
          <w:p w14:paraId="556ECF43">
            <w:pPr>
              <w:spacing w:after="0" w:line="240" w:lineRule="auto"/>
              <w:jc w:val="center"/>
            </w:pPr>
            <w:r>
              <w:t>多模态输入、多模态解析与三类产物并行生成相结合，覆盖备课、互动与迭代全流程</w:t>
            </w:r>
          </w:p>
        </w:tc>
      </w:tr>
      <w:tr w14:paraId="5F1F5A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6501459">
            <w:pPr>
              <w:spacing w:after="0" w:line="240" w:lineRule="auto"/>
              <w:jc w:val="center"/>
            </w:pPr>
            <w:r>
              <w:t>轻量合规</w:t>
            </w:r>
          </w:p>
        </w:tc>
        <w:tc>
          <w:tcPr>
            <w:tcW w:w="6803" w:type="dxa"/>
          </w:tcPr>
          <w:p w14:paraId="61E3ADCB">
            <w:pPr>
              <w:spacing w:after="0" w:line="240" w:lineRule="auto"/>
              <w:jc w:val="center"/>
            </w:pPr>
            <w:r>
              <w:t>B/S架构加本地化部署，浏览器即用，数据不出校，符合教育数据安全要求</w:t>
            </w:r>
          </w:p>
        </w:tc>
      </w:tr>
      <w:tr w14:paraId="25939E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12E60B5">
            <w:pPr>
              <w:spacing w:after="0" w:line="240" w:lineRule="auto"/>
              <w:jc w:val="center"/>
            </w:pPr>
            <w:r>
              <w:t>成本可控</w:t>
            </w:r>
          </w:p>
        </w:tc>
        <w:tc>
          <w:tcPr>
            <w:tcW w:w="6803" w:type="dxa"/>
          </w:tcPr>
          <w:p w14:paraId="1A97E4ED">
            <w:pPr>
              <w:spacing w:after="0" w:line="240" w:lineRule="auto"/>
              <w:jc w:val="center"/>
            </w:pPr>
            <w:r>
              <w:t>单校年运营成本约0.85万至2万元，仅为商业课件平台的五分之一至十分之一，具备规模化推广条件</w:t>
            </w:r>
          </w:p>
        </w:tc>
      </w:tr>
    </w:tbl>
    <w:p w14:paraId="186D06AF">
      <w:r>
        <w:t>后续演进方向主要包括两个方面：一是接入语音输入与视频摘要能力（P2级需求）；二是与锐捷智慧教室进行深度集成，实现课件一键推送至课堂终端与课堂数据闭环，持续提升产品体验与生态价值。</w:t>
      </w:r>
    </w:p>
    <w:p w14:paraId="3DC47EBB">
      <w:r>
        <w:br w:type="page"/>
      </w:r>
    </w:p>
    <w:p w14:paraId="3EF0274D">
      <w:pPr>
        <w:pStyle w:val="3"/>
      </w:pPr>
      <w:bookmarkStart w:id="36" w:name="_LarkToc00036"/>
      <w:r>
        <w:rPr>
          <w:rFonts w:ascii="黑体" w:hAnsi="黑体" w:eastAsia="黑体"/>
        </w:rPr>
        <w:t>附录A  团队协作说明</w:t>
      </w:r>
      <w:bookmarkEnd w:id="36"/>
    </w:p>
    <w:p w14:paraId="0055BFF7">
      <w:r>
        <w:t>本方案由四位成员协作完成，各成员在对应模块中担任主笔并对内容质量负责，具体分工如下表所示：</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76"/>
        <w:gridCol w:w="2268"/>
        <w:gridCol w:w="5386"/>
      </w:tblGrid>
      <w:tr w14:paraId="5A288E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76" w:type="dxa"/>
          </w:tcPr>
          <w:p w14:paraId="1703B9D5">
            <w:pPr>
              <w:spacing w:after="0" w:line="240" w:lineRule="auto"/>
              <w:jc w:val="center"/>
            </w:pPr>
            <w:r>
              <w:t>成员</w:t>
            </w:r>
          </w:p>
        </w:tc>
        <w:tc>
          <w:tcPr>
            <w:tcW w:w="2268" w:type="dxa"/>
          </w:tcPr>
          <w:p w14:paraId="15A51066">
            <w:pPr>
              <w:spacing w:after="0" w:line="240" w:lineRule="auto"/>
              <w:jc w:val="center"/>
            </w:pPr>
            <w:r>
              <w:t>主笔模块</w:t>
            </w:r>
          </w:p>
        </w:tc>
        <w:tc>
          <w:tcPr>
            <w:tcW w:w="5386" w:type="dxa"/>
          </w:tcPr>
          <w:p w14:paraId="42FDCF6E">
            <w:pPr>
              <w:spacing w:after="0" w:line="240" w:lineRule="auto"/>
              <w:jc w:val="center"/>
            </w:pPr>
            <w:r>
              <w:t>协作职责</w:t>
            </w:r>
          </w:p>
        </w:tc>
      </w:tr>
      <w:tr w14:paraId="5E8838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76" w:type="dxa"/>
          </w:tcPr>
          <w:p w14:paraId="13650B8D">
            <w:pPr>
              <w:spacing w:after="0" w:line="240" w:lineRule="auto"/>
              <w:jc w:val="center"/>
              <w:rPr>
                <w:rFonts w:hint="eastAsia" w:eastAsia="宋体"/>
                <w:lang w:val="en-US" w:eastAsia="zh-CN"/>
              </w:rPr>
            </w:pPr>
            <w:r>
              <w:rPr>
                <w:rFonts w:hint="eastAsia"/>
                <w:lang w:val="en-US" w:eastAsia="zh-CN"/>
              </w:rPr>
              <w:t>陈伽睿</w:t>
            </w:r>
          </w:p>
        </w:tc>
        <w:tc>
          <w:tcPr>
            <w:tcW w:w="2268" w:type="dxa"/>
          </w:tcPr>
          <w:p w14:paraId="7151401D">
            <w:pPr>
              <w:spacing w:after="0" w:line="240" w:lineRule="auto"/>
              <w:jc w:val="center"/>
            </w:pPr>
            <w:r>
              <w:t>S2A（目标与服务模型）</w:t>
            </w:r>
          </w:p>
        </w:tc>
        <w:tc>
          <w:tcPr>
            <w:tcW w:w="5386" w:type="dxa"/>
          </w:tcPr>
          <w:p w14:paraId="74320E0F">
            <w:pPr>
              <w:spacing w:after="0" w:line="240" w:lineRule="auto"/>
              <w:jc w:val="center"/>
            </w:pPr>
            <w:r>
              <w:t>主导赛题价值研判与服务模型设计，确保产品定位精准、解决思路清晰；同时审核其他模块与整体方案的一致性</w:t>
            </w:r>
          </w:p>
        </w:tc>
      </w:tr>
      <w:tr w14:paraId="1EA47C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76" w:type="dxa"/>
          </w:tcPr>
          <w:p w14:paraId="4C8C6B94">
            <w:pPr>
              <w:spacing w:after="0" w:line="240" w:lineRule="auto"/>
              <w:jc w:val="center"/>
              <w:rPr>
                <w:rFonts w:hint="eastAsia" w:eastAsia="宋体"/>
                <w:lang w:val="en-US" w:eastAsia="zh-CN"/>
              </w:rPr>
            </w:pPr>
            <w:r>
              <w:rPr>
                <w:rFonts w:hint="eastAsia"/>
                <w:lang w:val="en-US" w:eastAsia="zh-CN"/>
              </w:rPr>
              <w:t>吴苏萍</w:t>
            </w:r>
          </w:p>
        </w:tc>
        <w:tc>
          <w:tcPr>
            <w:tcW w:w="2268" w:type="dxa"/>
          </w:tcPr>
          <w:p w14:paraId="7BF22154">
            <w:pPr>
              <w:spacing w:after="0" w:line="240" w:lineRule="auto"/>
              <w:jc w:val="center"/>
            </w:pPr>
            <w:r>
              <w:t>S2B（组织管理与业务分析）</w:t>
            </w:r>
          </w:p>
        </w:tc>
        <w:tc>
          <w:tcPr>
            <w:tcW w:w="5386" w:type="dxa"/>
          </w:tcPr>
          <w:p w14:paraId="17DE1A9A">
            <w:pPr>
              <w:spacing w:after="0" w:line="240" w:lineRule="auto"/>
              <w:jc w:val="center"/>
            </w:pPr>
            <w:r>
              <w:t>主导组织架构设计与业务流程分析，确保项目管理机制健全、需求拆解合理；同时协调各模块进度与交付</w:t>
            </w:r>
          </w:p>
        </w:tc>
      </w:tr>
      <w:tr w14:paraId="283060E0">
        <w:tblPrEx>
          <w:tblCellMar>
            <w:top w:w="0" w:type="dxa"/>
            <w:left w:w="108" w:type="dxa"/>
            <w:bottom w:w="0" w:type="dxa"/>
            <w:right w:w="108" w:type="dxa"/>
          </w:tblCellMar>
        </w:tblPrEx>
        <w:trPr>
          <w:jc w:val="center"/>
        </w:trPr>
        <w:tc>
          <w:tcPr>
            <w:tcW w:w="976" w:type="dxa"/>
          </w:tcPr>
          <w:p w14:paraId="53820F82">
            <w:pPr>
              <w:spacing w:after="0" w:line="240" w:lineRule="auto"/>
              <w:jc w:val="center"/>
              <w:rPr>
                <w:rFonts w:hint="eastAsia" w:eastAsia="宋体"/>
                <w:lang w:val="en-US" w:eastAsia="zh-CN"/>
              </w:rPr>
            </w:pPr>
            <w:r>
              <w:rPr>
                <w:rFonts w:hint="eastAsia"/>
                <w:lang w:val="en-US" w:eastAsia="zh-CN"/>
              </w:rPr>
              <w:t>江南</w:t>
            </w:r>
          </w:p>
        </w:tc>
        <w:tc>
          <w:tcPr>
            <w:tcW w:w="2268" w:type="dxa"/>
          </w:tcPr>
          <w:p w14:paraId="20F2B220">
            <w:pPr>
              <w:spacing w:after="0" w:line="240" w:lineRule="auto"/>
              <w:jc w:val="center"/>
            </w:pPr>
            <w:r>
              <w:t>S2C（技术路线及实现方案）</w:t>
            </w:r>
          </w:p>
        </w:tc>
        <w:tc>
          <w:tcPr>
            <w:tcW w:w="5386" w:type="dxa"/>
          </w:tcPr>
          <w:p w14:paraId="02828BE6">
            <w:pPr>
              <w:spacing w:after="0" w:line="240" w:lineRule="auto"/>
              <w:jc w:val="center"/>
            </w:pPr>
            <w:r>
              <w:t>主导技术选型与架构设计，确保技术路线先进可行、实现细节准确；同时负责代码质量与工程问题攻关</w:t>
            </w:r>
          </w:p>
        </w:tc>
      </w:tr>
      <w:tr w14:paraId="333D51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76" w:type="dxa"/>
          </w:tcPr>
          <w:p w14:paraId="7075AB6C">
            <w:pPr>
              <w:spacing w:after="0" w:line="240" w:lineRule="auto"/>
              <w:jc w:val="center"/>
              <w:rPr>
                <w:rFonts w:hint="default" w:eastAsia="宋体"/>
                <w:lang w:val="en-US" w:eastAsia="zh-CN"/>
              </w:rPr>
            </w:pPr>
            <w:r>
              <w:rPr>
                <w:rFonts w:hint="eastAsia"/>
                <w:lang w:val="en-US" w:eastAsia="zh-CN"/>
              </w:rPr>
              <w:t>吴韵谦</w:t>
            </w:r>
          </w:p>
        </w:tc>
        <w:tc>
          <w:tcPr>
            <w:tcW w:w="2268" w:type="dxa"/>
          </w:tcPr>
          <w:p w14:paraId="497453E1">
            <w:pPr>
              <w:spacing w:after="0" w:line="240" w:lineRule="auto"/>
              <w:jc w:val="center"/>
            </w:pPr>
            <w:r>
              <w:t>S2D（成本模型及可行性分析）</w:t>
            </w:r>
          </w:p>
        </w:tc>
        <w:tc>
          <w:tcPr>
            <w:tcW w:w="5386" w:type="dxa"/>
          </w:tcPr>
          <w:p w14:paraId="125DB2E4">
            <w:pPr>
              <w:spacing w:after="0" w:line="240" w:lineRule="auto"/>
              <w:jc w:val="center"/>
            </w:pPr>
            <w:r>
              <w:t>主导成本测算与可行性分析，确保成本模型合理、风险应对完备；同时负责客户需求对接与落地路径规划</w:t>
            </w:r>
          </w:p>
        </w:tc>
      </w:tr>
    </w:tbl>
    <w:p w14:paraId="2AA52341"/>
    <w:p w14:paraId="3411F646">
      <w:bookmarkStart w:id="0" w:name="_GoBack"/>
      <w:bookmarkEnd w:id="0"/>
      <w:r>
        <w:t>四位成员通过每日站会、代码评审与方案联审等机制保持紧密协作，共同保障方案的完整性、可行性与竞争力。</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88f73b1db9c1929eba07194d6769ae840943bc83fdaed76487bb923799e3bb7d:f3113c45dd5f6f7846b0d2c9c38df8bdb97773acc0bff22579e29687bb8d68fc"/>
  </w:docVars>
  <w:rsids>
    <w:rsidRoot w:val="00B47730"/>
    <w:rsid w:val="00034616"/>
    <w:rsid w:val="0006063C"/>
    <w:rsid w:val="0015074B"/>
    <w:rsid w:val="0029639D"/>
    <w:rsid w:val="00326F90"/>
    <w:rsid w:val="00AA1D8D"/>
    <w:rsid w:val="00B47730"/>
    <w:rsid w:val="00CB0664"/>
    <w:rsid w:val="00FC693F"/>
    <w:rsid w:val="39C85BED"/>
    <w:rsid w:val="539956FE"/>
    <w:rsid w:val="58163335"/>
    <w:rsid w:val="60563F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styleId="TOC1">
    <w:name w:val="toc 1"/>
    <w:basedOn w:val="1"/>
    <w:next w:val="1"/>
    <w:semiHidden/>
    <w:unhideWhenUsed/>
    <w:uiPriority w:val="39"/>
    <w:pPr>
      <w:spacing w:line="240" w:lineRule="auto"/>
      <w:ind w:firstLine="0" w:firstLineChars="0" w:hanging="0" w:hangingChars="0"/>
    </w:pPr>
  </w:style>
  <w:style w:type="paragraph" w:styleId="TOC2">
    <w:name w:val="toc 2"/>
    <w:basedOn w:val="1"/>
    <w:next w:val="1"/>
    <w:semiHidden/>
    <w:unhideWhenUsed/>
    <w:uiPriority w:val="39"/>
    <w:pPr>
      <w:spacing w:line="240" w:lineRule="auto"/>
      <w:ind w:firstLine="0" w:firstLineChars="0" w:hanging="0" w:hangingChars="0" w:left="420" w:leftChars="200"/>
    </w:pPr>
  </w:style>
  <w:style w:type="paragraph" w:styleId="TOC3">
    <w:name w:val="toc 3"/>
    <w:basedOn w:val="1"/>
    <w:next w:val="1"/>
    <w:semiHidden/>
    <w:unhideWhenUsed/>
    <w:uiPriority w:val="39"/>
    <w:pPr>
      <w:spacing w:line="240" w:lineRule="auto"/>
      <w:ind w:firstLine="0" w:firstLineChars="0" w:hanging="0" w:hangingChars="0"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1966</Words>
  <Characters>2098</Characters>
  <Lines>0</Lines>
  <Paragraphs>0</Paragraphs>
  <TotalTime>28</TotalTime>
  <ScaleCrop>false</ScaleCrop>
  <LinksUpToDate>false</LinksUpToDate>
  <CharactersWithSpaces>2116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内向害怕暴力</cp:lastModifiedBy>
  <dcterms:modified xsi:type="dcterms:W3CDTF">2026-10-09T06:05:20Z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eyJoZGlkIjoiYWIxNGEyMjU1ZDUxMjQ4NzEzOTRiYmE2YmZhZjVkMGEiLCJ1c2VySWQiOiIyNDU5Nzk2NjMifQ==</vt:lpwstr>
  </property>
  <property fmtid="{D5CDD505-2E9C-101B-9397-08002B2CF9AE}" pid="3" name="KSOProductBuildVer">
    <vt:lpwstr>2052-12.1.0.28505</vt:lpwstr>
  </property>
  <property fmtid="{D5CDD505-2E9C-101B-9397-08002B2CF9AE}" pid="4" name="ICV">
    <vt:lpwstr>EBE1A51B72514DEBBACA08CED3BE86A9_12</vt:lpwstr>
  </property>
</Properties>
</file>