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4AB9C" w14:textId="389B6AB6" w:rsidR="001A2130" w:rsidRDefault="001A2130" w:rsidP="00DC4E89">
      <w:pPr>
        <w:spacing w:line="480" w:lineRule="auto"/>
        <w:rPr>
          <w:b/>
          <w:bCs/>
          <w:sz w:val="28"/>
          <w:szCs w:val="28"/>
        </w:rPr>
      </w:pPr>
      <w:r w:rsidRPr="001A2130">
        <w:rPr>
          <w:b/>
          <w:bCs/>
          <w:sz w:val="28"/>
          <w:szCs w:val="28"/>
        </w:rPr>
        <w:t>Supplementary Materials</w:t>
      </w:r>
    </w:p>
    <w:p w14:paraId="672F15CD" w14:textId="77777777" w:rsidR="001A2130" w:rsidRPr="006B5DC4" w:rsidRDefault="001A2130" w:rsidP="001A2130">
      <w:pPr>
        <w:pStyle w:val="Heading1"/>
        <w:shd w:val="clear" w:color="auto" w:fill="FFFFFF"/>
        <w:spacing w:before="0" w:after="240"/>
        <w:ind w:left="720"/>
        <w:rPr>
          <w:b w:val="0"/>
          <w:bCs w:val="0"/>
          <w:sz w:val="28"/>
          <w:szCs w:val="28"/>
        </w:rPr>
      </w:pPr>
      <w:r w:rsidRPr="006B5DC4">
        <w:rPr>
          <w:sz w:val="28"/>
          <w:szCs w:val="28"/>
        </w:rPr>
        <w:t>Diversity and evolution of computationally predicted T cell epitopes against Human Respiratory Syncytial virus</w:t>
      </w:r>
    </w:p>
    <w:p w14:paraId="14645110" w14:textId="77777777" w:rsidR="001A2130" w:rsidRPr="007108F5" w:rsidRDefault="001A2130" w:rsidP="001A2130">
      <w:pPr>
        <w:jc w:val="center"/>
        <w:rPr>
          <w:sz w:val="28"/>
          <w:szCs w:val="28"/>
        </w:rPr>
      </w:pPr>
    </w:p>
    <w:p w14:paraId="67868264" w14:textId="77777777" w:rsidR="001A2130" w:rsidRPr="008F282F" w:rsidRDefault="001A2130" w:rsidP="001A2130">
      <w:pPr>
        <w:ind w:left="720"/>
        <w:rPr>
          <w:vertAlign w:val="superscript"/>
          <w:lang w:val="fr-FR"/>
        </w:rPr>
      </w:pPr>
      <w:proofErr w:type="spellStart"/>
      <w:r w:rsidRPr="008F282F">
        <w:rPr>
          <w:lang w:val="fr-FR"/>
        </w:rPr>
        <w:t>Jiani</w:t>
      </w:r>
      <w:proofErr w:type="spellEnd"/>
      <w:r w:rsidRPr="008F282F">
        <w:rPr>
          <w:lang w:val="fr-FR"/>
        </w:rPr>
        <w:t xml:space="preserve"> Chen </w:t>
      </w:r>
      <w:r w:rsidRPr="008F282F">
        <w:rPr>
          <w:vertAlign w:val="superscript"/>
          <w:lang w:val="fr-FR"/>
        </w:rPr>
        <w:t>[1][2][3][4]</w:t>
      </w:r>
      <w:r w:rsidRPr="008F282F">
        <w:rPr>
          <w:lang w:val="fr-FR"/>
        </w:rPr>
        <w:t xml:space="preserve">, Swan Tan </w:t>
      </w:r>
      <w:r w:rsidRPr="008F282F">
        <w:rPr>
          <w:vertAlign w:val="superscript"/>
          <w:lang w:val="fr-FR"/>
        </w:rPr>
        <w:t>[1][3][4][5],</w:t>
      </w:r>
      <w:r w:rsidRPr="008F282F">
        <w:rPr>
          <w:lang w:val="fr-FR"/>
        </w:rPr>
        <w:t xml:space="preserve"> </w:t>
      </w:r>
      <w:proofErr w:type="spellStart"/>
      <w:r w:rsidRPr="008F282F">
        <w:rPr>
          <w:lang w:val="fr-FR"/>
        </w:rPr>
        <w:t>Vasanthi</w:t>
      </w:r>
      <w:proofErr w:type="spellEnd"/>
      <w:r w:rsidRPr="008F282F">
        <w:rPr>
          <w:lang w:val="fr-FR"/>
        </w:rPr>
        <w:t xml:space="preserve"> </w:t>
      </w:r>
      <w:proofErr w:type="spellStart"/>
      <w:r w:rsidRPr="008F282F">
        <w:rPr>
          <w:lang w:val="fr-FR"/>
        </w:rPr>
        <w:t>Avadhanula</w:t>
      </w:r>
      <w:proofErr w:type="spellEnd"/>
      <w:r w:rsidRPr="008F282F">
        <w:rPr>
          <w:lang w:val="fr-FR"/>
        </w:rPr>
        <w:t xml:space="preserve"> </w:t>
      </w:r>
      <w:r w:rsidRPr="008F282F">
        <w:rPr>
          <w:vertAlign w:val="superscript"/>
          <w:lang w:val="fr-FR"/>
        </w:rPr>
        <w:t>[6]</w:t>
      </w:r>
      <w:r w:rsidRPr="008F282F">
        <w:rPr>
          <w:lang w:val="fr-FR"/>
        </w:rPr>
        <w:t xml:space="preserve">, Leonard Moise </w:t>
      </w:r>
      <w:r w:rsidRPr="008F282F">
        <w:rPr>
          <w:vertAlign w:val="superscript"/>
          <w:lang w:val="fr-FR"/>
        </w:rPr>
        <w:t>[3][7]</w:t>
      </w:r>
      <w:r w:rsidRPr="008F282F">
        <w:rPr>
          <w:lang w:val="fr-FR"/>
        </w:rPr>
        <w:t xml:space="preserve">, Pedro A </w:t>
      </w:r>
      <w:proofErr w:type="spellStart"/>
      <w:r w:rsidRPr="008F282F">
        <w:rPr>
          <w:lang w:val="fr-FR"/>
        </w:rPr>
        <w:t>Piedra</w:t>
      </w:r>
      <w:proofErr w:type="spellEnd"/>
      <w:r w:rsidRPr="008F282F">
        <w:rPr>
          <w:lang w:val="fr-FR"/>
        </w:rPr>
        <w:t xml:space="preserve"> </w:t>
      </w:r>
      <w:r w:rsidRPr="008F282F">
        <w:rPr>
          <w:vertAlign w:val="superscript"/>
          <w:lang w:val="fr-FR"/>
        </w:rPr>
        <w:t>[6]</w:t>
      </w:r>
      <w:r w:rsidRPr="008F282F">
        <w:rPr>
          <w:lang w:val="fr-FR"/>
        </w:rPr>
        <w:t xml:space="preserve">, Anne S De </w:t>
      </w:r>
      <w:proofErr w:type="spellStart"/>
      <w:r w:rsidRPr="008F282F">
        <w:rPr>
          <w:lang w:val="fr-FR"/>
        </w:rPr>
        <w:t>Groot</w:t>
      </w:r>
      <w:proofErr w:type="spellEnd"/>
      <w:r w:rsidRPr="008F282F">
        <w:rPr>
          <w:lang w:val="fr-FR"/>
        </w:rPr>
        <w:t xml:space="preserve"> </w:t>
      </w:r>
      <w:r w:rsidRPr="008F282F">
        <w:rPr>
          <w:vertAlign w:val="superscript"/>
          <w:lang w:val="fr-FR"/>
        </w:rPr>
        <w:t>[3][7]</w:t>
      </w:r>
      <w:r w:rsidRPr="008F282F">
        <w:rPr>
          <w:lang w:val="fr-FR"/>
        </w:rPr>
        <w:t xml:space="preserve">, Justin </w:t>
      </w:r>
      <w:proofErr w:type="spellStart"/>
      <w:r w:rsidRPr="008F282F">
        <w:rPr>
          <w:lang w:val="fr-FR"/>
        </w:rPr>
        <w:t>Bahl</w:t>
      </w:r>
      <w:proofErr w:type="spellEnd"/>
      <w:r w:rsidRPr="008F282F">
        <w:rPr>
          <w:lang w:val="fr-FR"/>
        </w:rPr>
        <w:t xml:space="preserve"> </w:t>
      </w:r>
      <w:r w:rsidRPr="008F282F">
        <w:rPr>
          <w:vertAlign w:val="superscript"/>
          <w:lang w:val="fr-FR"/>
        </w:rPr>
        <w:t>[1][2][3][4][5][8] *</w:t>
      </w:r>
    </w:p>
    <w:p w14:paraId="2E451D48" w14:textId="77777777" w:rsidR="001A2130" w:rsidRPr="006B5DC4" w:rsidRDefault="001A2130" w:rsidP="001A2130">
      <w:pPr>
        <w:jc w:val="center"/>
        <w:rPr>
          <w:lang w:val="fr-FR"/>
        </w:rPr>
      </w:pPr>
    </w:p>
    <w:p w14:paraId="2C811CAA" w14:textId="77777777" w:rsidR="001A2130" w:rsidRPr="008F282F" w:rsidRDefault="001A2130" w:rsidP="001A2130">
      <w:pPr>
        <w:ind w:left="720"/>
        <w:rPr>
          <w:color w:val="212121"/>
          <w:shd w:val="clear" w:color="auto" w:fill="FFFFFF"/>
        </w:rPr>
      </w:pPr>
      <w:r w:rsidRPr="008F282F">
        <w:rPr>
          <w:color w:val="212121"/>
          <w:shd w:val="clear" w:color="auto" w:fill="FFFFFF"/>
        </w:rPr>
        <w:t xml:space="preserve">* Corresponding author email: </w:t>
      </w:r>
      <w:hyperlink r:id="rId4" w:history="1">
        <w:r w:rsidRPr="008F282F">
          <w:rPr>
            <w:rStyle w:val="Hyperlink"/>
            <w:shd w:val="clear" w:color="auto" w:fill="FFFFFF"/>
          </w:rPr>
          <w:t>justin.bahl@uga.edu</w:t>
        </w:r>
      </w:hyperlink>
    </w:p>
    <w:p w14:paraId="3D5999B7" w14:textId="12175314" w:rsidR="001A2130" w:rsidRDefault="001A2130" w:rsidP="00DC4E89">
      <w:pPr>
        <w:spacing w:line="480" w:lineRule="auto"/>
        <w:rPr>
          <w:b/>
          <w:bCs/>
          <w:sz w:val="28"/>
          <w:szCs w:val="28"/>
        </w:rPr>
      </w:pPr>
    </w:p>
    <w:p w14:paraId="375F1C57" w14:textId="6E1D4287" w:rsidR="001A2130" w:rsidRPr="00262D72" w:rsidRDefault="001A2130" w:rsidP="001A2130">
      <w:pPr>
        <w:rPr>
          <w:b/>
        </w:rPr>
      </w:pPr>
      <w:r>
        <w:rPr>
          <w:b/>
        </w:rPr>
        <w:t xml:space="preserve">This file </w:t>
      </w:r>
      <w:r w:rsidRPr="00262D72">
        <w:rPr>
          <w:b/>
        </w:rPr>
        <w:t>includes:</w:t>
      </w:r>
    </w:p>
    <w:p w14:paraId="56CF10A4" w14:textId="456004ED" w:rsidR="001A2130" w:rsidRDefault="00963A15" w:rsidP="001A2130">
      <w:pPr>
        <w:ind w:left="720"/>
      </w:pPr>
      <w:r>
        <w:t xml:space="preserve">Supplementary </w:t>
      </w:r>
      <w:r w:rsidRPr="00F83F1F">
        <w:t>Figure </w:t>
      </w:r>
      <w:r>
        <w:t xml:space="preserve">1 </w:t>
      </w:r>
      <w:r w:rsidR="001A2130">
        <w:t xml:space="preserve">to </w:t>
      </w:r>
      <w:r>
        <w:t xml:space="preserve">Supplementary </w:t>
      </w:r>
      <w:r w:rsidRPr="00F83F1F">
        <w:t>Figure </w:t>
      </w:r>
      <w:r>
        <w:t>7</w:t>
      </w:r>
    </w:p>
    <w:p w14:paraId="60BE5804" w14:textId="77777777" w:rsidR="001A2130" w:rsidRDefault="001A2130" w:rsidP="001A2130"/>
    <w:p w14:paraId="014375A3" w14:textId="77777777" w:rsidR="001A2130" w:rsidRPr="00B57F00" w:rsidRDefault="001A2130" w:rsidP="001A2130">
      <w:r w:rsidRPr="00262D72">
        <w:rPr>
          <w:b/>
        </w:rPr>
        <w:t>Other Sup</w:t>
      </w:r>
      <w:r>
        <w:rPr>
          <w:b/>
        </w:rPr>
        <w:t>plementary</w:t>
      </w:r>
      <w:r w:rsidRPr="00262D72">
        <w:rPr>
          <w:b/>
        </w:rPr>
        <w:t xml:space="preserve"> Material</w:t>
      </w:r>
      <w:r>
        <w:rPr>
          <w:b/>
        </w:rPr>
        <w:t>s</w:t>
      </w:r>
      <w:r w:rsidRPr="00262D72">
        <w:rPr>
          <w:b/>
        </w:rPr>
        <w:t xml:space="preserve"> </w:t>
      </w:r>
      <w:r>
        <w:rPr>
          <w:b/>
        </w:rPr>
        <w:t xml:space="preserve">for this manuscript </w:t>
      </w:r>
      <w:r w:rsidRPr="00262D72">
        <w:rPr>
          <w:b/>
        </w:rPr>
        <w:t>include the following</w:t>
      </w:r>
      <w:r>
        <w:rPr>
          <w:b/>
        </w:rPr>
        <w:t xml:space="preserve">: </w:t>
      </w:r>
    </w:p>
    <w:p w14:paraId="23DAF445" w14:textId="2E891040" w:rsidR="001A2130" w:rsidRPr="001A2130" w:rsidRDefault="00963A15" w:rsidP="001A2130">
      <w:pPr>
        <w:ind w:left="720"/>
      </w:pPr>
      <w:r>
        <w:t>Supplementary</w:t>
      </w:r>
      <w:r>
        <w:t xml:space="preserve"> </w:t>
      </w:r>
      <w:r w:rsidR="001A2130">
        <w:t xml:space="preserve">Data </w:t>
      </w:r>
      <w:r>
        <w:t xml:space="preserve">File </w:t>
      </w:r>
      <w:r w:rsidR="001A2130">
        <w:t xml:space="preserve">1 </w:t>
      </w:r>
    </w:p>
    <w:p w14:paraId="290F5F51" w14:textId="7E69796E" w:rsidR="001A2130" w:rsidRDefault="001A2130" w:rsidP="001A2130">
      <w:pPr>
        <w:rPr>
          <w:noProof/>
        </w:rPr>
      </w:pPr>
      <w:r>
        <w:rPr>
          <w:noProof/>
          <w:color w:val="000000"/>
          <w:shd w:val="clear" w:color="auto" w:fill="FFFFFF"/>
        </w:rPr>
        <w:lastRenderedPageBreak/>
        <w:drawing>
          <wp:inline distT="0" distB="0" distL="0" distR="0" wp14:anchorId="63347B66" wp14:editId="6F6EDDF4">
            <wp:extent cx="5943600" cy="7691755"/>
            <wp:effectExtent l="0" t="0" r="0" b="4445"/>
            <wp:docPr id="9" name="Picture 9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A15" w:rsidRPr="00963A15">
        <w:t xml:space="preserve"> </w:t>
      </w:r>
      <w:r w:rsidR="00963A15" w:rsidRPr="00963A15">
        <w:rPr>
          <w:b/>
          <w:bCs/>
        </w:rPr>
        <w:t>Supplementary Figure 1</w:t>
      </w:r>
      <w:r w:rsidRPr="00963A15">
        <w:rPr>
          <w:b/>
          <w:bCs/>
          <w:noProof/>
        </w:rPr>
        <w:t>. Distribution</w:t>
      </w:r>
      <w:r w:rsidRPr="00F431D5">
        <w:rPr>
          <w:b/>
          <w:bCs/>
          <w:noProof/>
        </w:rPr>
        <w:t xml:space="preserve"> and diversity of </w:t>
      </w:r>
      <w:r>
        <w:rPr>
          <w:b/>
          <w:bCs/>
          <w:noProof/>
        </w:rPr>
        <w:t>T cell</w:t>
      </w:r>
      <w:r w:rsidRPr="00F431D5">
        <w:rPr>
          <w:b/>
          <w:bCs/>
          <w:noProof/>
        </w:rPr>
        <w:t xml:space="preserve"> epitopes in RSV F protein.</w:t>
      </w:r>
      <w:r>
        <w:rPr>
          <w:noProof/>
        </w:rPr>
        <w:t xml:space="preserve"> The tree panel on the left is a time-scaled phylogeny build with RSV-A </w:t>
      </w:r>
      <w:r w:rsidRPr="00832FD4">
        <w:rPr>
          <w:b/>
          <w:bCs/>
          <w:noProof/>
        </w:rPr>
        <w:t xml:space="preserve">(A) </w:t>
      </w:r>
      <w:r>
        <w:rPr>
          <w:noProof/>
        </w:rPr>
        <w:t xml:space="preserve">or RSV-B </w:t>
      </w:r>
      <w:r w:rsidRPr="00832FD4">
        <w:rPr>
          <w:b/>
          <w:bCs/>
          <w:noProof/>
        </w:rPr>
        <w:t>(B)</w:t>
      </w:r>
      <w:r>
        <w:rPr>
          <w:noProof/>
        </w:rPr>
        <w:t xml:space="preserve"> F gene nucleotide sequences using the ML approach. Determined genotypes are labeled on the right </w:t>
      </w:r>
      <w:r>
        <w:rPr>
          <w:noProof/>
        </w:rPr>
        <w:lastRenderedPageBreak/>
        <w:t xml:space="preserve">with black bars. Each color column on the right side represents the </w:t>
      </w:r>
      <w:r>
        <w:t>presence of an MHC class I or class II epitope. Only the</w:t>
      </w:r>
      <w:r>
        <w:rPr>
          <w:noProof/>
        </w:rPr>
        <w:t xml:space="preserve"> </w:t>
      </w:r>
      <w:r>
        <w:rPr>
          <w:color w:val="000000"/>
          <w:shd w:val="clear" w:color="auto" w:fill="FFFFFF"/>
        </w:rPr>
        <w:t>epitopes that are present in</w:t>
      </w:r>
      <w:r w:rsidRPr="00C73271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more than 1% </w:t>
      </w:r>
      <w:r w:rsidRPr="00C73271">
        <w:rPr>
          <w:color w:val="000000"/>
          <w:shd w:val="clear" w:color="auto" w:fill="FFFFFF"/>
        </w:rPr>
        <w:t>of sampled isolates</w:t>
      </w:r>
      <w:r>
        <w:rPr>
          <w:color w:val="000000"/>
          <w:shd w:val="clear" w:color="auto" w:fill="FFFFFF"/>
        </w:rPr>
        <w:t xml:space="preserve"> </w:t>
      </w:r>
      <w:r>
        <w:rPr>
          <w:noProof/>
        </w:rPr>
        <w:t xml:space="preserve">are displayed. The column color indicates different numbers of epitope sequences at the same location. </w:t>
      </w:r>
    </w:p>
    <w:p w14:paraId="4DC8727A" w14:textId="77777777" w:rsidR="001A2130" w:rsidRDefault="001A2130" w:rsidP="001A2130">
      <w:pPr>
        <w:rPr>
          <w:noProof/>
        </w:rPr>
      </w:pPr>
      <w:r>
        <w:rPr>
          <w:noProof/>
        </w:rPr>
        <w:br w:type="page"/>
      </w:r>
    </w:p>
    <w:p w14:paraId="1DDC9A2C" w14:textId="3B5605E5" w:rsidR="001A2130" w:rsidRDefault="001A2130" w:rsidP="001A21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45DB0C" wp14:editId="11F10326">
            <wp:extent cx="5943600" cy="7691755"/>
            <wp:effectExtent l="0" t="0" r="0" b="4445"/>
            <wp:docPr id="12" name="Picture 12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schematic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A15" w:rsidRPr="00963A15">
        <w:t xml:space="preserve"> </w:t>
      </w:r>
      <w:r w:rsidR="00963A15" w:rsidRPr="00963A15">
        <w:rPr>
          <w:b/>
          <w:bCs/>
        </w:rPr>
        <w:t>Supplementary Figure </w:t>
      </w:r>
      <w:r w:rsidR="00963A15" w:rsidRPr="00963A15">
        <w:rPr>
          <w:b/>
          <w:bCs/>
        </w:rPr>
        <w:t>2</w:t>
      </w:r>
      <w:r w:rsidRPr="00963A15">
        <w:rPr>
          <w:b/>
          <w:bCs/>
        </w:rPr>
        <w:t>.</w:t>
      </w:r>
      <w:r w:rsidRPr="00963A15">
        <w:rPr>
          <w:b/>
          <w:bCs/>
          <w:noProof/>
        </w:rPr>
        <w:t xml:space="preserve"> Distribution</w:t>
      </w:r>
      <w:r>
        <w:rPr>
          <w:b/>
          <w:bCs/>
          <w:noProof/>
        </w:rPr>
        <w:t xml:space="preserve"> and diversity of T cell</w:t>
      </w:r>
      <w:r w:rsidRPr="00F431D5">
        <w:rPr>
          <w:b/>
          <w:bCs/>
          <w:noProof/>
        </w:rPr>
        <w:t xml:space="preserve"> epitopes in RSV G protein.</w:t>
      </w:r>
      <w:r w:rsidRPr="00BB340E">
        <w:rPr>
          <w:noProof/>
        </w:rPr>
        <w:t xml:space="preserve"> </w:t>
      </w:r>
      <w:r>
        <w:rPr>
          <w:noProof/>
        </w:rPr>
        <w:t xml:space="preserve">The tree panel on the left is a time-scaled phylogeny build with RSV-A </w:t>
      </w:r>
      <w:r w:rsidRPr="00832FD4">
        <w:rPr>
          <w:b/>
          <w:bCs/>
          <w:noProof/>
        </w:rPr>
        <w:t>(A)</w:t>
      </w:r>
      <w:r>
        <w:rPr>
          <w:noProof/>
        </w:rPr>
        <w:t xml:space="preserve"> or RSV-B </w:t>
      </w:r>
      <w:r w:rsidRPr="00832FD4">
        <w:rPr>
          <w:b/>
          <w:bCs/>
          <w:noProof/>
        </w:rPr>
        <w:t>(B)</w:t>
      </w:r>
      <w:r>
        <w:rPr>
          <w:noProof/>
        </w:rPr>
        <w:t xml:space="preserve"> G gene nucleotide sequences using the ML approach. The clades that contain novel 72-nt or 60-nt </w:t>
      </w:r>
      <w:r>
        <w:rPr>
          <w:noProof/>
        </w:rPr>
        <w:lastRenderedPageBreak/>
        <w:t xml:space="preserve">duplication at the second hypervariable region of G gene were highlighted in red. Determined genotypes are labeled on the right with black bars. Each color column on the right side represents the </w:t>
      </w:r>
      <w:r>
        <w:t>presence of an MHC class I or class II epitope.</w:t>
      </w:r>
      <w:r>
        <w:rPr>
          <w:noProof/>
        </w:rPr>
        <w:t xml:space="preserve"> </w:t>
      </w:r>
      <w:r>
        <w:t>Only the</w:t>
      </w:r>
      <w:r>
        <w:rPr>
          <w:noProof/>
        </w:rPr>
        <w:t xml:space="preserve"> </w:t>
      </w:r>
      <w:r>
        <w:rPr>
          <w:color w:val="000000"/>
          <w:shd w:val="clear" w:color="auto" w:fill="FFFFFF"/>
        </w:rPr>
        <w:t>epitopes that are present in</w:t>
      </w:r>
      <w:r w:rsidRPr="00C73271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more than 1% </w:t>
      </w:r>
      <w:r w:rsidRPr="00C73271">
        <w:rPr>
          <w:color w:val="000000"/>
          <w:shd w:val="clear" w:color="auto" w:fill="FFFFFF"/>
        </w:rPr>
        <w:t>of sampled isolates</w:t>
      </w:r>
      <w:r>
        <w:rPr>
          <w:color w:val="000000"/>
          <w:shd w:val="clear" w:color="auto" w:fill="FFFFFF"/>
        </w:rPr>
        <w:t xml:space="preserve"> </w:t>
      </w:r>
      <w:r>
        <w:rPr>
          <w:noProof/>
        </w:rPr>
        <w:t>were displayed. The column color indicates different numbers of epitope sequences at the same location.</w:t>
      </w:r>
    </w:p>
    <w:p w14:paraId="33135A62" w14:textId="77777777" w:rsidR="001A2130" w:rsidRDefault="001A2130" w:rsidP="001A2130">
      <w:pPr>
        <w:rPr>
          <w:noProof/>
        </w:rPr>
      </w:pPr>
      <w:r>
        <w:rPr>
          <w:noProof/>
        </w:rPr>
        <w:br w:type="page"/>
      </w:r>
    </w:p>
    <w:p w14:paraId="087F379F" w14:textId="77777777" w:rsidR="001A2130" w:rsidRDefault="001A2130" w:rsidP="001A21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128D96" wp14:editId="70CEA9F3">
            <wp:extent cx="5943600" cy="4592955"/>
            <wp:effectExtent l="0" t="0" r="0" b="444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9652" w14:textId="77777777" w:rsidR="001A2130" w:rsidRDefault="001A2130" w:rsidP="001A2130"/>
    <w:p w14:paraId="06E48D2D" w14:textId="0224EC6B" w:rsidR="001A2130" w:rsidRDefault="00963A15" w:rsidP="001A2130">
      <w:r w:rsidRPr="00963A15">
        <w:rPr>
          <w:b/>
          <w:bCs/>
        </w:rPr>
        <w:t>Supplementary Figure </w:t>
      </w:r>
      <w:r w:rsidRPr="00963A15">
        <w:rPr>
          <w:b/>
          <w:bCs/>
        </w:rPr>
        <w:t>3</w:t>
      </w:r>
      <w:r w:rsidR="001A2130" w:rsidRPr="00963A15">
        <w:rPr>
          <w:b/>
          <w:bCs/>
        </w:rPr>
        <w:t>. Distribution</w:t>
      </w:r>
      <w:r w:rsidR="001A2130" w:rsidRPr="006B5DC4">
        <w:rPr>
          <w:b/>
          <w:bCs/>
        </w:rPr>
        <w:t xml:space="preserve"> of </w:t>
      </w:r>
      <w:proofErr w:type="spellStart"/>
      <w:r w:rsidR="001A2130" w:rsidRPr="006B5DC4">
        <w:rPr>
          <w:b/>
          <w:bCs/>
        </w:rPr>
        <w:t>JanusMatrix</w:t>
      </w:r>
      <w:proofErr w:type="spellEnd"/>
      <w:r w:rsidR="001A2130" w:rsidRPr="006B5DC4">
        <w:rPr>
          <w:b/>
          <w:bCs/>
        </w:rPr>
        <w:t xml:space="preserve"> Human Homology score for putative RSV MHC class I and class II epitopes</w:t>
      </w:r>
      <w:r w:rsidR="001A2130">
        <w:rPr>
          <w:b/>
          <w:bCs/>
        </w:rPr>
        <w:t xml:space="preserve">. </w:t>
      </w:r>
      <w:r w:rsidR="001A2130" w:rsidRPr="000F4A8A">
        <w:t xml:space="preserve">The cross-reactive </w:t>
      </w:r>
      <w:r w:rsidR="001A2130">
        <w:t xml:space="preserve">potential </w:t>
      </w:r>
      <w:r w:rsidR="001A2130" w:rsidRPr="000F4A8A">
        <w:t xml:space="preserve">of </w:t>
      </w:r>
      <w:r w:rsidR="001A2130">
        <w:t xml:space="preserve">identified </w:t>
      </w:r>
      <w:r w:rsidR="001A2130" w:rsidRPr="000F4A8A">
        <w:t xml:space="preserve">putative </w:t>
      </w:r>
      <w:r w:rsidR="001A2130">
        <w:t>T cell</w:t>
      </w:r>
      <w:r w:rsidR="001A2130" w:rsidRPr="000F4A8A">
        <w:t xml:space="preserve"> epitopes and human host was represent</w:t>
      </w:r>
      <w:r w:rsidR="001A2130">
        <w:t>ed</w:t>
      </w:r>
      <w:r w:rsidR="001A2130" w:rsidRPr="000F4A8A">
        <w:t xml:space="preserve"> with </w:t>
      </w:r>
      <w:r w:rsidR="001A2130">
        <w:t xml:space="preserve">a </w:t>
      </w:r>
      <w:proofErr w:type="spellStart"/>
      <w:r w:rsidR="001A2130" w:rsidRPr="000F4A8A">
        <w:t>JanusMatrix</w:t>
      </w:r>
      <w:proofErr w:type="spellEnd"/>
      <w:r w:rsidR="001A2130" w:rsidRPr="000F4A8A">
        <w:t xml:space="preserve"> Human Homology scor</w:t>
      </w:r>
      <w:r w:rsidR="001A2130">
        <w:t>e</w:t>
      </w:r>
      <w:r w:rsidR="001A2130" w:rsidRPr="00345C49">
        <w:rPr>
          <w:color w:val="000000"/>
        </w:rPr>
        <w:t>.</w:t>
      </w:r>
      <w:r w:rsidR="001A2130">
        <w:t xml:space="preserve"> </w:t>
      </w:r>
      <w:r w:rsidR="001A2130" w:rsidRPr="000F4A8A">
        <w:t xml:space="preserve">6.45% </w:t>
      </w:r>
      <w:r w:rsidR="001A2130">
        <w:t xml:space="preserve">identified putative </w:t>
      </w:r>
      <w:r w:rsidR="001A2130" w:rsidRPr="000F4A8A">
        <w:t>class I epitope</w:t>
      </w:r>
      <w:r w:rsidR="001A2130">
        <w:t>s</w:t>
      </w:r>
      <w:r w:rsidR="001A2130" w:rsidRPr="000F4A8A">
        <w:t xml:space="preserve"> and 1.12% class II epitope</w:t>
      </w:r>
      <w:r w:rsidR="001A2130">
        <w:t>s</w:t>
      </w:r>
      <w:r w:rsidR="001A2130" w:rsidRPr="000F4A8A">
        <w:t xml:space="preserve"> </w:t>
      </w:r>
      <w:r w:rsidR="001A2130">
        <w:t xml:space="preserve">are </w:t>
      </w:r>
      <w:proofErr w:type="gramStart"/>
      <w:r w:rsidR="001A2130">
        <w:t>cross-conserved</w:t>
      </w:r>
      <w:proofErr w:type="gramEnd"/>
      <w:r w:rsidR="001A2130">
        <w:t xml:space="preserve"> on the TCR face with human epitopes. </w:t>
      </w:r>
    </w:p>
    <w:p w14:paraId="0908B278" w14:textId="77777777" w:rsidR="001A2130" w:rsidRDefault="001A2130" w:rsidP="001A2130">
      <w:pPr>
        <w:rPr>
          <w:b/>
          <w:bCs/>
          <w:kern w:val="32"/>
        </w:rPr>
      </w:pPr>
      <w:r>
        <w:br w:type="page"/>
      </w:r>
    </w:p>
    <w:p w14:paraId="2DB36522" w14:textId="77777777" w:rsidR="001A2130" w:rsidRDefault="001A2130" w:rsidP="001A2130">
      <w:pPr>
        <w:pStyle w:val="SMHeading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435AD626" wp14:editId="0ED647D9">
            <wp:extent cx="4900626" cy="6342017"/>
            <wp:effectExtent l="0" t="0" r="1905" b="0"/>
            <wp:docPr id="1" name="Picture 1" descr="Calendar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626" cy="634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A463" w14:textId="52C45929" w:rsidR="001A2130" w:rsidRPr="006B5DC4" w:rsidRDefault="00963A15" w:rsidP="001A2130">
      <w:pPr>
        <w:pStyle w:val="SMHeading"/>
        <w:rPr>
          <w:b w:val="0"/>
          <w:bCs w:val="0"/>
        </w:rPr>
      </w:pPr>
      <w:r>
        <w:t xml:space="preserve">Supplementary </w:t>
      </w:r>
      <w:r w:rsidRPr="00F83F1F">
        <w:t>Figure </w:t>
      </w:r>
      <w:r>
        <w:t>4</w:t>
      </w:r>
      <w:r w:rsidR="001A2130" w:rsidRPr="006B5DC4">
        <w:t>. Predicted T cell epitope landscapes of RSV surface proteins</w:t>
      </w:r>
      <w:r w:rsidR="001A2130" w:rsidRPr="00C6374F">
        <w:t xml:space="preserve">. </w:t>
      </w:r>
      <w:r w:rsidR="001A2130" w:rsidRPr="006B5DC4">
        <w:rPr>
          <w:b w:val="0"/>
          <w:bCs w:val="0"/>
        </w:rPr>
        <w:t>RSV T cell epitope landscapes were built with sequenced-based MHC class I epitope binding prediction (left), MHC class II epitope binding prediction (middle) or combining class I and class II epitope biding prediction (right). Sequences are colored by the epitope cluster determined by epitope landscapes built with combining Class I and Class II epitope prediction</w:t>
      </w:r>
    </w:p>
    <w:p w14:paraId="491E5E67" w14:textId="77777777" w:rsidR="001A2130" w:rsidRDefault="001A2130" w:rsidP="001A2130">
      <w:r>
        <w:br w:type="page"/>
      </w:r>
    </w:p>
    <w:p w14:paraId="2D187999" w14:textId="77777777" w:rsidR="001A2130" w:rsidRDefault="001A2130" w:rsidP="001A2130">
      <w:pPr>
        <w:pStyle w:val="SMcaption"/>
      </w:pPr>
      <w:r>
        <w:rPr>
          <w:noProof/>
        </w:rPr>
        <w:lastRenderedPageBreak/>
        <w:drawing>
          <wp:inline distT="0" distB="0" distL="0" distR="0" wp14:anchorId="4D8F13B7" wp14:editId="04F4430D">
            <wp:extent cx="5943600" cy="45929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B6CE" w14:textId="09B4B277" w:rsidR="001A2130" w:rsidRDefault="00963A15" w:rsidP="001A2130">
      <w:r w:rsidRPr="00963A15">
        <w:rPr>
          <w:b/>
          <w:bCs/>
        </w:rPr>
        <w:t>Supplementary Figure </w:t>
      </w:r>
      <w:r w:rsidRPr="00963A15">
        <w:rPr>
          <w:b/>
          <w:bCs/>
        </w:rPr>
        <w:t>5</w:t>
      </w:r>
      <w:r w:rsidR="001A2130" w:rsidRPr="006B5DC4">
        <w:rPr>
          <w:b/>
          <w:bCs/>
        </w:rPr>
        <w:t>. Total within sum of squares (</w:t>
      </w:r>
      <w:proofErr w:type="spellStart"/>
      <w:r w:rsidR="001A2130" w:rsidRPr="006B5DC4">
        <w:rPr>
          <w:b/>
          <w:bCs/>
        </w:rPr>
        <w:t>wss</w:t>
      </w:r>
      <w:proofErr w:type="spellEnd"/>
      <w:r w:rsidR="001A2130" w:rsidRPr="006B5DC4">
        <w:rPr>
          <w:b/>
          <w:bCs/>
        </w:rPr>
        <w:t xml:space="preserve">) using </w:t>
      </w:r>
      <w:r w:rsidR="001A2130" w:rsidRPr="006B5DC4">
        <w:rPr>
          <w:b/>
          <w:bCs/>
          <w:i/>
          <w:iCs/>
        </w:rPr>
        <w:t>k-means</w:t>
      </w:r>
      <w:r w:rsidR="001A2130" w:rsidRPr="006B5DC4">
        <w:rPr>
          <w:b/>
          <w:bCs/>
        </w:rPr>
        <w:t xml:space="preserve"> algorithm.</w:t>
      </w:r>
      <w:r w:rsidR="001A2130">
        <w:rPr>
          <w:b/>
          <w:bCs/>
        </w:rPr>
        <w:t xml:space="preserve"> </w:t>
      </w:r>
      <w:r w:rsidR="001A2130">
        <w:t xml:space="preserve">Totals within sum of squares in epitope topographies were calculated after clustering into k (from 1 to 10) groups with </w:t>
      </w:r>
      <w:r w:rsidR="001A2130" w:rsidRPr="005258C4">
        <w:rPr>
          <w:i/>
          <w:iCs/>
        </w:rPr>
        <w:t>k-means</w:t>
      </w:r>
      <w:r w:rsidR="001A2130">
        <w:t>. The optimal number of clusters is determined to be 3 in the analysis of RSV-A F and G proteins and is determined to be 2 in the analysis of RSV-B F and G proteins using the Elbow method.</w:t>
      </w:r>
    </w:p>
    <w:p w14:paraId="065AB69C" w14:textId="77777777" w:rsidR="001A2130" w:rsidRDefault="001A2130" w:rsidP="001A2130">
      <w:pPr>
        <w:rPr>
          <w:b/>
          <w:bCs/>
        </w:rPr>
      </w:pPr>
      <w:r>
        <w:rPr>
          <w:b/>
          <w:bCs/>
        </w:rPr>
        <w:br w:type="page"/>
      </w:r>
    </w:p>
    <w:p w14:paraId="611C33DF" w14:textId="77777777" w:rsidR="001A2130" w:rsidRDefault="001A2130" w:rsidP="001A2130">
      <w:pPr>
        <w:pStyle w:val="SMcaption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BD0EF5" wp14:editId="54F3A08C">
            <wp:extent cx="4756237" cy="3675413"/>
            <wp:effectExtent l="0" t="0" r="6350" b="0"/>
            <wp:docPr id="8" name="Picture 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094" cy="367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CA81" w14:textId="7D377B6A" w:rsidR="001A2130" w:rsidRDefault="00963A15" w:rsidP="001A2130">
      <w:r w:rsidRPr="00963A15">
        <w:rPr>
          <w:b/>
          <w:bCs/>
        </w:rPr>
        <w:t>Supplementary Figure </w:t>
      </w:r>
      <w:r w:rsidRPr="00963A15">
        <w:rPr>
          <w:b/>
          <w:bCs/>
        </w:rPr>
        <w:t>6</w:t>
      </w:r>
      <w:r w:rsidR="001A2130">
        <w:rPr>
          <w:b/>
          <w:bCs/>
        </w:rPr>
        <w:t>.</w:t>
      </w:r>
      <w:r w:rsidR="001A2130" w:rsidRPr="006B5DC4">
        <w:rPr>
          <w:b/>
          <w:bCs/>
        </w:rPr>
        <w:t xml:space="preserve"> </w:t>
      </w:r>
      <w:r w:rsidR="001A2130">
        <w:rPr>
          <w:b/>
          <w:bCs/>
        </w:rPr>
        <w:t xml:space="preserve">Validation of T cell </w:t>
      </w:r>
      <w:r w:rsidR="001A2130" w:rsidRPr="0046144B">
        <w:rPr>
          <w:b/>
          <w:bCs/>
        </w:rPr>
        <w:t>epitope distance estimation</w:t>
      </w:r>
      <w:r w:rsidR="001A2130">
        <w:rPr>
          <w:b/>
          <w:bCs/>
        </w:rPr>
        <w:t xml:space="preserve"> using</w:t>
      </w:r>
      <w:r w:rsidR="001A2130" w:rsidRPr="0046144B">
        <w:rPr>
          <w:b/>
          <w:bCs/>
        </w:rPr>
        <w:t xml:space="preserve"> </w:t>
      </w:r>
      <w:r w:rsidR="001A2130">
        <w:rPr>
          <w:b/>
          <w:bCs/>
        </w:rPr>
        <w:t>the IEDB analysis resource</w:t>
      </w:r>
      <w:r w:rsidR="001A2130">
        <w:t xml:space="preserve">. Validation is performed with MHC class I epitope binding prediction of RSV-A F protein. </w:t>
      </w:r>
      <w:r w:rsidR="001A2130" w:rsidRPr="00832FD4">
        <w:rPr>
          <w:b/>
          <w:bCs/>
        </w:rPr>
        <w:t>(A)</w:t>
      </w:r>
      <w:r w:rsidR="001A2130">
        <w:t xml:space="preserve"> Heatmaps for pairwise MHC class I epitope distance estimated in </w:t>
      </w:r>
      <w:proofErr w:type="spellStart"/>
      <w:r w:rsidR="001A2130">
        <w:t>iVAX</w:t>
      </w:r>
      <w:proofErr w:type="spellEnd"/>
      <w:r w:rsidR="001A2130">
        <w:t xml:space="preserve"> toolkits or calculated with custom python scripts using MHC class I molecule binding prediction that is implemented in IEDB. </w:t>
      </w:r>
      <w:r w:rsidR="001A2130" w:rsidRPr="00832FD4">
        <w:rPr>
          <w:b/>
          <w:bCs/>
        </w:rPr>
        <w:t xml:space="preserve">(B) </w:t>
      </w:r>
      <w:r w:rsidR="001A2130">
        <w:t>Eigenvalues for each sequence are calculated from pairwise distance matrices using “</w:t>
      </w:r>
      <w:proofErr w:type="spellStart"/>
      <w:r w:rsidR="001A2130" w:rsidRPr="0046144B">
        <w:t>RSpectra</w:t>
      </w:r>
      <w:proofErr w:type="spellEnd"/>
      <w:r w:rsidR="001A2130">
        <w:t xml:space="preserve">” package in R. The Pearson correlation test significantly supports a non-zero correlation between T cell epitope distance estimated with </w:t>
      </w:r>
      <w:proofErr w:type="spellStart"/>
      <w:r w:rsidR="001A2130">
        <w:t>EpiCC</w:t>
      </w:r>
      <w:proofErr w:type="spellEnd"/>
      <w:r w:rsidR="001A2130">
        <w:t xml:space="preserve"> and T cell epitope distance estimated with IEDB. </w:t>
      </w:r>
      <w:r w:rsidR="001A2130" w:rsidRPr="00832FD4">
        <w:rPr>
          <w:b/>
          <w:bCs/>
        </w:rPr>
        <w:t>(C)</w:t>
      </w:r>
      <w:r w:rsidR="001A2130">
        <w:t xml:space="preserve"> T cell epitope topographies are built with pairwise epitope distances estimated from </w:t>
      </w:r>
      <w:proofErr w:type="spellStart"/>
      <w:r w:rsidR="001A2130">
        <w:t>EpiCC</w:t>
      </w:r>
      <w:proofErr w:type="spellEnd"/>
      <w:r w:rsidR="001A2130">
        <w:t xml:space="preserve"> or IEDB. Both methods resulted in a similar cluster pattern for the CD8 T cell epitope profile of RSV-A F protein.</w:t>
      </w:r>
    </w:p>
    <w:p w14:paraId="76AB7E31" w14:textId="77777777" w:rsidR="001A2130" w:rsidRPr="006B5DC4" w:rsidRDefault="001A2130" w:rsidP="001A2130">
      <w:pPr>
        <w:pStyle w:val="SMcaption"/>
        <w:rPr>
          <w:b/>
          <w:bCs/>
        </w:rPr>
      </w:pPr>
    </w:p>
    <w:p w14:paraId="2C151B02" w14:textId="77777777" w:rsidR="001A2130" w:rsidRDefault="001A2130" w:rsidP="001A2130">
      <w:r>
        <w:br w:type="page"/>
      </w:r>
    </w:p>
    <w:p w14:paraId="40B9E349" w14:textId="77777777" w:rsidR="001A2130" w:rsidRDefault="001A2130" w:rsidP="001A2130">
      <w:pPr>
        <w:pStyle w:val="SMcaption"/>
      </w:pPr>
      <w:r>
        <w:rPr>
          <w:noProof/>
        </w:rPr>
        <w:lastRenderedPageBreak/>
        <w:drawing>
          <wp:inline distT="0" distB="0" distL="0" distR="0" wp14:anchorId="21630902" wp14:editId="6F5D45A6">
            <wp:extent cx="5943600" cy="4592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2CE7" w14:textId="4512CA3E" w:rsidR="001A2130" w:rsidRPr="000556CB" w:rsidRDefault="00963A15" w:rsidP="001A2130">
      <w:r w:rsidRPr="00963A15">
        <w:rPr>
          <w:b/>
          <w:bCs/>
          <w:color w:val="2A2A2A"/>
          <w:shd w:val="clear" w:color="auto" w:fill="FFFFFF"/>
        </w:rPr>
        <w:t>Supplementary Figure </w:t>
      </w:r>
      <w:r w:rsidRPr="00963A15">
        <w:rPr>
          <w:b/>
          <w:bCs/>
          <w:color w:val="2A2A2A"/>
          <w:shd w:val="clear" w:color="auto" w:fill="FFFFFF"/>
        </w:rPr>
        <w:t>7</w:t>
      </w:r>
      <w:r w:rsidR="001A2130" w:rsidRPr="00963A15">
        <w:rPr>
          <w:b/>
          <w:bCs/>
          <w:color w:val="2A2A2A"/>
          <w:shd w:val="clear" w:color="auto" w:fill="FFFFFF"/>
        </w:rPr>
        <w:t xml:space="preserve">. </w:t>
      </w:r>
      <w:r w:rsidR="001A2130" w:rsidRPr="006B5DC4">
        <w:rPr>
          <w:b/>
          <w:bCs/>
          <w:color w:val="2A2A2A"/>
          <w:shd w:val="clear" w:color="auto" w:fill="FFFFFF"/>
        </w:rPr>
        <w:t>Evaluation of RSV vaccine candidate strains with T cell epitope content in different WHO regions</w:t>
      </w:r>
      <w:r w:rsidR="001A2130" w:rsidRPr="005258C4">
        <w:rPr>
          <w:color w:val="2A2A2A"/>
          <w:shd w:val="clear" w:color="auto" w:fill="FFFFFF"/>
        </w:rPr>
        <w:t>. RSV</w:t>
      </w:r>
      <w:r w:rsidR="001A2130">
        <w:t xml:space="preserve">-A and RSV-B major surface protein sequences were grouped by isolation year and 6 isolated WHO regions, </w:t>
      </w:r>
      <w:r w:rsidR="001A2130" w:rsidRPr="009B4BD6">
        <w:rPr>
          <w:color w:val="2A2A2A"/>
          <w:shd w:val="clear" w:color="auto" w:fill="FFFFFF"/>
        </w:rPr>
        <w:t xml:space="preserve">African Region (AFRO), Region of the Americas (PAHO), South-East Asia Region (SEARO), European Region (EURO), Eastern Mediterranean </w:t>
      </w:r>
      <w:r w:rsidR="001A2130">
        <w:rPr>
          <w:color w:val="2A2A2A"/>
          <w:shd w:val="clear" w:color="auto" w:fill="FFFFFF"/>
        </w:rPr>
        <w:t>R</w:t>
      </w:r>
      <w:r w:rsidR="001A2130" w:rsidRPr="009B4BD6">
        <w:rPr>
          <w:color w:val="2A2A2A"/>
          <w:shd w:val="clear" w:color="auto" w:fill="FFFFFF"/>
        </w:rPr>
        <w:t>egion (EMRO) and Western Pacific Region (WPRO)</w:t>
      </w:r>
      <w:r w:rsidR="001A2130">
        <w:rPr>
          <w:color w:val="2A2A2A"/>
          <w:shd w:val="clear" w:color="auto" w:fill="FFFFFF"/>
        </w:rPr>
        <w:t xml:space="preserve">. Each year group was labeled by the latest isolated year of sequences after the previous group label. </w:t>
      </w:r>
      <w:r w:rsidR="001A2130">
        <w:t>The proportion of cross-conserved T cell epitope content between vaccine strains (CP248 or CP52) and wild circulating strains in different year groups was represented by bar graphs.</w:t>
      </w:r>
    </w:p>
    <w:p w14:paraId="1CCDFC56" w14:textId="644A7C08" w:rsidR="0004496C" w:rsidRDefault="00963A15" w:rsidP="00DC4E89">
      <w:pPr>
        <w:spacing w:line="480" w:lineRule="auto"/>
      </w:pPr>
    </w:p>
    <w:sectPr w:rsidR="0004496C" w:rsidSect="006D581E"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AF2"/>
    <w:rsid w:val="00017EAB"/>
    <w:rsid w:val="001222B5"/>
    <w:rsid w:val="001A2130"/>
    <w:rsid w:val="00775D59"/>
    <w:rsid w:val="007B508D"/>
    <w:rsid w:val="00950AF2"/>
    <w:rsid w:val="009543FA"/>
    <w:rsid w:val="00963A15"/>
    <w:rsid w:val="00B00EA2"/>
    <w:rsid w:val="00BA46AF"/>
    <w:rsid w:val="00C74DDD"/>
    <w:rsid w:val="00DC4E89"/>
    <w:rsid w:val="00FB4DD9"/>
    <w:rsid w:val="00FF3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9FCD07"/>
  <w15:chartTrackingRefBased/>
  <w15:docId w15:val="{FCEEA52D-9DDF-A145-A489-71A60724B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AF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qFormat/>
    <w:rsid w:val="001A2130"/>
    <w:pPr>
      <w:keepNext/>
      <w:spacing w:before="240" w:after="60"/>
      <w:outlineLvl w:val="0"/>
    </w:pPr>
    <w:rPr>
      <w:b/>
      <w:bCs/>
      <w:kern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950AF2"/>
  </w:style>
  <w:style w:type="character" w:customStyle="1" w:styleId="Heading1Char">
    <w:name w:val="Heading 1 Char"/>
    <w:basedOn w:val="DefaultParagraphFont"/>
    <w:link w:val="Heading1"/>
    <w:rsid w:val="001A2130"/>
    <w:rPr>
      <w:rFonts w:ascii="Times New Roman" w:eastAsia="Times New Roman" w:hAnsi="Times New Roman" w:cs="Times New Roman"/>
      <w:b/>
      <w:bCs/>
      <w:kern w:val="32"/>
    </w:rPr>
  </w:style>
  <w:style w:type="character" w:styleId="Hyperlink">
    <w:name w:val="Hyperlink"/>
    <w:rsid w:val="001A2130"/>
    <w:rPr>
      <w:color w:val="0000FF"/>
      <w:u w:val="single"/>
    </w:rPr>
  </w:style>
  <w:style w:type="paragraph" w:customStyle="1" w:styleId="SMHeading">
    <w:name w:val="SM Heading"/>
    <w:basedOn w:val="Heading1"/>
    <w:qFormat/>
    <w:rsid w:val="001A2130"/>
  </w:style>
  <w:style w:type="paragraph" w:customStyle="1" w:styleId="SMcaption">
    <w:name w:val="SM caption"/>
    <w:basedOn w:val="Normal"/>
    <w:qFormat/>
    <w:rsid w:val="001A2130"/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justin.bahl@uga.edu" TargetMode="Externa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699</Words>
  <Characters>3988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Jiani Chen</dc:creator>
  <cp:keywords/>
  <dc:description/>
  <cp:lastModifiedBy>Jiani Chen</cp:lastModifiedBy>
  <cp:revision>4</cp:revision>
  <dcterms:created xsi:type="dcterms:W3CDTF">2022-02-01T20:42:00Z</dcterms:created>
  <dcterms:modified xsi:type="dcterms:W3CDTF">2022-03-15T04:08:00Z</dcterms:modified>
</cp:coreProperties>
</file>