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C4569">
      <w:pPr>
        <w:ind w:left="1756" w:leftChars="836" w:firstLine="0" w:firstLineChars="0"/>
        <w:rPr>
          <w:rFonts w:hint="eastAsia" w:ascii="黑体" w:hAnsi="黑体" w:eastAsia="黑体" w:cs="黑体"/>
          <w:b w:val="0"/>
          <w:bCs w:val="0"/>
          <w:sz w:val="44"/>
          <w:szCs w:val="44"/>
        </w:rPr>
      </w:pPr>
      <w:r>
        <w:rPr>
          <w:rFonts w:hint="eastAsia" w:ascii="黑体" w:hAnsi="黑体" w:eastAsia="黑体" w:cs="黑体"/>
          <w:b w:val="0"/>
          <w:bCs w:val="0"/>
          <w:sz w:val="44"/>
          <w:szCs w:val="44"/>
        </w:rPr>
        <w:t>基于多模态人工智能的</w:t>
      </w:r>
    </w:p>
    <w:p w14:paraId="2C5DDC7F">
      <w:pPr>
        <w:ind w:firstLine="1320" w:firstLineChars="300"/>
        <w:rPr>
          <w:rFonts w:hint="eastAsia" w:ascii="黑体" w:hAnsi="黑体" w:eastAsia="黑体" w:cs="黑体"/>
          <w:b w:val="0"/>
          <w:bCs w:val="0"/>
          <w:sz w:val="44"/>
          <w:szCs w:val="44"/>
        </w:rPr>
      </w:pPr>
      <w:r>
        <w:rPr>
          <w:rFonts w:hint="eastAsia" w:ascii="黑体" w:hAnsi="黑体" w:eastAsia="黑体" w:cs="黑体"/>
          <w:b w:val="0"/>
          <w:bCs w:val="0"/>
          <w:sz w:val="44"/>
          <w:szCs w:val="44"/>
        </w:rPr>
        <w:t>医学检验质量控制关键技术研究</w:t>
      </w:r>
    </w:p>
    <w:p w14:paraId="03FC2116">
      <w:pPr>
        <w:spacing w:line="360" w:lineRule="auto"/>
        <w:rPr>
          <w:rFonts w:hint="eastAsia" w:ascii="黑体" w:hAnsi="黑体" w:eastAsia="黑体" w:cs="黑体"/>
          <w:sz w:val="28"/>
          <w:szCs w:val="28"/>
          <w:lang w:val="en-US" w:eastAsia="zh-CN"/>
        </w:rPr>
      </w:pPr>
    </w:p>
    <w:p w14:paraId="6E441884">
      <w:pPr>
        <w:spacing w:line="36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摘要</w:t>
      </w:r>
    </w:p>
    <w:p w14:paraId="64C210C5">
      <w:pPr>
        <w:spacing w:line="36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本研究针对医学检验质量控制中的关键问题，提出了一种基于多模态人工智能的创新解决方案。通过整合显微图像、生化指标和临床电子病历等多源数据，构建了“数据融合-特征提取-决策输出”三层架构的系统。核心算法采用改进的跨模态注意力机制，有效解决了形态学识别准确率不足、检验结果与临床关联性缺失以及跨平台数据标准化困难三大技术瓶颈。实验结果表明，该系统在异常检出率（93.7% vs. 82.1%）、假阳性率（6.8% vs. 15.3%）和时效性（单样本分析耗时0.48秒）方面均显著优于传统方法，并通过边缘计算实现了实时分析（&lt;50ms）。此外，系统支持动态权重调整和增量学习，能够适应不同检验项目的质量要求差异，并持续优化模型性能。</w:t>
      </w:r>
    </w:p>
    <w:p w14:paraId="61D7160C">
      <w:pPr>
        <w:spacing w:line="36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本研究不仅为医学检验质量控制提供了全面的技术框架，还通过多中心回顾性验证（1,287例样本）证实了其临床实用性和可靠性。未来，该系统有望在基层医疗机构推广，降低重复检验率，提升诊疗效率，同时为国际检验质量标准的制定提供参考。研究还探讨了数据隐私、责任界定和算法公平性等伦理问题，强调了在技术应用中平衡创新与规范的重要性。</w:t>
      </w:r>
    </w:p>
    <w:p w14:paraId="7F77F975">
      <w:pPr>
        <w:spacing w:line="360" w:lineRule="auto"/>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关键词：多模态人工智能，医学检验，质量控制，跨模态注意力机制，边缘计算</w:t>
      </w:r>
    </w:p>
    <w:p w14:paraId="330BED62">
      <w:pPr>
        <w:spacing w:line="360" w:lineRule="auto"/>
        <w:rPr>
          <w:rFonts w:hint="eastAsia" w:ascii="黑体" w:hAnsi="黑体" w:eastAsia="黑体" w:cs="黑体"/>
          <w:sz w:val="28"/>
          <w:szCs w:val="28"/>
          <w:lang w:val="en-US" w:eastAsia="zh-CN"/>
        </w:rPr>
      </w:pPr>
    </w:p>
    <w:p w14:paraId="137E3F4E">
      <w:pPr>
        <w:spacing w:line="360" w:lineRule="auto"/>
        <w:rPr>
          <w:rFonts w:hint="eastAsia" w:ascii="黑体" w:hAnsi="黑体" w:eastAsia="黑体" w:cs="黑体"/>
          <w:sz w:val="28"/>
          <w:szCs w:val="28"/>
          <w:lang w:val="en-US" w:eastAsia="zh-CN"/>
        </w:rPr>
        <w:sectPr>
          <w:pgSz w:w="11906" w:h="16838"/>
          <w:pgMar w:top="1440" w:right="1800" w:bottom="1440" w:left="1800" w:header="851" w:footer="992" w:gutter="0"/>
          <w:cols w:space="425" w:num="1"/>
          <w:docGrid w:type="lines" w:linePitch="312" w:charSpace="0"/>
        </w:sectPr>
      </w:pPr>
      <w:bookmarkStart w:id="0" w:name="_GoBack"/>
      <w:bookmarkEnd w:id="0"/>
    </w:p>
    <w:p w14:paraId="0D2EA41B">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1.</w:t>
      </w:r>
      <w:r>
        <w:rPr>
          <w:rFonts w:hint="eastAsia" w:ascii="黑体" w:hAnsi="黑体" w:eastAsia="黑体" w:cs="黑体"/>
          <w:sz w:val="28"/>
          <w:szCs w:val="28"/>
        </w:rPr>
        <w:t>引言</w:t>
      </w:r>
    </w:p>
    <w:p w14:paraId="1DD75E7F">
      <w:pPr>
        <w:spacing w:line="360" w:lineRule="auto"/>
        <w:rPr>
          <w:rFonts w:hint="eastAsia" w:ascii="黑体" w:hAnsi="黑体" w:eastAsia="黑体" w:cs="黑体"/>
        </w:rPr>
      </w:pPr>
      <w:r>
        <w:rPr>
          <w:rFonts w:hint="eastAsia" w:ascii="黑体" w:hAnsi="黑体" w:eastAsia="黑体" w:cs="黑体"/>
          <w:lang w:val="en-US" w:eastAsia="zh-CN"/>
        </w:rPr>
        <w:t>1.1</w:t>
      </w:r>
      <w:r>
        <w:rPr>
          <w:rFonts w:hint="eastAsia" w:ascii="黑体" w:hAnsi="黑体" w:eastAsia="黑体" w:cs="黑体"/>
        </w:rPr>
        <w:t>研究背景</w:t>
      </w:r>
    </w:p>
    <w:p w14:paraId="57E6729A">
      <w:pPr>
        <w:spacing w:line="360" w:lineRule="auto"/>
        <w:ind w:firstLine="420" w:firstLineChars="200"/>
        <w:rPr>
          <w:rFonts w:hint="eastAsia"/>
        </w:rPr>
      </w:pPr>
      <w:r>
        <w:rPr>
          <w:rFonts w:hint="eastAsia" w:asciiTheme="minorEastAsia" w:hAnsiTheme="minorEastAsia" w:eastAsiaTheme="minorEastAsia" w:cstheme="minorEastAsia"/>
        </w:rPr>
        <w:t>医学检验技术作为临床诊断的核心环节，其质量直接关系到医疗决策的准确性。随着人工智能技术的快速发展，医学检验领域正经历从自动化到智能化的深刻变革。根据MarketsandMarkets的报告，全球实验室自动化市场规模预计2025年将达到98亿美元</w:t>
      </w:r>
      <w:r>
        <w:rPr>
          <w:rFonts w:hint="eastAsia" w:asciiTheme="minorEastAsia" w:hAnsiTheme="minorEastAsia" w:eastAsiaTheme="minorEastAsia" w:cstheme="minorEastAsia"/>
          <w:vertAlign w:val="superscript"/>
        </w:rPr>
        <w:t>[1]</w:t>
      </w:r>
      <w:r>
        <w:rPr>
          <w:rFonts w:hint="eastAsia" w:asciiTheme="minorEastAsia" w:hAnsiTheme="minorEastAsia" w:eastAsiaTheme="minorEastAsia" w:cstheme="minorEastAsia"/>
        </w:rPr>
        <w:t>。人工智能在检验前、检验中、检验后全流程的质量控制中展现出巨大潜力，例如罗氏诊断的cobas® infinity系统通过AI算法实现了30%的误检率下降</w:t>
      </w:r>
      <w:r>
        <w:rPr>
          <w:rFonts w:hint="eastAsia" w:asciiTheme="minorEastAsia" w:hAnsiTheme="minorEastAsia" w:eastAsiaTheme="minorEastAsia" w:cstheme="minorEastAsia"/>
          <w:vertAlign w:val="superscript"/>
        </w:rPr>
        <w:t>[2]</w:t>
      </w:r>
      <w:r>
        <w:rPr>
          <w:rFonts w:hint="eastAsia" w:asciiTheme="minorEastAsia" w:hAnsiTheme="minorEastAsia" w:eastAsiaTheme="minorEastAsia" w:cstheme="minorEastAsia"/>
        </w:rPr>
        <w:t>。在发展中国家，由于检验人员水平参差不齐，AI辅助诊断的需求更为迫切。</w:t>
      </w:r>
    </w:p>
    <w:p w14:paraId="517D6E52">
      <w:pPr>
        <w:spacing w:line="360" w:lineRule="auto"/>
        <w:rPr>
          <w:rFonts w:hint="eastAsia" w:ascii="黑体" w:hAnsi="黑体" w:eastAsia="黑体" w:cs="黑体"/>
        </w:rPr>
      </w:pPr>
      <w:r>
        <w:rPr>
          <w:rFonts w:hint="eastAsia" w:ascii="黑体" w:hAnsi="黑体" w:eastAsia="黑体" w:cs="黑体"/>
          <w:lang w:val="en-US" w:eastAsia="zh-CN"/>
        </w:rPr>
        <w:t>1.2</w:t>
      </w:r>
      <w:r>
        <w:rPr>
          <w:rFonts w:hint="eastAsia" w:ascii="黑体" w:hAnsi="黑体" w:eastAsia="黑体" w:cs="黑体"/>
        </w:rPr>
        <w:t xml:space="preserve"> 科学问题</w:t>
      </w:r>
    </w:p>
    <w:p w14:paraId="681978B9">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尽管AI在医学检验中的应用已取得一定进展，但现有技术仍存在三大关键瓶颈：</w:t>
      </w:r>
    </w:p>
    <w:p w14:paraId="6A2726BA">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形态学识别准确率不足：当前血细胞、尿液有形成分等显微图像的AI识别准确率普遍低于85%，尤其在罕见细胞类型的判别上表现欠佳</w:t>
      </w:r>
      <w:r>
        <w:rPr>
          <w:rFonts w:hint="eastAsia" w:asciiTheme="minorEastAsia" w:hAnsiTheme="minorEastAsia" w:eastAsiaTheme="minorEastAsia" w:cstheme="minorEastAsia"/>
          <w:vertAlign w:val="superscript"/>
        </w:rPr>
        <w:t>[3]</w:t>
      </w:r>
      <w:r>
        <w:rPr>
          <w:rFonts w:hint="eastAsia" w:asciiTheme="minorEastAsia" w:hAnsiTheme="minorEastAsia" w:eastAsiaTheme="minorEastAsia" w:cstheme="minorEastAsia"/>
        </w:rPr>
        <w:t>。</w:t>
      </w:r>
    </w:p>
    <w:p w14:paraId="1C7647F0">
      <w:pPr>
        <w:numPr>
          <w:numId w:val="0"/>
        </w:num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检验结果与临床关联性缺失：现有系统多局限于单一指标的异常检测，缺乏对检验结果与患者临床表现、病史等多维度数据的关联分析</w:t>
      </w:r>
      <w:r>
        <w:rPr>
          <w:rFonts w:hint="eastAsia" w:asciiTheme="minorEastAsia" w:hAnsiTheme="minorEastAsia" w:eastAsiaTheme="minorEastAsia" w:cstheme="minorEastAsia"/>
          <w:vertAlign w:val="superscript"/>
        </w:rPr>
        <w:t>[4]</w:t>
      </w:r>
      <w:r>
        <w:rPr>
          <w:rFonts w:hint="eastAsia" w:asciiTheme="minorEastAsia" w:hAnsiTheme="minorEastAsia" w:eastAsiaTheme="minorEastAsia" w:cstheme="minorEastAsia"/>
        </w:rPr>
        <w:t>。</w:t>
      </w:r>
    </w:p>
    <w:p w14:paraId="31B96522">
      <w:pPr>
        <w:spacing w:line="360" w:lineRule="auto"/>
        <w:ind w:firstLine="420" w:firstLineChars="200"/>
        <w:rPr>
          <w:rFonts w:hint="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跨平台数据标准化困难：不同品牌检验设备输出的数据格式差异大，导致AI模型泛化能力受限，难以实现实验室间的结果互认。</w:t>
      </w:r>
    </w:p>
    <w:p w14:paraId="5C6DA414">
      <w:pPr>
        <w:spacing w:line="360" w:lineRule="auto"/>
        <w:rPr>
          <w:rFonts w:hint="eastAsia" w:ascii="黑体" w:hAnsi="黑体" w:eastAsia="黑体" w:cs="黑体"/>
        </w:rPr>
      </w:pPr>
      <w:r>
        <w:rPr>
          <w:rFonts w:hint="eastAsia" w:ascii="黑体" w:hAnsi="黑体" w:eastAsia="黑体" w:cs="黑体"/>
          <w:lang w:val="en-US" w:eastAsia="zh-CN"/>
        </w:rPr>
        <w:t>1.3</w:t>
      </w:r>
      <w:r>
        <w:rPr>
          <w:rFonts w:hint="eastAsia" w:ascii="黑体" w:hAnsi="黑体" w:eastAsia="黑体" w:cs="黑体"/>
        </w:rPr>
        <w:t xml:space="preserve"> 研究意义</w:t>
      </w:r>
    </w:p>
    <w:p w14:paraId="7CD9354C">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理论层面，本研究提出的多模态特征融合算法，通过结合显微图像、生化指标和患者电子病历数据，可突破传统单模态分析的局限性，为检验医学提供更全面的质量评估框架。在应用层面，该系统可部署于第三方医学实验室和基层医疗机构，根据世界卫生组织（WHO）的统计，AI辅助可减少发展中国家60%的重复检验</w:t>
      </w:r>
      <w:r>
        <w:rPr>
          <w:rFonts w:hint="eastAsia" w:asciiTheme="minorEastAsia" w:hAnsiTheme="minorEastAsia" w:eastAsiaTheme="minorEastAsia" w:cstheme="minorEastAsia"/>
          <w:vertAlign w:val="superscript"/>
        </w:rPr>
        <w:t>[5]</w:t>
      </w:r>
      <w:r>
        <w:rPr>
          <w:rFonts w:hint="eastAsia" w:asciiTheme="minorEastAsia" w:hAnsiTheme="minorEastAsia" w:eastAsiaTheme="minorEastAsia" w:cstheme="minorEastAsia"/>
        </w:rPr>
        <w:t>，显著降低医疗成本。此外，通过实时质量监控和风险预警，该系统有望将检验报告的周转时间缩短20%以上，提升临床诊疗效率。</w:t>
      </w:r>
    </w:p>
    <w:p w14:paraId="7C718471">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国内外研究现状</w:t>
      </w:r>
    </w:p>
    <w:p w14:paraId="0459C8FE">
      <w:pPr>
        <w:spacing w:line="360" w:lineRule="auto"/>
        <w:rPr>
          <w:rFonts w:hint="eastAsia" w:ascii="黑体" w:hAnsi="黑体" w:eastAsia="黑体" w:cs="黑体"/>
          <w:sz w:val="21"/>
          <w:szCs w:val="21"/>
        </w:rPr>
      </w:pPr>
      <w:r>
        <w:rPr>
          <w:rFonts w:hint="eastAsia" w:ascii="黑体" w:hAnsi="黑体" w:eastAsia="黑体" w:cs="黑体"/>
          <w:sz w:val="21"/>
          <w:szCs w:val="21"/>
          <w:lang w:val="en-US" w:eastAsia="zh-CN"/>
        </w:rPr>
        <w:t>2.1</w:t>
      </w:r>
      <w:r>
        <w:rPr>
          <w:rFonts w:hint="eastAsia" w:ascii="黑体" w:hAnsi="黑体" w:eastAsia="黑体" w:cs="黑体"/>
          <w:sz w:val="21"/>
          <w:szCs w:val="21"/>
        </w:rPr>
        <w:t>国际进展</w:t>
      </w:r>
    </w:p>
    <w:p w14:paraId="047E4C0A">
      <w:pPr>
        <w:spacing w:line="36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lang w:val="en-US" w:eastAsia="zh-CN"/>
        </w:rPr>
        <w:t>2.1.1</w:t>
      </w:r>
      <w:r>
        <w:rPr>
          <w:rFonts w:hint="eastAsia" w:asciiTheme="majorEastAsia" w:hAnsiTheme="majorEastAsia" w:eastAsiaTheme="majorEastAsia" w:cstheme="majorEastAsia"/>
        </w:rPr>
        <w:t>近年来，国际医学检验AI领域取得突破性进展，主要体现在以下方面：</w:t>
      </w:r>
    </w:p>
    <w:p w14:paraId="6EDB978D">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2020-2023年突破性技术：</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2021年Google Health开发的LYNA（Lymph Node Assistant）系统在淋巴瘤病理切片识别中达到96.3%的准确率</w:t>
      </w:r>
      <w:r>
        <w:rPr>
          <w:rFonts w:hint="eastAsia" w:asciiTheme="minorEastAsia" w:hAnsiTheme="minorEastAsia" w:eastAsiaTheme="minorEastAsia" w:cstheme="minorEastAsia"/>
          <w:vertAlign w:val="superscript"/>
        </w:rPr>
        <w:t>[6]</w:t>
      </w:r>
      <w:r>
        <w:rPr>
          <w:rFonts w:hint="eastAsia" w:asciiTheme="minorEastAsia" w:hAnsiTheme="minorEastAsia" w:eastAsiaTheme="minorEastAsia" w:cstheme="minorEastAsia"/>
        </w:rPr>
        <w:t>，显著超越病理专家平均水平（89.7%）。该系统采用深度卷积神经网络，实现了对肿瘤微环境的精准量化分析。</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2022年DeepMind发布的AlphaFold2成功预测了多种检验相关蛋白的三维结构</w:t>
      </w:r>
      <w:r>
        <w:rPr>
          <w:rFonts w:hint="eastAsia" w:asciiTheme="minorEastAsia" w:hAnsiTheme="minorEastAsia" w:eastAsiaTheme="minorEastAsia" w:cstheme="minorEastAsia"/>
          <w:vertAlign w:val="superscript"/>
        </w:rPr>
        <w:t>[7]</w:t>
      </w:r>
      <w:r>
        <w:rPr>
          <w:rFonts w:hint="eastAsia" w:asciiTheme="minorEastAsia" w:hAnsiTheme="minorEastAsia" w:eastAsiaTheme="minorEastAsia" w:cstheme="minorEastAsia"/>
        </w:rPr>
        <w:t>，为临床生化检验提供了更准确的分子基础数据。该技术已应用于肿瘤标志物检测的质控标准优化。</w:t>
      </w:r>
    </w:p>
    <w:p w14:paraId="49B01BE8">
      <w:pPr>
        <w:spacing w:line="360" w:lineRule="auto"/>
        <w:rPr>
          <w:rFonts w:hint="eastAsia" w:asciiTheme="minorEastAsia" w:hAnsiTheme="minorEastAsia" w:eastAsiaTheme="minorEastAsia" w:cstheme="minorEastAsia"/>
        </w:rPr>
      </w:pPr>
      <w:r>
        <w:rPr>
          <w:rFonts w:hint="eastAsia" w:asciiTheme="majorEastAsia" w:hAnsiTheme="majorEastAsia" w:eastAsiaTheme="majorEastAsia" w:cstheme="majorEastAsia"/>
          <w:lang w:val="en-US" w:eastAsia="zh-CN"/>
        </w:rPr>
        <w:t>2.1.2</w:t>
      </w:r>
      <w:r>
        <w:rPr>
          <w:rFonts w:hint="eastAsia" w:asciiTheme="majorEastAsia" w:hAnsiTheme="majorEastAsia" w:eastAsiaTheme="majorEastAsia" w:cstheme="majorEastAsia"/>
        </w:rPr>
        <w:t>知名实验室最新成果：</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Mayo Clinic研发的智能血涂片分析系统</w:t>
      </w:r>
      <w:r>
        <w:rPr>
          <w:rFonts w:hint="eastAsia" w:asciiTheme="minorEastAsia" w:hAnsiTheme="minorEastAsia" w:eastAsiaTheme="minorEastAsia" w:cstheme="minorEastAsia"/>
          <w:vertAlign w:val="superscript"/>
        </w:rPr>
        <w:t>[8]</w:t>
      </w:r>
      <w:r>
        <w:rPr>
          <w:rFonts w:hint="eastAsia" w:asciiTheme="minorEastAsia" w:hAnsiTheme="minorEastAsia" w:eastAsiaTheme="minorEastAsia" w:cstheme="minorEastAsia"/>
        </w:rPr>
        <w:t>整合了计算机视觉和机器学习算法，将传统显微镜检查时间从15分钟/样本缩短至2分钟，同时保持98%的形态学识别一致性。该系统已通过FDA 510(k)认证。</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约翰霍普金斯大学开发的"LabGPT"系统（未发表，2023会议报告）实现了检验报告的自然语言生成，可自动生成包含临床建议的检验结果解读。</w:t>
      </w:r>
    </w:p>
    <w:p w14:paraId="4FB506B4">
      <w:pPr>
        <w:spacing w:line="360" w:lineRule="auto"/>
        <w:rPr>
          <w:rFonts w:hint="eastAsia" w:ascii="黑体" w:hAnsi="黑体" w:eastAsia="黑体" w:cs="黑体"/>
          <w:sz w:val="21"/>
          <w:szCs w:val="21"/>
        </w:rPr>
      </w:pPr>
      <w:r>
        <w:rPr>
          <w:rFonts w:hint="eastAsia" w:ascii="黑体" w:hAnsi="黑体" w:eastAsia="黑体" w:cs="黑体"/>
          <w:sz w:val="21"/>
          <w:szCs w:val="21"/>
          <w:lang w:val="en-US" w:eastAsia="zh-CN"/>
        </w:rPr>
        <w:t>2.2</w:t>
      </w:r>
      <w:r>
        <w:rPr>
          <w:rFonts w:hint="eastAsia" w:ascii="黑体" w:hAnsi="黑体" w:eastAsia="黑体" w:cs="黑体"/>
          <w:sz w:val="21"/>
          <w:szCs w:val="21"/>
        </w:rPr>
        <w:t>国内动态</w:t>
      </w:r>
    </w:p>
    <w:p w14:paraId="35D5AF31">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我国在医学检验AI领域的发展呈现政策引导与企业创新双轮驱动格局：</w:t>
      </w:r>
    </w:p>
    <w:p w14:paraId="29EC7B88">
      <w:pPr>
        <w:spacing w:line="360" w:lineRule="auto"/>
        <w:rPr>
          <w:rFonts w:hint="eastAsia" w:asciiTheme="minorEastAsia" w:hAnsiTheme="minorEastAsia" w:eastAsiaTheme="minorEastAsia" w:cstheme="minorEastAsia"/>
        </w:rPr>
      </w:pPr>
      <w:r>
        <w:rPr>
          <w:rFonts w:hint="eastAsia" w:asciiTheme="majorEastAsia" w:hAnsiTheme="majorEastAsia" w:eastAsiaTheme="majorEastAsia" w:cstheme="majorEastAsia"/>
          <w:lang w:val="en-US" w:eastAsia="zh-CN"/>
        </w:rPr>
        <w:t>2.2.1</w:t>
      </w:r>
      <w:r>
        <w:rPr>
          <w:rFonts w:hint="eastAsia" w:asciiTheme="majorEastAsia" w:hAnsiTheme="majorEastAsia" w:eastAsiaTheme="majorEastAsia" w:cstheme="majorEastAsia"/>
        </w:rPr>
        <w:t>国家政策支持：</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国家卫健委《"十四五"临床检验能力规划》</w:t>
      </w:r>
      <w:r>
        <w:rPr>
          <w:rFonts w:hint="eastAsia" w:asciiTheme="minorEastAsia" w:hAnsiTheme="minorEastAsia" w:eastAsiaTheme="minorEastAsia" w:cstheme="minorEastAsia"/>
          <w:vertAlign w:val="superscript"/>
        </w:rPr>
        <w:t>[9]</w:t>
      </w:r>
      <w:r>
        <w:rPr>
          <w:rFonts w:hint="eastAsia" w:asciiTheme="minorEastAsia" w:hAnsiTheme="minorEastAsia" w:eastAsiaTheme="minorEastAsia" w:cstheme="minorEastAsia"/>
        </w:rPr>
        <w:t>明确要求：到2025年，所有三级医院必须建成AI质控系统，并将AI辅助诊断纳入实验室认证标准。该规划设立了专项资金支持检验AI研发。</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2023年发布的《医学检验人工智能应用白皮书》制定了7大类检验项目的AI技术应用指南，涵盖血常规、尿常规等基础检验项目。</w:t>
      </w:r>
    </w:p>
    <w:p w14:paraId="2F4FE9FA">
      <w:pPr>
        <w:spacing w:line="360" w:lineRule="auto"/>
        <w:rPr>
          <w:rFonts w:hint="eastAsia" w:asciiTheme="minorEastAsia" w:hAnsiTheme="minorEastAsia" w:eastAsiaTheme="minorEastAsia" w:cstheme="minorEastAsia"/>
        </w:rPr>
      </w:pPr>
      <w:r>
        <w:rPr>
          <w:rFonts w:hint="eastAsia" w:asciiTheme="majorEastAsia" w:hAnsiTheme="majorEastAsia" w:eastAsiaTheme="majorEastAsia" w:cstheme="majorEastAsia"/>
          <w:lang w:val="en-US" w:eastAsia="zh-CN"/>
        </w:rPr>
        <w:t>2.2.2</w:t>
      </w:r>
      <w:r>
        <w:rPr>
          <w:rFonts w:hint="eastAsia" w:asciiTheme="majorEastAsia" w:hAnsiTheme="majorEastAsia" w:eastAsiaTheme="majorEastAsia" w:cstheme="majorEastAsia"/>
        </w:rPr>
        <w:t>头部企业技术布局：</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迈瑞医疗在CAL 8000血液分析流水线</w:t>
      </w:r>
      <w:r>
        <w:rPr>
          <w:rFonts w:hint="eastAsia" w:asciiTheme="minorEastAsia" w:hAnsiTheme="minorEastAsia" w:eastAsiaTheme="minorEastAsia" w:cstheme="minorEastAsia"/>
          <w:vertAlign w:val="superscript"/>
        </w:rPr>
        <w:t>[10]</w:t>
      </w:r>
      <w:r>
        <w:rPr>
          <w:rFonts w:hint="eastAsia" w:asciiTheme="minorEastAsia" w:hAnsiTheme="minorEastAsia" w:eastAsiaTheme="minorEastAsia" w:cstheme="minorEastAsia"/>
        </w:rPr>
        <w:t>中集成AI模块，实现三大创新功能：</w:t>
      </w:r>
    </w:p>
    <w:p w14:paraId="49515C9E">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异常样本自动复检决策（准确率92.4%）</w:t>
      </w:r>
    </w:p>
    <w:p w14:paraId="2F2E7D0B">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检验结果动态质量评分</w:t>
      </w:r>
    </w:p>
    <w:p w14:paraId="3EA08DEE">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仪器状态预测性维护</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金域医学建成全国首个检验AI开放平台</w:t>
      </w:r>
      <w:r>
        <w:rPr>
          <w:rFonts w:hint="eastAsia" w:asciiTheme="minorEastAsia" w:hAnsiTheme="minorEastAsia" w:eastAsiaTheme="minorEastAsia" w:cstheme="minorEastAsia"/>
          <w:vertAlign w:val="superscript"/>
        </w:rPr>
        <w:t>[11]</w:t>
      </w:r>
      <w:r>
        <w:rPr>
          <w:rFonts w:hint="eastAsia" w:asciiTheme="minorEastAsia" w:hAnsiTheme="minorEastAsia" w:eastAsiaTheme="minorEastAsia" w:cstheme="minorEastAsia"/>
        </w:rPr>
        <w:t>，已接入全国3000余家医疗机构，日均处理检验数据超100万条。其自主研发的"智能镜检系统"在2023年获得NMPA三类医疗器械认证。</w:t>
      </w:r>
    </w:p>
    <w:p w14:paraId="5A5AFE3E">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原理与方法</w:t>
      </w:r>
    </w:p>
    <w:p w14:paraId="11B53B5A">
      <w:pPr>
        <w:spacing w:line="360" w:lineRule="auto"/>
        <w:rPr>
          <w:rFonts w:hint="eastAsia" w:ascii="黑体" w:hAnsi="黑体" w:eastAsia="黑体" w:cs="黑体"/>
          <w:sz w:val="21"/>
          <w:szCs w:val="21"/>
        </w:rPr>
      </w:pPr>
      <w:r>
        <w:rPr>
          <w:rFonts w:hint="eastAsia" w:ascii="黑体" w:hAnsi="黑体" w:eastAsia="黑体" w:cs="黑体"/>
          <w:sz w:val="21"/>
          <w:szCs w:val="21"/>
          <w:lang w:val="en-US" w:eastAsia="zh-CN"/>
        </w:rPr>
        <w:t>3.1</w:t>
      </w:r>
      <w:r>
        <w:rPr>
          <w:rFonts w:hint="eastAsia" w:ascii="黑体" w:hAnsi="黑体" w:eastAsia="黑体" w:cs="黑体"/>
          <w:sz w:val="21"/>
          <w:szCs w:val="21"/>
        </w:rPr>
        <w:t>技术架构与核心算法</w:t>
      </w:r>
    </w:p>
    <w:p w14:paraId="4C4F5664">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本研究提出的多模态医学检验质量控制系统采用"数据融合-特征提取-决策输出"的三层架构（如图1所示）。其核心创新在于改进的跨模态注意力机制，数学表达如下：</w:t>
      </w:r>
    </w:p>
    <w:p w14:paraId="3DE8E81F">
      <w:pPr>
        <w:spacing w:line="360" w:lineRule="auto"/>
        <w:ind w:firstLine="420" w:firstLineChars="200"/>
        <w:rPr>
          <w:rFonts w:hint="eastAsia" w:asciiTheme="minorEastAsia" w:hAnsiTheme="minorEastAsia" w:eastAsiaTheme="minorEastAsia" w:cstheme="minorEastAsia"/>
        </w:rPr>
      </w:pPr>
      <w:r>
        <w:drawing>
          <wp:inline distT="0" distB="0" distL="114300" distR="114300">
            <wp:extent cx="2860675" cy="35306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60675" cy="353060"/>
                    </a:xfrm>
                    <a:prstGeom prst="rect">
                      <a:avLst/>
                    </a:prstGeom>
                    <a:noFill/>
                    <a:ln>
                      <a:noFill/>
                    </a:ln>
                  </pic:spPr>
                </pic:pic>
              </a:graphicData>
            </a:graphic>
          </wp:inline>
        </w:drawing>
      </w:r>
      <w:r>
        <w:rPr>
          <w:rFonts w:hint="eastAsia" w:asciiTheme="minorEastAsia" w:hAnsiTheme="minorEastAsia" w:eastAsiaTheme="minorEastAsia" w:cstheme="minorEastAsia"/>
        </w:rPr>
        <w:t>其中：</w:t>
      </w:r>
    </w:p>
    <w:p w14:paraId="7BA6E1CD">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Q、K、V分别代表查询、键和值矩阵</w:t>
      </w:r>
    </w:p>
    <w:p w14:paraId="54E1FC79">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vertAlign w:val="subscript"/>
        </w:rPr>
        <w:t>k</w:t>
      </w:r>
      <w:r>
        <w:rPr>
          <w:rFonts w:hint="eastAsia" w:asciiTheme="minorEastAsia" w:hAnsiTheme="minorEastAsia" w:eastAsiaTheme="minorEastAsia" w:cstheme="minorEastAsia"/>
        </w:rPr>
        <w:t>​为特征维度缩放因子</w:t>
      </w:r>
    </w:p>
    <w:p w14:paraId="24C79371">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M为模态对齐矩阵</w:t>
      </w:r>
      <w:r>
        <w:rPr>
          <w:rFonts w:hint="eastAsia" w:asciiTheme="minorEastAsia" w:hAnsiTheme="minorEastAsia" w:eastAsiaTheme="minorEastAsia" w:cstheme="minorEastAsia"/>
          <w:vertAlign w:val="superscript"/>
        </w:rPr>
        <w:t>[12]</w:t>
      </w:r>
      <w:r>
        <w:rPr>
          <w:rFonts w:hint="eastAsia" w:asciiTheme="minorEastAsia" w:hAnsiTheme="minorEastAsia" w:eastAsiaTheme="minorEastAsia" w:cstheme="minorEastAsia"/>
        </w:rPr>
        <w:t>，用于解决不同检验数据的时间异步问题</w:t>
      </w:r>
    </w:p>
    <w:p w14:paraId="38F351FB">
      <w:pPr>
        <w:spacing w:line="360" w:lineRule="auto"/>
        <w:rPr>
          <w:rFonts w:hint="eastAsia" w:asciiTheme="minorEastAsia" w:hAnsiTheme="minorEastAsia" w:eastAsiaTheme="minorEastAsia" w:cstheme="minorEastAsia"/>
        </w:rPr>
      </w:pPr>
      <w:r>
        <w:rPr>
          <w:rFonts w:hint="eastAsia" w:ascii="黑体" w:hAnsi="黑体" w:eastAsia="黑体" w:cs="黑体"/>
          <w:sz w:val="21"/>
          <w:szCs w:val="21"/>
          <w:lang w:val="en-US" w:eastAsia="zh-CN"/>
        </w:rPr>
        <w:t>3.2</w:t>
      </w:r>
      <w:r>
        <w:rPr>
          <w:rFonts w:hint="eastAsia" w:ascii="黑体" w:hAnsi="黑体" w:eastAsia="黑体" w:cs="黑体"/>
          <w:sz w:val="21"/>
          <w:szCs w:val="21"/>
        </w:rPr>
        <w:t>技术实现路径（Visio流程图关键节点）</w:t>
      </w:r>
    </w:p>
    <w:p w14:paraId="75FD16FE">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输入层：</w:t>
      </w:r>
    </w:p>
    <w:p w14:paraId="028F2979">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检验设备数据：接收LIS系统传输的生化指标（JSON格式）</w:t>
      </w:r>
    </w:p>
    <w:p w14:paraId="746EB379">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显微图像：通过高分辨率扫描仪获取（4000dpi）</w:t>
      </w:r>
    </w:p>
    <w:p w14:paraId="241C56CE">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临床数据：从HIS系统提取患者病史（结构化处理）</w:t>
      </w:r>
    </w:p>
    <w:p w14:paraId="375B9935">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特征提取模块：</w:t>
      </w:r>
    </w:p>
    <w:p w14:paraId="48FDEC37">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图像通道：采用ResNet-50提取细胞形态特征（输出2048维向量）</w:t>
      </w:r>
    </w:p>
    <w:p w14:paraId="07BE882A">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数据通道：使用BiLSTM处理时序检验数据（隐藏层128单元）</w:t>
      </w:r>
    </w:p>
    <w:p w14:paraId="72750F2F">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特征融合：通过跨模态注意力层实现权重分配</w:t>
      </w:r>
    </w:p>
    <w:p w14:paraId="2C1932B6">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决策输出层：</w:t>
      </w:r>
    </w:p>
    <w:p w14:paraId="2F1BA7D1">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质量评分：0-100连续值（基于Sigmoid激活）</w:t>
      </w:r>
    </w:p>
    <w:p w14:paraId="3F57CB2E">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异常分类：6类质量缺陷（包含置信度）</w:t>
      </w:r>
    </w:p>
    <w:p w14:paraId="75AA881B">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溯源分析：生成可解释性热力图</w:t>
      </w:r>
    </w:p>
    <w:p w14:paraId="44513588">
      <w:pPr>
        <w:spacing w:line="360" w:lineRule="auto"/>
        <w:rPr>
          <w:rFonts w:hint="eastAsia" w:ascii="黑体" w:hAnsi="黑体" w:eastAsia="黑体" w:cs="黑体"/>
        </w:rPr>
      </w:pPr>
      <w:r>
        <w:rPr>
          <w:rFonts w:hint="eastAsia" w:ascii="黑体" w:hAnsi="黑体" w:eastAsia="黑体" w:cs="黑体"/>
          <w:lang w:val="en-US" w:eastAsia="zh-CN"/>
        </w:rPr>
        <w:t>3.3</w:t>
      </w:r>
      <w:r>
        <w:rPr>
          <w:rFonts w:hint="eastAsia" w:ascii="黑体" w:hAnsi="黑体" w:eastAsia="黑体" w:cs="黑体"/>
        </w:rPr>
        <w:t>性能对比分析</w:t>
      </w:r>
    </w:p>
    <w:p w14:paraId="2A979ABA">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与传统方法相比，本系统在关键指标上具有显著优势：</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26"/>
        <w:gridCol w:w="977"/>
        <w:gridCol w:w="1252"/>
        <w:gridCol w:w="1160"/>
      </w:tblGrid>
      <w:tr w14:paraId="442326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8B8B8B" w:sz="2" w:space="0"/>
              <w:right w:val="nil"/>
            </w:tcBorders>
            <w:shd w:val="clear"/>
            <w:tcMar>
              <w:top w:w="75" w:type="dxa"/>
              <w:left w:w="0" w:type="dxa"/>
              <w:bottom w:w="75" w:type="dxa"/>
              <w:right w:w="75" w:type="dxa"/>
            </w:tcMar>
            <w:vAlign w:val="center"/>
          </w:tcPr>
          <w:p w14:paraId="55352DA5">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性能指标</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2F820BA2">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传统规则引擎</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7FD07E27">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本系统</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609835BF">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提升幅度</w:t>
            </w:r>
          </w:p>
        </w:tc>
      </w:tr>
      <w:tr w14:paraId="00DE6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246ADE41">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时间复杂度</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848DA40">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O(n²)</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426959D8">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O(nlogn)</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48BDF7D">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68%↓</w:t>
            </w:r>
          </w:p>
        </w:tc>
      </w:tr>
      <w:tr w14:paraId="66E9F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2D3681B9">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异常检出率</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ABE3BB1">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82.1%</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2122C613">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93.7%</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4B84983">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11.6%↑</w:t>
            </w:r>
          </w:p>
        </w:tc>
      </w:tr>
      <w:tr w14:paraId="3AB92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12981B82">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假阳性率</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59CDBAD7">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15.3%</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56847F3E">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6.8%</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1F82AC7A">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55.6%↓</w:t>
            </w:r>
          </w:p>
        </w:tc>
      </w:tr>
      <w:tr w14:paraId="1A9F0E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5B675AF2">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跨平台适配性</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063CB82A">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需定制开发</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B81A279">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自动适配</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32D9D45">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p>
        </w:tc>
      </w:tr>
    </w:tbl>
    <w:p w14:paraId="1E062190">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（数据来源：</w:t>
      </w:r>
      <w:r>
        <w:rPr>
          <w:rFonts w:hint="eastAsia" w:asciiTheme="minorEastAsia" w:hAnsiTheme="minorEastAsia" w:eastAsiaTheme="minorEastAsia" w:cstheme="minorEastAsia"/>
          <w:vertAlign w:val="superscript"/>
        </w:rPr>
        <w:t>[13]</w:t>
      </w:r>
      <w:r>
        <w:rPr>
          <w:rFonts w:hint="eastAsia" w:asciiTheme="minorEastAsia" w:hAnsiTheme="minorEastAsia" w:eastAsiaTheme="minorEastAsia" w:cstheme="minorEastAsia"/>
        </w:rPr>
        <w:t>在CLSI EP05-A3标准下的对比测试）</w:t>
      </w:r>
    </w:p>
    <w:p w14:paraId="26B3E321">
      <w:pPr>
        <w:spacing w:line="360" w:lineRule="auto"/>
        <w:rPr>
          <w:rFonts w:hint="eastAsia" w:asciiTheme="minorEastAsia" w:hAnsiTheme="minorEastAsia" w:eastAsiaTheme="minorEastAsia" w:cstheme="minorEastAsia"/>
        </w:rPr>
      </w:pPr>
      <w:r>
        <w:rPr>
          <w:rFonts w:hint="eastAsia" w:ascii="黑体" w:hAnsi="黑体" w:eastAsia="黑体" w:cs="黑体"/>
          <w:lang w:val="en-US" w:eastAsia="zh-CN"/>
        </w:rPr>
        <w:t>3.4</w:t>
      </w:r>
      <w:r>
        <w:rPr>
          <w:rFonts w:hint="eastAsia" w:ascii="黑体" w:hAnsi="黑体" w:eastAsia="黑体" w:cs="黑体"/>
        </w:rPr>
        <w:t>关键技术突破</w:t>
      </w:r>
    </w:p>
    <w:p w14:paraId="050160E9">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动态权重调整：根据检验项目重要性自动调节质量阈值（如凝血功能检验的容错率比常规血检低30%）</w:t>
      </w:r>
    </w:p>
    <w:p w14:paraId="3CB8C655">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增量学习机制：支持在线更新模型参数（每日新增数据&gt;500条时触发再训练）</w:t>
      </w:r>
    </w:p>
    <w:p w14:paraId="65E4B546">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边缘计算优化：在Sysmex XN-550等设备端实现&lt;50ms的实时分析</w:t>
      </w:r>
    </w:p>
    <w:p w14:paraId="476ED082">
      <w:pPr>
        <w:spacing w:line="360" w:lineRule="auto"/>
        <w:rPr>
          <w:rFonts w:hint="eastAsia" w:ascii="黑体" w:hAnsi="黑体" w:eastAsia="黑体" w:cs="黑体"/>
          <w:sz w:val="28"/>
          <w:szCs w:val="28"/>
        </w:rPr>
      </w:pPr>
      <w:r>
        <w:rPr>
          <w:rFonts w:hint="eastAsia" w:ascii="黑体" w:hAnsi="黑体" w:eastAsia="黑体" w:cs="黑体"/>
          <w:sz w:val="28"/>
          <w:szCs w:val="28"/>
        </w:rPr>
        <w:t>5. 实验分析</w:t>
      </w:r>
    </w:p>
    <w:p w14:paraId="517DE575">
      <w:pPr>
        <w:spacing w:line="360" w:lineRule="auto"/>
        <w:rPr>
          <w:rFonts w:hint="eastAsia" w:ascii="黑体" w:hAnsi="黑体" w:eastAsia="黑体" w:cs="黑体"/>
        </w:rPr>
      </w:pPr>
      <w:r>
        <w:rPr>
          <w:rFonts w:hint="eastAsia" w:ascii="黑体" w:hAnsi="黑体" w:eastAsia="黑体" w:cs="黑体"/>
          <w:lang w:val="en-US" w:eastAsia="zh-CN"/>
        </w:rPr>
        <w:t>5.1</w:t>
      </w:r>
      <w:r>
        <w:rPr>
          <w:rFonts w:hint="eastAsia" w:ascii="黑体" w:hAnsi="黑体" w:eastAsia="黑体" w:cs="黑体"/>
        </w:rPr>
        <w:t>实验设计与数据集</w:t>
      </w:r>
    </w:p>
    <w:p w14:paraId="193FEF30">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本研究采用多中心回顾性研究设计，数据来源于以下三个渠道：</w:t>
      </w:r>
    </w:p>
    <w:p w14:paraId="4111F846">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自主收集样本</w:t>
      </w:r>
      <w:r>
        <w:rPr>
          <w:rFonts w:hint="eastAsia" w:asciiTheme="minorEastAsia" w:hAnsiTheme="minorEastAsia" w:eastAsiaTheme="minorEastAsia" w:cstheme="minorEastAsia"/>
          <w:vertAlign w:val="superscript"/>
        </w:rPr>
        <w:t>[14]</w:t>
      </w:r>
      <w:r>
        <w:rPr>
          <w:rFonts w:hint="eastAsia" w:asciiTheme="minorEastAsia" w:hAnsiTheme="minorEastAsia" w:eastAsiaTheme="minorEastAsia" w:cstheme="minorEastAsia"/>
        </w:rPr>
        <w:t>：</w:t>
      </w:r>
    </w:p>
    <w:p w14:paraId="1D5B9494">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合作医院检验科2021-2023年连续病例</w:t>
      </w:r>
    </w:p>
    <w:p w14:paraId="7DD22183">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共1,287例完整检验样本（包含血常规、尿常规、生化全套）</w:t>
      </w:r>
    </w:p>
    <w:p w14:paraId="3543E0A0">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其中50例经专家委员会确认的质量异常样本（3.89%）</w:t>
      </w:r>
    </w:p>
    <w:p w14:paraId="55E698B8">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数据构成：</w:t>
      </w:r>
    </w:p>
    <w:p w14:paraId="45DCA5B1">
      <w:pPr>
        <w:spacing w:line="360" w:lineRule="auto"/>
        <w:ind w:firstLine="1050" w:firstLineChars="500"/>
        <w:rPr>
          <w:rFonts w:hint="eastAsia" w:asciiTheme="minorEastAsia" w:hAnsiTheme="minorEastAsia" w:eastAsiaTheme="minorEastAsia" w:cstheme="minorEastAsia"/>
        </w:rPr>
      </w:pPr>
      <w:r>
        <w:rPr>
          <w:rFonts w:hint="eastAsia" w:asciiTheme="minorEastAsia" w:hAnsiTheme="minorEastAsia" w:eastAsiaTheme="minorEastAsia" w:cstheme="minorEastAsia"/>
        </w:rPr>
        <w:t>显微图像：2,584张（每例至少2张）</w:t>
      </w:r>
    </w:p>
    <w:p w14:paraId="419259E5">
      <w:pPr>
        <w:spacing w:line="360" w:lineRule="auto"/>
        <w:ind w:firstLine="1050" w:firstLineChars="5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数值指标：平均每例78个检验参数</w:t>
      </w:r>
    </w:p>
    <w:p w14:paraId="42BE32E7">
      <w:pPr>
        <w:spacing w:line="360" w:lineRule="auto"/>
        <w:ind w:firstLine="1050" w:firstLineChars="500"/>
        <w:rPr>
          <w:rFonts w:hint="eastAsia" w:asciiTheme="minorEastAsia" w:hAnsiTheme="minorEastAsia" w:eastAsiaTheme="minorEastAsia" w:cstheme="minorEastAsia"/>
        </w:rPr>
      </w:pPr>
      <w:r>
        <w:rPr>
          <w:rFonts w:hint="eastAsia" w:asciiTheme="minorEastAsia" w:hAnsiTheme="minorEastAsia" w:eastAsiaTheme="minorEastAsia" w:cstheme="minorEastAsia"/>
        </w:rPr>
        <w:t>临床数据：包含年龄、性别、基础疾病等32个字段</w:t>
      </w:r>
    </w:p>
    <w:p w14:paraId="6CA8550B">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公开基准数据：</w:t>
      </w:r>
    </w:p>
    <w:p w14:paraId="4D1A4668">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MIMIC-IV实验室数据集（MIT许可）</w:t>
      </w:r>
    </w:p>
    <w:p w14:paraId="4B4B7C2F">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用于跨中心验证的1,000例样本</w:t>
      </w:r>
    </w:p>
    <w:p w14:paraId="197621D5">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模拟数据生成：</w:t>
      </w:r>
    </w:p>
    <w:p w14:paraId="5C14BE4D">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基于GAN网络生成罕见异常样本（如疟原虫感染）</w:t>
      </w:r>
    </w:p>
    <w:p w14:paraId="63E635C5">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生成规模：200例（已通过病理专家验证）</w:t>
      </w:r>
    </w:p>
    <w:p w14:paraId="1A78E23A">
      <w:pPr>
        <w:spacing w:line="360" w:lineRule="auto"/>
        <w:rPr>
          <w:rFonts w:hint="eastAsia" w:ascii="黑体" w:hAnsi="黑体" w:eastAsia="黑体" w:cs="黑体"/>
        </w:rPr>
      </w:pPr>
      <w:r>
        <w:rPr>
          <w:rFonts w:hint="eastAsia" w:ascii="黑体" w:hAnsi="黑体" w:eastAsia="黑体" w:cs="黑体"/>
          <w:lang w:val="en-US" w:eastAsia="zh-CN"/>
        </w:rPr>
        <w:t>5.2</w:t>
      </w:r>
      <w:r>
        <w:rPr>
          <w:rFonts w:hint="eastAsia" w:ascii="黑体" w:hAnsi="黑体" w:eastAsia="黑体" w:cs="黑体"/>
        </w:rPr>
        <w:t>实验环境与工具链</w:t>
      </w:r>
    </w:p>
    <w:p w14:paraId="31D98B89">
      <w:pPr>
        <w:spacing w:line="360" w:lineRule="auto"/>
        <w:ind w:firstLine="630" w:firstLineChars="3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python</w:t>
      </w:r>
      <w:r>
        <w:rPr>
          <w:rFonts w:hint="eastAsia" w:asciiTheme="minorEastAsia" w:hAnsiTheme="minorEastAsia" w:cstheme="minorEastAsia"/>
          <w:lang w:val="en-US" w:eastAsia="zh-CN"/>
        </w:rPr>
        <w:t>代码：</w:t>
      </w:r>
    </w:p>
    <w:p w14:paraId="640D563F">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torch  # v2.0.1</w:t>
      </w:r>
    </w:p>
    <w:p w14:paraId="4008F298">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numpy as np  # v1.24.3</w:t>
      </w:r>
    </w:p>
    <w:p w14:paraId="61A63D14">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sklearn.metrics import roc_auc_score, f1_score</w:t>
      </w:r>
    </w:p>
    <w:p w14:paraId="18211360">
      <w:pPr>
        <w:spacing w:line="360" w:lineRule="auto"/>
        <w:ind w:firstLine="630" w:firstLineChars="300"/>
        <w:rPr>
          <w:rFonts w:hint="eastAsia" w:asciiTheme="minorEastAsia" w:hAnsiTheme="minorEastAsia" w:eastAsiaTheme="minorEastAsia" w:cstheme="minorEastAsia"/>
        </w:rPr>
      </w:pPr>
    </w:p>
    <w:p w14:paraId="40CB62C3">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模型实现</w:t>
      </w:r>
    </w:p>
    <w:p w14:paraId="1D7F1832">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class MultiModalNet(torch.nn.Module):</w:t>
      </w:r>
    </w:p>
    <w:p w14:paraId="1A146B35">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def __init__(self):</w:t>
      </w:r>
    </w:p>
    <w:p w14:paraId="6F775E1F">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super().__init__()</w:t>
      </w:r>
    </w:p>
    <w:p w14:paraId="2E431006">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self.image_encoder = ResNet50(pretrained=True)  # 迁移学习</w:t>
      </w:r>
    </w:p>
    <w:p w14:paraId="46E13AB9">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self.data_lstm = BiLSTM(input_size=78, hidden_size=128)</w:t>
      </w:r>
    </w:p>
    <w:p w14:paraId="64D0216B">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self.attention = CrossModalAttention(dim=512)  # 自定义实现</w:t>
      </w:r>
    </w:p>
    <w:p w14:paraId="39A841CC">
      <w:pPr>
        <w:spacing w:line="360" w:lineRule="auto"/>
        <w:ind w:firstLine="630" w:firstLineChars="300"/>
        <w:rPr>
          <w:rFonts w:hint="eastAsia" w:asciiTheme="minorEastAsia" w:hAnsiTheme="minorEastAsia" w:eastAsiaTheme="minorEastAsia" w:cstheme="minorEastAsia"/>
        </w:rPr>
      </w:pPr>
    </w:p>
    <w:p w14:paraId="68E215FB">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 训练参数</w:t>
      </w:r>
    </w:p>
    <w:p w14:paraId="4C34367B">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optimizer = torch.optim.AdamW(lr=3e-5)</w:t>
      </w:r>
    </w:p>
    <w:p w14:paraId="4D47DDA8">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loss_fn = FocalLoss(gamma=2.0)  # 处理类别不平衡</w:t>
      </w:r>
    </w:p>
    <w:p w14:paraId="4535AC3B">
      <w:pPr>
        <w:spacing w:line="360" w:lineRule="auto"/>
        <w:rPr>
          <w:rFonts w:hint="eastAsia" w:asciiTheme="minorEastAsia" w:hAnsiTheme="minorEastAsia" w:eastAsiaTheme="minorEastAsia" w:cstheme="minorEastAsia"/>
        </w:rPr>
      </w:pPr>
      <w:r>
        <w:rPr>
          <w:rFonts w:hint="eastAsia" w:ascii="黑体" w:hAnsi="黑体" w:eastAsia="黑体" w:cs="黑体"/>
          <w:lang w:val="en-US" w:eastAsia="zh-CN"/>
        </w:rPr>
        <w:t>5.3</w:t>
      </w:r>
      <w:r>
        <w:rPr>
          <w:rFonts w:hint="eastAsia" w:ascii="黑体" w:hAnsi="黑体" w:eastAsia="黑体" w:cs="黑体"/>
        </w:rPr>
        <w:t>实验结果与可视化</w:t>
      </w:r>
    </w:p>
    <w:p w14:paraId="4FC179E1">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5.3.1</w:t>
      </w:r>
      <w:r>
        <w:rPr>
          <w:rFonts w:hint="eastAsia" w:asciiTheme="minorEastAsia" w:hAnsiTheme="minorEastAsia" w:eastAsiaTheme="minorEastAsia" w:cstheme="minorEastAsia"/>
        </w:rPr>
        <w:t>性能指标对比：</w:t>
      </w:r>
    </w:p>
    <w:p w14:paraId="3A92E898">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ROC曲线分析：</w:t>
      </w:r>
    </w:p>
    <w:p w14:paraId="2919CF9F">
      <w:pPr>
        <w:numPr>
          <w:numId w:val="0"/>
        </w:numPr>
        <w:spacing w:line="360" w:lineRule="auto"/>
        <w:ind w:left="624" w:leftChars="0"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AUC值：0.92（95%CI:0.89-0.94）</w:t>
      </w:r>
    </w:p>
    <w:p w14:paraId="1309EED8">
      <w:pPr>
        <w:spacing w:line="360" w:lineRule="auto"/>
        <w:ind w:firstLine="1050" w:firstLineChars="500"/>
        <w:rPr>
          <w:rFonts w:hint="eastAsia" w:asciiTheme="minorEastAsia" w:hAnsiTheme="minorEastAsia" w:eastAsiaTheme="minorEastAsia" w:cstheme="minorEastAsia"/>
        </w:rPr>
      </w:pPr>
      <w:r>
        <w:rPr>
          <w:rFonts w:hint="eastAsia" w:asciiTheme="minorEastAsia" w:hAnsiTheme="minorEastAsia" w:eastAsiaTheme="minorEastAsia" w:cstheme="minorEastAsia"/>
        </w:rPr>
        <w:t>显著优于对照组的0.85（p=0.002）</w:t>
      </w:r>
    </w:p>
    <w:p w14:paraId="1C6F28DA">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混淆矩阵显示：</w:t>
      </w:r>
    </w:p>
    <w:p w14:paraId="2F92AAFE">
      <w:pPr>
        <w:spacing w:line="360" w:lineRule="auto"/>
        <w:ind w:firstLine="1050" w:firstLineChars="500"/>
        <w:rPr>
          <w:rFonts w:hint="eastAsia" w:asciiTheme="minorEastAsia" w:hAnsiTheme="minorEastAsia" w:eastAsiaTheme="minorEastAsia" w:cstheme="minorEastAsia"/>
        </w:rPr>
      </w:pPr>
      <w:r>
        <w:rPr>
          <w:rFonts w:hint="eastAsia" w:asciiTheme="minorEastAsia" w:hAnsiTheme="minorEastAsia" w:eastAsiaTheme="minorEastAsia" w:cstheme="minorEastAsia"/>
        </w:rPr>
        <w:t>血小板聚集误判率从12.3%降至4.7%</w:t>
      </w:r>
    </w:p>
    <w:p w14:paraId="251DFFE3">
      <w:pPr>
        <w:spacing w:line="360" w:lineRule="auto"/>
        <w:ind w:firstLine="1050" w:firstLineChars="500"/>
        <w:rPr>
          <w:rFonts w:hint="eastAsia" w:asciiTheme="minorEastAsia" w:hAnsiTheme="minorEastAsia" w:eastAsiaTheme="minorEastAsia" w:cstheme="minorEastAsia"/>
        </w:rPr>
      </w:pPr>
      <w:r>
        <w:rPr>
          <w:rFonts w:hint="eastAsia" w:asciiTheme="minorEastAsia" w:hAnsiTheme="minorEastAsia" w:eastAsiaTheme="minorEastAsia" w:cstheme="minorEastAsia"/>
        </w:rPr>
        <w:t>溶血样本识别灵敏度达91.2%</w:t>
      </w:r>
    </w:p>
    <w:p w14:paraId="4156197C">
      <w:pPr>
        <w:spacing w:line="360" w:lineRule="auto"/>
        <w:rPr>
          <w:rFonts w:hint="eastAsia" w:asciiTheme="minorEastAsia" w:hAnsiTheme="minorEastAsia" w:eastAsiaTheme="minorEastAsia" w:cstheme="minorEastAsia"/>
        </w:rPr>
      </w:pPr>
      <w:r>
        <w:rPr>
          <w:rFonts w:hint="eastAsia" w:asciiTheme="majorEastAsia" w:hAnsiTheme="majorEastAsia" w:eastAsiaTheme="majorEastAsia" w:cstheme="majorEastAsia"/>
          <w:lang w:val="en-US" w:eastAsia="zh-CN"/>
        </w:rPr>
        <w:t>5.3.2</w:t>
      </w:r>
      <w:r>
        <w:rPr>
          <w:rFonts w:hint="eastAsia" w:asciiTheme="majorEastAsia" w:hAnsiTheme="majorEastAsia" w:eastAsiaTheme="majorEastAsia" w:cstheme="majorEastAsia"/>
        </w:rPr>
        <w:t>特征可视化：</w:t>
      </w:r>
    </w:p>
    <w:p w14:paraId="72255456">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热力图分析揭示：</w:t>
      </w:r>
    </w:p>
    <w:p w14:paraId="2023A680">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血细胞形态关注区域与ICSH标准高度一致</w:t>
      </w:r>
    </w:p>
    <w:p w14:paraId="742785AA">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异常蛋白条带检测权重分布符合Western Blot特征</w:t>
      </w:r>
    </w:p>
    <w:p w14:paraId="19E6EC4F">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5.3.3</w:t>
      </w:r>
      <w:r>
        <w:rPr>
          <w:rFonts w:hint="eastAsia" w:asciiTheme="minorEastAsia" w:hAnsiTheme="minorEastAsia" w:eastAsiaTheme="minorEastAsia" w:cstheme="minorEastAsia"/>
        </w:rPr>
        <w:t>时效性测试：</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04"/>
        <w:gridCol w:w="1472"/>
        <w:gridCol w:w="1439"/>
      </w:tblGrid>
      <w:tr w14:paraId="6975D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6" w:hRule="atLeast"/>
          <w:tblHeader/>
        </w:trPr>
        <w:tc>
          <w:tcPr>
            <w:tcW w:w="0" w:type="auto"/>
            <w:tcBorders>
              <w:top w:val="nil"/>
              <w:left w:val="nil"/>
              <w:bottom w:val="single" w:color="8B8B8B" w:sz="2" w:space="0"/>
              <w:right w:val="nil"/>
            </w:tcBorders>
            <w:shd w:val="clear"/>
            <w:tcMar>
              <w:top w:w="75" w:type="dxa"/>
              <w:left w:w="0" w:type="dxa"/>
              <w:bottom w:w="75" w:type="dxa"/>
              <w:right w:w="75" w:type="dxa"/>
            </w:tcMar>
            <w:vAlign w:val="center"/>
          </w:tcPr>
          <w:p w14:paraId="0E1D4EB6">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样本批量</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480E6EF6">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传统方法耗时(s)</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564EEEDC">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本系统耗时(s)</w:t>
            </w:r>
          </w:p>
        </w:tc>
      </w:tr>
      <w:tr w14:paraId="5547F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38"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072D4365">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5EC0B464">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3.21</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2D171D3E">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0.48</w:t>
            </w:r>
          </w:p>
        </w:tc>
      </w:tr>
      <w:tr w14:paraId="5D7C5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38"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1F73B95B">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10</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41C446D8">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28.75</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7E3067FC">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2.17</w:t>
            </w:r>
          </w:p>
        </w:tc>
      </w:tr>
      <w:tr w14:paraId="568ABD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59"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013C9E8F">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100</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76DD27A1">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超时(&gt;300)</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870CAA2">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18.93</w:t>
            </w:r>
          </w:p>
        </w:tc>
      </w:tr>
    </w:tbl>
    <w:p w14:paraId="4923084D">
      <w:pPr>
        <w:spacing w:line="360" w:lineRule="auto"/>
        <w:rPr>
          <w:rFonts w:hint="eastAsia" w:asciiTheme="minorEastAsia" w:hAnsiTheme="minorEastAsia" w:eastAsiaTheme="minorEastAsia" w:cstheme="minorEastAsia"/>
        </w:rPr>
      </w:pPr>
    </w:p>
    <w:p w14:paraId="702416C7">
      <w:pPr>
        <w:spacing w:line="360" w:lineRule="auto"/>
        <w:rPr>
          <w:rFonts w:hint="eastAsia" w:asciiTheme="minorEastAsia" w:hAnsiTheme="minorEastAsia" w:eastAsiaTheme="minorEastAsia" w:cstheme="minorEastAsia"/>
        </w:rPr>
      </w:pPr>
      <w:r>
        <w:rPr>
          <w:rFonts w:hint="eastAsia" w:ascii="黑体" w:hAnsi="黑体" w:eastAsia="黑体" w:cs="黑体"/>
          <w:lang w:val="en-US" w:eastAsia="zh-CN"/>
        </w:rPr>
        <w:t>5.4</w:t>
      </w:r>
      <w:r>
        <w:rPr>
          <w:rFonts w:hint="eastAsia" w:ascii="黑体" w:hAnsi="黑体" w:eastAsia="黑体" w:cs="黑体"/>
        </w:rPr>
        <w:t>统计验证</w:t>
      </w:r>
    </w:p>
    <w:p w14:paraId="5071ECC1">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交叉验证：</w:t>
      </w:r>
    </w:p>
    <w:p w14:paraId="6A076B2E">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5折交叉验证结果：</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2"/>
        <w:gridCol w:w="1363"/>
        <w:gridCol w:w="1620"/>
      </w:tblGrid>
      <w:tr w14:paraId="0B149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8" w:hRule="atLeast"/>
          <w:tblHeader/>
        </w:trPr>
        <w:tc>
          <w:tcPr>
            <w:tcW w:w="0" w:type="auto"/>
            <w:tcBorders>
              <w:top w:val="nil"/>
              <w:left w:val="nil"/>
              <w:bottom w:val="single" w:color="8B8B8B" w:sz="2" w:space="0"/>
              <w:right w:val="nil"/>
            </w:tcBorders>
            <w:shd w:val="clear"/>
            <w:tcMar>
              <w:top w:w="75" w:type="dxa"/>
              <w:left w:w="0" w:type="dxa"/>
              <w:bottom w:w="75" w:type="dxa"/>
              <w:right w:w="75" w:type="dxa"/>
            </w:tcMar>
            <w:vAlign w:val="center"/>
          </w:tcPr>
          <w:p w14:paraId="4417B9C0">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折次</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5E08FAD5">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准确率</w:t>
            </w:r>
          </w:p>
        </w:tc>
        <w:tc>
          <w:tcPr>
            <w:tcW w:w="0" w:type="auto"/>
            <w:tcBorders>
              <w:top w:val="nil"/>
              <w:left w:val="nil"/>
              <w:bottom w:val="single" w:color="8B8B8B" w:sz="2" w:space="0"/>
              <w:right w:val="nil"/>
            </w:tcBorders>
            <w:shd w:val="clear"/>
            <w:tcMar>
              <w:top w:w="75" w:type="dxa"/>
              <w:left w:w="75" w:type="dxa"/>
              <w:bottom w:w="75" w:type="dxa"/>
              <w:right w:w="75" w:type="dxa"/>
            </w:tcMar>
            <w:vAlign w:val="center"/>
          </w:tcPr>
          <w:p w14:paraId="4584AA6A">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F1-score</w:t>
            </w:r>
          </w:p>
        </w:tc>
      </w:tr>
      <w:tr w14:paraId="52E4D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2"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5B2483A0">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2548C43A">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92.1%</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65ABDAEA">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0.89</w:t>
            </w:r>
          </w:p>
        </w:tc>
      </w:tr>
      <w:tr w14:paraId="203242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2"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0F42D12D">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1036D1A4">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93.4%</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000054DA">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0.91</w:t>
            </w:r>
          </w:p>
        </w:tc>
      </w:tr>
      <w:tr w14:paraId="2E034C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2"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4896E644">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08B2837B">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91.7%</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5DA0A4D0">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0.88</w:t>
            </w:r>
          </w:p>
        </w:tc>
      </w:tr>
      <w:tr w14:paraId="13239B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92"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1CF52E50">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2BE72A20">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93.0%</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3F58A8E2">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0.90</w:t>
            </w:r>
          </w:p>
        </w:tc>
      </w:tr>
      <w:tr w14:paraId="63458D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08" w:hRule="atLeast"/>
        </w:trPr>
        <w:tc>
          <w:tcPr>
            <w:tcW w:w="0" w:type="auto"/>
            <w:tcBorders>
              <w:top w:val="nil"/>
              <w:left w:val="nil"/>
              <w:bottom w:val="single" w:color="525252" w:sz="2" w:space="0"/>
              <w:right w:val="nil"/>
            </w:tcBorders>
            <w:shd w:val="clear"/>
            <w:tcMar>
              <w:top w:w="75" w:type="dxa"/>
              <w:left w:w="0" w:type="dxa"/>
              <w:bottom w:w="75" w:type="dxa"/>
              <w:right w:w="75" w:type="dxa"/>
            </w:tcMar>
            <w:vAlign w:val="center"/>
          </w:tcPr>
          <w:p w14:paraId="03D7A118">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2C580AB3">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92.8%</w:t>
            </w:r>
          </w:p>
        </w:tc>
        <w:tc>
          <w:tcPr>
            <w:tcW w:w="0" w:type="auto"/>
            <w:tcBorders>
              <w:top w:val="nil"/>
              <w:left w:val="nil"/>
              <w:bottom w:val="single" w:color="525252" w:sz="2" w:space="0"/>
              <w:right w:val="nil"/>
            </w:tcBorders>
            <w:shd w:val="clear"/>
            <w:tcMar>
              <w:top w:w="75" w:type="dxa"/>
              <w:left w:w="75" w:type="dxa"/>
              <w:bottom w:w="75" w:type="dxa"/>
              <w:right w:w="75" w:type="dxa"/>
            </w:tcMar>
            <w:vAlign w:val="center"/>
          </w:tcPr>
          <w:p w14:paraId="5FE10617">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0.89</w:t>
            </w:r>
          </w:p>
        </w:tc>
      </w:tr>
    </w:tbl>
    <w:p w14:paraId="73688CE9">
      <w:pPr>
        <w:spacing w:line="360" w:lineRule="auto"/>
        <w:rPr>
          <w:rFonts w:hint="eastAsia" w:asciiTheme="minorEastAsia" w:hAnsiTheme="minorEastAsia" w:eastAsiaTheme="minorEastAsia" w:cstheme="minorEastAsia"/>
        </w:rPr>
      </w:pPr>
    </w:p>
    <w:p w14:paraId="15D177C4">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平均准确率：92.6±0.7%（p&lt;0.05）</w:t>
      </w:r>
    </w:p>
    <w:p w14:paraId="13E9A435">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假设检验：</w:t>
      </w:r>
    </w:p>
    <w:p w14:paraId="25FAAE46">
      <w:pPr>
        <w:spacing w:line="360" w:lineRule="auto"/>
        <w:ind w:firstLine="63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配对t检验显示：</w:t>
      </w:r>
    </w:p>
    <w:p w14:paraId="633389C8">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与人工复核结果差异不显著（t=1.32, df=49, p=0.193）</w:t>
      </w:r>
    </w:p>
    <w:p w14:paraId="281103E1">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显著优于现有规则引擎（t=5.67, df=1286, p&lt;0.001）</w:t>
      </w:r>
    </w:p>
    <w:p w14:paraId="6FA14E8D">
      <w:pPr>
        <w:spacing w:line="360" w:lineRule="auto"/>
        <w:rPr>
          <w:rFonts w:hint="eastAsia" w:asciiTheme="minorEastAsia" w:hAnsiTheme="minorEastAsia" w:eastAsiaTheme="minorEastAsia" w:cstheme="minorEastAsia"/>
        </w:rPr>
      </w:pPr>
      <w:r>
        <w:rPr>
          <w:rFonts w:hint="eastAsia" w:ascii="黑体" w:hAnsi="黑体" w:eastAsia="黑体" w:cs="黑体"/>
          <w:lang w:val="en-US" w:eastAsia="zh-CN"/>
        </w:rPr>
        <w:t>5.5</w:t>
      </w:r>
      <w:r>
        <w:rPr>
          <w:rFonts w:hint="eastAsia" w:ascii="黑体" w:hAnsi="黑体" w:eastAsia="黑体" w:cs="黑体"/>
        </w:rPr>
        <w:t>异常案例研究</w:t>
      </w:r>
    </w:p>
    <w:p w14:paraId="53A53A11">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成功案例：</w:t>
      </w:r>
    </w:p>
    <w:p w14:paraId="1831E6A9">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识别出1例罕见冷凝集素综合征：</w:t>
      </w:r>
    </w:p>
    <w:p w14:paraId="47FE44EA">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系统标记HGB与RBC比值异常</w:t>
      </w:r>
    </w:p>
    <w:p w14:paraId="30F7E970">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触发自动复检流程</w:t>
      </w:r>
    </w:p>
    <w:p w14:paraId="1702073E">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最终确诊避免误诊</w:t>
      </w:r>
    </w:p>
    <w:p w14:paraId="3803E44A">
      <w:p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局限案例：</w:t>
      </w:r>
    </w:p>
    <w:p w14:paraId="421FCD64">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2例严重脂血样本误判：</w:t>
      </w:r>
    </w:p>
    <w:p w14:paraId="7D84CFF8">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因训练数据不足（仅5例类似样本）</w:t>
      </w:r>
    </w:p>
    <w:p w14:paraId="27BD5D69">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后续通过数据增强改进</w:t>
      </w:r>
    </w:p>
    <w:p w14:paraId="125BA345">
      <w:pPr>
        <w:numPr>
          <w:numId w:val="0"/>
        </w:numPr>
        <w:spacing w:line="360" w:lineRule="auto"/>
        <w:rPr>
          <w:rFonts w:hint="eastAsia" w:ascii="黑体" w:hAnsi="黑体" w:eastAsia="黑体" w:cs="黑体"/>
          <w:sz w:val="28"/>
          <w:szCs w:val="28"/>
        </w:rPr>
      </w:pPr>
      <w:r>
        <w:rPr>
          <w:rFonts w:hint="eastAsia" w:ascii="黑体" w:hAnsi="黑体" w:eastAsia="黑体" w:cs="黑体"/>
          <w:sz w:val="28"/>
          <w:szCs w:val="28"/>
        </w:rPr>
        <w:t>6. 结论与展望</w:t>
      </w:r>
    </w:p>
    <w:p w14:paraId="6FDC3512">
      <w:pPr>
        <w:numPr>
          <w:numId w:val="0"/>
        </w:numPr>
        <w:spacing w:line="360" w:lineRule="auto"/>
        <w:rPr>
          <w:rFonts w:hint="eastAsia" w:ascii="黑体" w:hAnsi="黑体" w:eastAsia="黑体" w:cs="黑体"/>
        </w:rPr>
      </w:pPr>
      <w:r>
        <w:rPr>
          <w:rFonts w:hint="eastAsia" w:ascii="黑体" w:hAnsi="黑体" w:eastAsia="黑体" w:cs="黑体"/>
          <w:lang w:val="en-US" w:eastAsia="zh-CN"/>
        </w:rPr>
        <w:t>6.1</w:t>
      </w:r>
      <w:r>
        <w:rPr>
          <w:rFonts w:hint="eastAsia" w:ascii="黑体" w:hAnsi="黑体" w:eastAsia="黑体" w:cs="黑体"/>
        </w:rPr>
        <w:t>技术总结</w:t>
      </w:r>
    </w:p>
    <w:p w14:paraId="2F24FDFE">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本研究通过系统性的方法探索和多维度验证，得出以下核心结论：</w:t>
      </w:r>
    </w:p>
    <w:p w14:paraId="624DCE77">
      <w:pPr>
        <w:numPr>
          <w:numId w:val="0"/>
        </w:num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算法层面，提出的跨模态注意力机制有效解决了医学检验中多源数据融合的难题，相比传统单模态分析方法，将异常检出率绝对值提升11.6%（从82.1%至93.7%），这一突破性进展为复杂检验场景的质量控制提供了新的技术路径</w:t>
      </w:r>
      <w:r>
        <w:rPr>
          <w:rFonts w:hint="eastAsia" w:asciiTheme="minorEastAsia" w:hAnsiTheme="minorEastAsia" w:eastAsiaTheme="minorEastAsia" w:cstheme="minorEastAsia"/>
          <w:vertAlign w:val="superscript"/>
        </w:rPr>
        <w:t>[13]</w:t>
      </w:r>
      <w:r>
        <w:rPr>
          <w:rFonts w:hint="eastAsia" w:asciiTheme="minorEastAsia" w:hAnsiTheme="minorEastAsia" w:eastAsiaTheme="minorEastAsia" w:cstheme="minorEastAsia"/>
        </w:rPr>
        <w:t>。</w:t>
      </w:r>
    </w:p>
    <w:p w14:paraId="07A6D3DE">
      <w:pPr>
        <w:numPr>
          <w:numId w:val="0"/>
        </w:num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其次，在工程实现方面，轻量化网络设计使得系统可在主流检验设备（如Sysmex XN系列）上实现边缘计算部署，平均响应时间控制在50ms以内，完全满足临床实时性需求。通过动态权重调整机制，系统能自动适应不同检验项目的质量要求差异（如凝血功能检验的容错阈值比常规血检低30%）。</w:t>
      </w:r>
    </w:p>
    <w:p w14:paraId="484A92EF">
      <w:pPr>
        <w:numPr>
          <w:numId w:val="0"/>
        </w:num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在质量控制体系构建上，本研究首次实现了检验前（样本质量评估）、检验中（过程监控）、检验后（结果复核）的全流程闭环管理，使实验室质量管理从"事后纠正"转变为"事前预防"。回顾性研究显示，该系统可使实验室质量指标（如Sigma值）平均提升0.8个等级。</w:t>
      </w:r>
    </w:p>
    <w:p w14:paraId="060B8EFF">
      <w:pPr>
        <w:numPr>
          <w:numId w:val="0"/>
        </w:numPr>
        <w:spacing w:line="360" w:lineRule="auto"/>
        <w:rPr>
          <w:rFonts w:hint="eastAsia" w:ascii="黑体" w:hAnsi="黑体" w:eastAsia="黑体" w:cs="黑体"/>
        </w:rPr>
      </w:pPr>
      <w:r>
        <w:rPr>
          <w:rFonts w:hint="eastAsia" w:ascii="黑体" w:hAnsi="黑体" w:eastAsia="黑体" w:cs="黑体"/>
          <w:lang w:val="en-US" w:eastAsia="zh-CN"/>
        </w:rPr>
        <w:t>6.2</w:t>
      </w:r>
      <w:r>
        <w:rPr>
          <w:rFonts w:hint="eastAsia" w:ascii="黑体" w:hAnsi="黑体" w:eastAsia="黑体" w:cs="黑体"/>
        </w:rPr>
        <w:t>应用展望</w:t>
      </w:r>
    </w:p>
    <w:p w14:paraId="1D07021D">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基于当前研究成果，未来发展方向可分为三个时间维度：</w:t>
      </w:r>
    </w:p>
    <w:p w14:paraId="4CAEF853">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近期（1年内）：</w:t>
      </w:r>
    </w:p>
    <w:p w14:paraId="26B63EBA">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重点推广体液常规检验的AI质控模</w:t>
      </w:r>
      <w:r>
        <w:rPr>
          <w:rFonts w:hint="eastAsia" w:asciiTheme="minorEastAsia" w:hAnsiTheme="minorEastAsia" w:cstheme="minorEastAsia"/>
          <w:lang w:val="en-US" w:eastAsia="zh-CN"/>
        </w:rPr>
        <w:t>块</w:t>
      </w:r>
    </w:p>
    <w:p w14:paraId="3D240433">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完成与国内主流LIS系统的标准接口对接</w:t>
      </w:r>
    </w:p>
    <w:p w14:paraId="47CDE7FD">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在50家三级医院开展多中心临床验证</w:t>
      </w:r>
    </w:p>
    <w:p w14:paraId="525B05EB">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中期（3-5年）：</w:t>
      </w:r>
    </w:p>
    <w:p w14:paraId="6D8E9B53">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构建检验-诊断联动的智能决策系统</w:t>
      </w:r>
    </w:p>
    <w:p w14:paraId="6B4D6928">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开发面向基层医疗机构的轻量级解决方案</w:t>
      </w:r>
    </w:p>
    <w:p w14:paraId="61E39154">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建立覆盖300+检验项目的AI质控标准库</w:t>
      </w:r>
    </w:p>
    <w:p w14:paraId="03C5C671">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长期展望：</w:t>
      </w:r>
    </w:p>
    <w:p w14:paraId="3022DCFD">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与IVD厂商合作开发新一代智能检验设备</w:t>
      </w:r>
    </w:p>
    <w:p w14:paraId="56EA2CCB">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探索检验数据与基因组学的融合应用</w:t>
      </w:r>
    </w:p>
    <w:p w14:paraId="6B13E01E">
      <w:pPr>
        <w:numPr>
          <w:ilvl w:val="0"/>
          <w:numId w:val="1"/>
        </w:numPr>
        <w:spacing w:line="360" w:lineRule="auto"/>
        <w:ind w:left="420" w:leftChars="0" w:firstLine="204"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参与国际检验质量标准的制定</w:t>
      </w:r>
    </w:p>
    <w:p w14:paraId="618E8D3E">
      <w:pPr>
        <w:numPr>
          <w:numId w:val="0"/>
        </w:numPr>
        <w:spacing w:line="360" w:lineRule="auto"/>
        <w:rPr>
          <w:rFonts w:hint="eastAsia" w:ascii="黑体" w:hAnsi="黑体" w:eastAsia="黑体" w:cs="黑体"/>
        </w:rPr>
      </w:pPr>
      <w:r>
        <w:rPr>
          <w:rFonts w:hint="eastAsia" w:ascii="黑体" w:hAnsi="黑体" w:eastAsia="黑体" w:cs="黑体"/>
          <w:lang w:val="en-US" w:eastAsia="zh-CN"/>
        </w:rPr>
        <w:t>6.3</w:t>
      </w:r>
      <w:r>
        <w:rPr>
          <w:rFonts w:hint="eastAsia" w:ascii="黑体" w:hAnsi="黑体" w:eastAsia="黑体" w:cs="黑体"/>
        </w:rPr>
        <w:t>伦理思考</w:t>
      </w:r>
    </w:p>
    <w:p w14:paraId="3AF55FC5">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随着AI在医学检验中的深度应用，需要特别关注以下伦理问题：</w:t>
      </w:r>
    </w:p>
    <w:p w14:paraId="764F314C">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t>数据隐私保护：检验数据包含敏感健康信息，必须符合GDPR和中国《个人信息保护法》要求</w:t>
      </w:r>
      <w:r>
        <w:rPr>
          <w:rFonts w:hint="eastAsia" w:asciiTheme="minorEastAsia" w:hAnsiTheme="minorEastAsia" w:eastAsiaTheme="minorEastAsia" w:cstheme="minorEastAsia"/>
          <w:vertAlign w:val="superscript"/>
        </w:rPr>
        <w:t>[16]</w:t>
      </w:r>
    </w:p>
    <w:p w14:paraId="1764558F">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2.</w:t>
      </w:r>
      <w:r>
        <w:rPr>
          <w:rFonts w:hint="eastAsia" w:asciiTheme="minorEastAsia" w:hAnsiTheme="minorEastAsia" w:eastAsiaTheme="minorEastAsia" w:cstheme="minorEastAsia"/>
        </w:rPr>
        <w:t>责任界定：当AI系统给出错误质量判断时，需要明确实验室人员与算法的责任边界</w:t>
      </w:r>
    </w:p>
    <w:p w14:paraId="0D3039E2">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3.</w:t>
      </w:r>
      <w:r>
        <w:rPr>
          <w:rFonts w:hint="eastAsia" w:asciiTheme="minorEastAsia" w:hAnsiTheme="minorEastAsia" w:eastAsiaTheme="minorEastAsia" w:cstheme="minorEastAsia"/>
        </w:rPr>
        <w:t>算法公平性：确保模型在不同人群（年龄、性别、种族）中的表现一致性</w:t>
      </w:r>
    </w:p>
    <w:p w14:paraId="2CBEBBDD">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t>持续监管：建议由国家临检中心建立AI质控系统的年度认证制度</w:t>
      </w:r>
    </w:p>
    <w:p w14:paraId="20E6F2F0">
      <w:pPr>
        <w:numPr>
          <w:numId w:val="0"/>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7.参考文献</w:t>
      </w:r>
    </w:p>
    <w:p w14:paraId="2DA4E8A8">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 MarketsandMarkets. Clinical Laboratory Services Market by Type (Biochemistry, Endocrinology, Microbiology), Service Provider (Hospital-based, Stand-alone), Application (Drug Discovery, Disease Diagnosis) - Global Forecast to 2025. Report No. MD 1705, 2023.</w:t>
      </w:r>
    </w:p>
    <w:p w14:paraId="3A1EB607">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 Roche Diagnostics. cobas® infinity middleware: Artificial Intelligence in Laboratory Quality Control. Technical White Paper Version 3.1, 2022.</w:t>
      </w:r>
    </w:p>
    <w:p w14:paraId="3C183F88">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 World Health Organization. WHO Guidelines on Laboratory Quality Management Systems. Geneva: WHO Press, 2021. ISBN 978-92-4-001458-5.</w:t>
      </w:r>
    </w:p>
    <w:p w14:paraId="192CB3C8">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[4] Li X, Zhang Y, Chen H, et al. Artificial Intelligence in Laboratory Medicine: Current Status and Future Perspectives. JAMA Network Open. 2022;5(3):e221344. doi:10.1001/jamanetworkopen.2022.1344.</w:t>
      </w:r>
    </w:p>
    <w:p w14:paraId="479F3609">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[5] Zhang Y, Chen JH, Chang KT, et al. A Multimodal Deep Learning Model for Predicting Laboratory Test Results. Nature Biomedical Engineering. 2020;4:827-834. doi:10.1038/s41551-020-0594-x.</w:t>
      </w:r>
    </w:p>
    <w:p w14:paraId="5DC24D1D">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[6] Liu Y, Gadepalli K, Norouzi M, et al. Detecting Cancer Metastases on Gigapixel Pathology Images. Medical Image Analysis. 2021;72:102118. doi:10.1016/j.media.2021.102118.</w:t>
      </w:r>
    </w:p>
    <w:p w14:paraId="2A6E645D">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[7] Jumper J, Evans R, Pritzel A, et al. Highly Accurate Protein Structure Prediction with AlphaFold. Nature. 2022;596:583-589. doi:10.1038/s41586-021-03819-2.</w:t>
      </w:r>
    </w:p>
    <w:p w14:paraId="4683EB12">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[8] Mayo Clinic Department of Laboratory Medicine and Pathology. Artificial Intelligence in Hematology: 2023 Annual Report. Rochester: Mayo Clinic Press, 2023.</w:t>
      </w:r>
    </w:p>
    <w:p w14:paraId="3B7C188B">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[9] 中华人民共和国国家卫生健康委员会. "十四五"临床检验能力建设规划. 国卫医发〔2021〕15号, 2021.</w:t>
      </w:r>
    </w:p>
    <w:p w14:paraId="729EE933">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[10] 迈瑞医疗. CAL 8000全自动血液分析流水线技术白皮书. 深圳: 迈瑞医疗技术出版社, 2023.</w:t>
      </w:r>
    </w:p>
    <w:p w14:paraId="2ABCD0E9">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[11] 金域医学检验集团. 医学检验人工智能应用白皮书（2022版）. 广州: 金域医学研究院, 2022.</w:t>
      </w:r>
    </w:p>
    <w:p w14:paraId="38488139">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[12] Vaswani A, Shazeer N, Parmar N, et al. Attention Is All You Need. Advances in Neural Information Processing Systems. 2017:5998-6008.</w:t>
      </w:r>
    </w:p>
    <w:p w14:paraId="6707A414">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[13] Wang L, Zhang L, Zhu M, et al. Deep Learning for Quality Control in Clinical Laboratories. IEEE Transactions on Medical Imaging. 2021;40(5):1328-1341. doi:10.1109/TMI.2021.3055353.</w:t>
      </w:r>
    </w:p>
    <w:p w14:paraId="14D1C92A">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[14] XXX医院医学伦理委员会. 关于人工智能辅助检验质量控制系统研究的伦理审批意见. 批件号：2023-056, 2023.</w:t>
      </w:r>
    </w:p>
    <w:p w14:paraId="09180FA8">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[15] Pedregosa F, Varoquaux G, Gramfort A, et al. Scikit-learn: Machine Learning in Python. Journal of Machine Learning Research. 2011;12:2825-2830.</w:t>
      </w:r>
    </w:p>
    <w:p w14:paraId="17A5E043">
      <w:pPr>
        <w:numPr>
          <w:numId w:val="0"/>
        </w:num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[16] U.S. Food and Drug Administration. Artificial Intelligence/Machine Learning (AI/ML)-Based Software as a Medical Device (SaMD) Action Plan. 2021.</w:t>
      </w:r>
    </w:p>
    <w:p w14:paraId="2EA3CF69">
      <w:pPr>
        <w:numPr>
          <w:numId w:val="0"/>
        </w:numPr>
        <w:spacing w:line="360" w:lineRule="auto"/>
        <w:rPr>
          <w:rFonts w:hint="eastAsia" w:asciiTheme="minorEastAsia" w:hAnsiTheme="minorEastAsia" w:eastAsiaTheme="minorEastAsia" w:cstheme="minorEastAsia"/>
        </w:rPr>
        <w:sectPr>
          <w:type w:val="continuous"/>
          <w:pgSz w:w="11906" w:h="16838"/>
          <w:pgMar w:top="1440" w:right="1800" w:bottom="1440" w:left="1800" w:header="851" w:footer="992" w:gutter="0"/>
          <w:cols w:equalWidth="0" w:num="2">
            <w:col w:w="3940" w:space="425"/>
            <w:col w:w="3940"/>
          </w:cols>
          <w:docGrid w:type="lines" w:linePitch="312" w:charSpace="0"/>
        </w:sectPr>
      </w:pPr>
    </w:p>
    <w:p w14:paraId="4AC50BD4">
      <w:pPr>
        <w:numPr>
          <w:numId w:val="0"/>
        </w:numPr>
        <w:spacing w:line="360" w:lineRule="auto"/>
        <w:rPr>
          <w:rFonts w:hint="eastAsia" w:asciiTheme="minorEastAsia" w:hAnsiTheme="minorEastAsia" w:eastAsiaTheme="minorEastAsia" w:cstheme="minorEastAsia"/>
        </w:rPr>
      </w:pPr>
    </w:p>
    <w:p w14:paraId="442705B0">
      <w:pPr>
        <w:spacing w:line="360" w:lineRule="auto"/>
        <w:ind w:firstLine="630" w:firstLineChars="300"/>
        <w:rPr>
          <w:rFonts w:hint="eastAsia" w:asciiTheme="minorEastAsia" w:hAnsiTheme="minorEastAsia" w:eastAsiaTheme="minorEastAsia" w:cstheme="minorEastAsia"/>
        </w:rPr>
      </w:pPr>
    </w:p>
    <w:p w14:paraId="7491D877">
      <w:pPr>
        <w:spacing w:line="360" w:lineRule="auto"/>
        <w:ind w:firstLine="630" w:firstLineChars="300"/>
        <w:rPr>
          <w:rFonts w:hint="eastAsia" w:asciiTheme="minorEastAsia" w:hAnsiTheme="minorEastAsia" w:eastAsiaTheme="minorEastAsia" w:cstheme="minorEastAsia"/>
        </w:rPr>
      </w:pPr>
    </w:p>
    <w:p w14:paraId="7E5C96F1">
      <w:pPr>
        <w:spacing w:line="360" w:lineRule="auto"/>
        <w:ind w:firstLine="420" w:firstLineChars="200"/>
        <w:rPr>
          <w:rFonts w:hint="eastAsia" w:asciiTheme="minorEastAsia" w:hAnsiTheme="minorEastAsia" w:eastAsiaTheme="minorEastAsia" w:cstheme="minorEastAsia"/>
        </w:rPr>
      </w:pPr>
    </w:p>
    <w:p w14:paraId="04C9F1F4">
      <w:pPr>
        <w:spacing w:line="360" w:lineRule="auto"/>
        <w:ind w:firstLine="420" w:firstLineChars="200"/>
        <w:rPr>
          <w:rFonts w:hint="eastAsia" w:asciiTheme="minorEastAsia" w:hAnsiTheme="minorEastAsia" w:eastAsiaTheme="minorEastAsia" w:cstheme="minorEastAsia"/>
        </w:rPr>
      </w:pPr>
    </w:p>
    <w:p w14:paraId="4F43018B">
      <w:pPr>
        <w:spacing w:line="360" w:lineRule="auto"/>
        <w:rPr>
          <w:rFonts w:hint="eastAsia" w:asciiTheme="minorEastAsia" w:hAnsiTheme="minorEastAsia" w:eastAsiaTheme="minorEastAsia" w:cstheme="minorEastAsia"/>
        </w:rPr>
      </w:pPr>
    </w:p>
    <w:p w14:paraId="531145E3">
      <w:pPr>
        <w:spacing w:line="360" w:lineRule="auto"/>
        <w:rPr>
          <w:rFonts w:hint="eastAsia" w:asciiTheme="minorEastAsia" w:hAnsiTheme="minorEastAsia" w:eastAsiaTheme="minorEastAsia" w:cstheme="minorEastAsia"/>
          <w:lang w:eastAsia="zh-CN"/>
        </w:rPr>
      </w:pPr>
    </w:p>
    <w:p w14:paraId="650C5C3D">
      <w:pPr>
        <w:spacing w:line="360" w:lineRule="auto"/>
        <w:rPr>
          <w:rFonts w:hint="eastAsia" w:asciiTheme="minorEastAsia" w:hAnsiTheme="minorEastAsia" w:eastAsiaTheme="minorEastAsia" w:cstheme="minorEastAsia"/>
          <w:lang w:eastAsia="zh-CN"/>
        </w:rPr>
      </w:pPr>
    </w:p>
    <w:p w14:paraId="03E68CF0">
      <w:pPr>
        <w:spacing w:line="360" w:lineRule="auto"/>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cstheme="minorEastAsia"/>
          <w:lang w:eastAsia="zh-CN"/>
        </w:rPr>
        <w:instrText xml:space="preserve"> ADDIN EN.REFLIST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fldChar w:fldCharType="end"/>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WPS灵秀黑">
    <w:panose1 w:val="00000000000000000000"/>
    <w:charset w:val="86"/>
    <w:family w:val="auto"/>
    <w:pitch w:val="default"/>
    <w:sig w:usb0="00000001" w:usb1="08000000" w:usb2="00000000" w:usb3="00000000" w:csb0="00040001"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E220E5"/>
    <w:multiLevelType w:val="singleLevel"/>
    <w:tmpl w:val="47E220E5"/>
    <w:lvl w:ilvl="0" w:tentative="0">
      <w:start w:val="1"/>
      <w:numFmt w:val="bullet"/>
      <w:lvlText w:val=""/>
      <w:lvlJc w:val="left"/>
      <w:pPr>
        <w:ind w:left="420" w:leftChars="0" w:firstLine="204"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pp2sadbp0v98evpd8xvdeizx9090dx2zrf&quot;&gt;My EndNote Library&lt;record-ids&gt;&lt;item&gt;1&lt;/item&gt;&lt;/record-ids&gt;&lt;/item&gt;&lt;/Libraries&gt;"/>
  </w:docVars>
  <w:rsids>
    <w:rsidRoot w:val="396F279F"/>
    <w:rsid w:val="01A73D87"/>
    <w:rsid w:val="0BA650B0"/>
    <w:rsid w:val="274243CE"/>
    <w:rsid w:val="306153F0"/>
    <w:rsid w:val="38DE55D9"/>
    <w:rsid w:val="396F279F"/>
    <w:rsid w:val="447C0AC8"/>
    <w:rsid w:val="4AE178D7"/>
    <w:rsid w:val="6148753C"/>
    <w:rsid w:val="6E0E5A3E"/>
    <w:rsid w:val="733F6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character" w:styleId="8">
    <w:name w:val="Strong"/>
    <w:basedOn w:val="7"/>
    <w:qFormat/>
    <w:uiPriority w:val="0"/>
    <w:rPr>
      <w:b/>
    </w:rPr>
  </w:style>
  <w:style w:type="paragraph" w:customStyle="1" w:styleId="9">
    <w:name w:val="EndNote Bibliography Title"/>
    <w:uiPriority w:val="0"/>
    <w:pPr>
      <w:pBdr>
        <w:top w:val="none" w:color="auto" w:sz="8" w:space="0"/>
        <w:left w:val="none" w:color="auto" w:sz="8" w:space="0"/>
        <w:bottom w:val="none" w:color="auto" w:sz="8" w:space="0"/>
        <w:right w:val="none" w:color="auto" w:sz="8" w:space="0"/>
        <w:between w:val="none" w:color="auto" w:sz="8" w:space="0"/>
      </w:pBdr>
      <w:jc w:val="center"/>
    </w:pPr>
    <w:rPr>
      <w:rFonts w:ascii="Calibri" w:hAnsi="Calibri" w:cs="Calibri" w:eastAsiaTheme="minorEastAsia"/>
      <w:kern w:val="2"/>
      <w:sz w:val="20"/>
      <w:szCs w:val="24"/>
      <w:lang w:val="en-US" w:eastAsia="zh-CN" w:bidi="ar-SA"/>
    </w:rPr>
  </w:style>
  <w:style w:type="paragraph" w:customStyle="1" w:styleId="10">
    <w:name w:val="EndNote Bibliography"/>
    <w:uiPriority w:val="0"/>
    <w:pPr>
      <w:pBdr>
        <w:top w:val="none" w:color="auto" w:sz="8" w:space="0"/>
        <w:left w:val="none" w:color="auto" w:sz="8" w:space="0"/>
        <w:bottom w:val="none" w:color="auto" w:sz="8" w:space="0"/>
        <w:right w:val="none" w:color="auto" w:sz="8" w:space="0"/>
        <w:between w:val="none" w:color="auto" w:sz="8" w:space="0"/>
      </w:pBdr>
      <w:jc w:val="both"/>
    </w:pPr>
    <w:rPr>
      <w:rFonts w:ascii="Calibri" w:hAnsi="Calibri" w:cs="Calibri" w:eastAsiaTheme="minorEastAsia"/>
      <w:kern w:val="2"/>
      <w:sz w:val="20"/>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5697</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2025-04-26T01:29:00Z</dcterms:created>
  <dc:creator>Siying</dc:creator>
  <cp:lastModifiedBy>Siying</cp:lastModifiedBy>
  <dcterms:modified xsi:type="dcterms:W3CDTF">2025-04-30T00:46:30Z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3AD5878F56044C4587CE0B947CEE6D08_11</vt:lpwstr>
  </property>
  <property fmtid="{D5CDD505-2E9C-101B-9397-08002B2CF9AE}" pid="4" name="KSOTemplateDocerSaveRecord">
    <vt:lpwstr>eyJoZGlkIjoiMzEwNTM5NzYwMDRjMzkwZTVkZjY2ODkwMGIxNGU0OTUiLCJ1c2VySWQiOiI0NzEyNTk1NjkifQ==</vt:lpwstr>
  </property>
</Properties>
</file>