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22C546">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生成式人工智能的创新管理前沿技术调研</w:t>
      </w:r>
    </w:p>
    <w:p w14:paraId="3D10FB81">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作者 陈子翔</w:t>
      </w:r>
      <w:bookmarkStart w:id="0" w:name="_GoBack"/>
      <w:bookmarkEnd w:id="0"/>
    </w:p>
    <w:p w14:paraId="453FF16C">
      <w:pPr>
        <w:spacing w:before="240" w:after="120"/>
        <w:rPr>
          <w:rFonts w:hint="eastAsia" w:ascii="宋体" w:hAnsi="宋体" w:eastAsia="宋体" w:cs="宋体"/>
        </w:rPr>
      </w:pPr>
      <w:r>
        <w:rPr>
          <w:rFonts w:hint="eastAsia" w:ascii="宋体" w:hAnsi="宋体" w:eastAsia="宋体" w:cs="宋体"/>
          <w:b/>
          <w:sz w:val="28"/>
        </w:rPr>
        <w:t>摘要</w:t>
      </w:r>
    </w:p>
    <w:p w14:paraId="295B0AF3">
      <w:pPr>
        <w:spacing w:line="360" w:lineRule="auto"/>
        <w:rPr>
          <w:rFonts w:hint="eastAsia" w:ascii="汉仪旗黑-75S" w:hAnsi="汉仪旗黑-75S" w:eastAsia="汉仪旗黑-75S" w:cs="汉仪旗黑-75S"/>
          <w:sz w:val="18"/>
          <w:szCs w:val="18"/>
        </w:rPr>
      </w:pPr>
      <w:r>
        <w:rPr>
          <w:rFonts w:hint="eastAsia" w:ascii="宋体" w:hAnsi="宋体" w:eastAsia="宋体" w:cs="宋体"/>
          <w:sz w:val="18"/>
          <w:szCs w:val="18"/>
        </w:rPr>
        <w:t>生成式人工智能（Generative AI, GenAI）作为人工智能领域的重要分支，近年来在创新管理领域展现出显著的应用潜力。本文系统调研了2020年至2024年间生成式人工智能在创新管理中的最新技术进展与应用实践。首先，分析了GenAI技术的研究背景及存在的科学问题，明确了其在创新效率和质量提升方面的理论价值和实际意义。其次，梳理了国际知名实验室和企业的突破性成果，以及中国政策支持和企业技术布局的动态。随后，详细阐述了生成模型的核心算法原理，给出了数学表达和技术实现流程，并通过对比分析说明其相较传统创新管理方法的优势。基于自主收集的50条创新项目数据，利用Python及主流数据分析库进行了实验验证，结果显示GenAI方法在创新效率上比传统方法提高了18.6%，创新方案多样性提升了25.7%，且统计显著性达到p&lt;0.05。最后，本文总结了技术优势，展望了未来1年及3-5年内的应用前景，并探讨了生成式人工智能在伦理治理方面的挑战与对策。本文为推动生成式人工智能在创新管理领域的理论研究和实践应用提供了科学依据和参考。</w:t>
      </w:r>
    </w:p>
    <w:p w14:paraId="63F0F32D">
      <w:pPr>
        <w:spacing w:line="360" w:lineRule="auto"/>
        <w:rPr>
          <w:rFonts w:hint="eastAsia" w:ascii="宋体" w:hAnsi="宋体" w:eastAsia="宋体" w:cs="宋体"/>
          <w:sz w:val="18"/>
          <w:szCs w:val="18"/>
        </w:rPr>
      </w:pPr>
      <w:r>
        <w:rPr>
          <w:rFonts w:hint="eastAsia" w:ascii="宋体" w:hAnsi="宋体" w:eastAsia="宋体" w:cs="宋体"/>
          <w:sz w:val="18"/>
          <w:szCs w:val="18"/>
        </w:rPr>
        <w:t>关键词：生成式人工智能；创新管理；深度学习；技术调研；实验分析；伦理治理</w:t>
      </w:r>
    </w:p>
    <w:p w14:paraId="1189E41C">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Title</w:t>
      </w:r>
    </w:p>
    <w:p w14:paraId="0C1864A9">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Research on cutting-edge technologies of innovation management based on generative artificial intelligence</w:t>
      </w:r>
    </w:p>
    <w:p w14:paraId="356F6EBC">
      <w:p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Author: Zixiang Chen</w:t>
      </w:r>
    </w:p>
    <w:p w14:paraId="69D0E25E">
      <w:p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Abstract</w:t>
      </w:r>
    </w:p>
    <w:p w14:paraId="0D9A0C1B">
      <w:p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As an important branch of artificial intelligence, generative AI (GenAI) has shown significant application potential in the field of innovation management in recent years. This paper systematically investigates the latest technological progress and application practices of generative AI in innovation management from 2020 to 2024. First, the research background and existing scientific problems of GenAI technology are analyzed, and its theoretical value and practical significance in improving innovation efficiency and quality are clarified. Secondly, the breakthrough achievements of internationally renowned laboratories and enterprises, as well as the dynamics of China's policy support and enterprise technology layout are sorted out. Subsequently, the core algorithm principle of the generative model is elaborated in detail, the mathematical expression and technical implementation process are given, and its advantages over traditional innovation management methods are explained through comparative analysis. Based on 50 innovation project data collected independently, experimental verification was carried out using Python and mainstream data analysis libraries. The results show that the GenAI method improves innovation efficiency by 18.6% and the diversity of innovation solutions by 25.7% compared with traditional methods, and the statistical significance reaches p&lt;0.05. Finally, this paper summarizes the technical advantages, looks forward to the application prospects in the next 1 year and 3-5 years, and explores the challenges and countermeasures of generative AI in ethical governance. This article provides a scientific basis and reference for promoting theoretical research and practical application of generative artificial intelligence in the field of innovation management.</w:t>
      </w:r>
    </w:p>
    <w:p w14:paraId="781BC59F">
      <w:p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Keywords: generative artificial intelligence; innovation management; deep learning; technical research; experimental analysis; ethical governance</w:t>
      </w:r>
    </w:p>
    <w:p w14:paraId="1F7497E3">
      <w:pPr>
        <w:spacing w:before="240" w:after="120"/>
        <w:rPr>
          <w:rFonts w:hint="eastAsia" w:ascii="宋体" w:hAnsi="宋体" w:eastAsia="宋体" w:cs="宋体"/>
          <w:b/>
          <w:sz w:val="21"/>
          <w:szCs w:val="21"/>
        </w:rPr>
      </w:pPr>
    </w:p>
    <w:p w14:paraId="40EA3298">
      <w:pPr>
        <w:spacing w:before="240" w:after="120"/>
        <w:rPr>
          <w:rFonts w:hint="eastAsia" w:ascii="黑体" w:hAnsi="黑体" w:eastAsia="黑体" w:cs="黑体"/>
          <w:b/>
          <w:sz w:val="28"/>
          <w:szCs w:val="28"/>
        </w:rPr>
        <w:sectPr>
          <w:type w:val="continuous"/>
          <w:pgSz w:w="11906" w:h="16838"/>
          <w:pgMar w:top="1440" w:right="1800" w:bottom="1440" w:left="1800" w:header="851" w:footer="992" w:gutter="0"/>
          <w:cols w:space="425" w:num="1"/>
          <w:docGrid w:type="lines" w:linePitch="312" w:charSpace="0"/>
        </w:sectPr>
      </w:pPr>
    </w:p>
    <w:p w14:paraId="549966F8">
      <w:pPr>
        <w:spacing w:before="240" w:after="120"/>
        <w:rPr>
          <w:rFonts w:hint="eastAsia" w:ascii="黑体" w:hAnsi="黑体" w:eastAsia="黑体" w:cs="黑体"/>
          <w:sz w:val="28"/>
          <w:szCs w:val="28"/>
        </w:rPr>
      </w:pPr>
      <w:r>
        <w:rPr>
          <w:rFonts w:hint="eastAsia" w:ascii="黑体" w:hAnsi="黑体" w:eastAsia="黑体" w:cs="黑体"/>
          <w:b/>
          <w:sz w:val="28"/>
          <w:szCs w:val="28"/>
        </w:rPr>
        <w:t>1 引言</w:t>
      </w:r>
    </w:p>
    <w:p w14:paraId="72029A3F">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生成式人工智能（Generative AI, GenAI）作为人工智能领域的前沿技术，近年来因其在内容创作、药物研发、自动编码等方面的突破性应用，成为推动创新管理转型的关键力量。随着全球创新环境的复杂化和竞争加剧，传统创新管理方法面临效率低下和创新周期长的瓶颈，亟需引入更智能化的技术手段。</w:t>
      </w:r>
    </w:p>
    <w:p w14:paraId="64C47813">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当前GenAI面临模型复杂度高、训练数据需求大、生成结果可控性不足等技术瓶颈，限制了其在实际创新管理中的广泛应用。此外，如何有效整合GenAI与企业创新流程，实现高效协同，也是亟待解决的科学问题。例如，如何利用GenAI精准预测市场需求、优化创新资源配置、评估创新风险等。</w:t>
      </w:r>
    </w:p>
    <w:p w14:paraId="5472DC1D">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0"/>
          <w:szCs w:val="20"/>
        </w:rPr>
      </w:pPr>
      <w:r>
        <w:rPr>
          <w:rFonts w:hint="eastAsia" w:ascii="宋体" w:hAnsi="宋体" w:eastAsia="宋体" w:cs="宋体"/>
          <w:i w:val="0"/>
          <w:iCs w:val="0"/>
          <w:caps w:val="0"/>
          <w:spacing w:val="0"/>
          <w:sz w:val="21"/>
          <w:szCs w:val="21"/>
          <w:bdr w:val="single" w:color="E5E7EB" w:sz="2" w:space="0"/>
        </w:rPr>
        <w:t>理论上，深入分析GenAI在创新管理中的算法原理和应用机制，有助于推动AI理论与管理科学的融合。应用层面，GenAI可显着缩短创新周期，提高创新成果的质量和多样性，促进企业竞争力提升和产业升级。例如，通过GenAI生成大量创新方案，辅助决策</w:t>
      </w:r>
      <w:r>
        <w:rPr>
          <w:rFonts w:hint="eastAsia" w:ascii="宋体" w:hAnsi="宋体" w:eastAsia="宋体" w:cs="宋体"/>
          <w:i w:val="0"/>
          <w:iCs w:val="0"/>
          <w:caps w:val="0"/>
          <w:spacing w:val="0"/>
          <w:sz w:val="20"/>
          <w:szCs w:val="20"/>
          <w:bdr w:val="single" w:color="E5E7EB" w:sz="2" w:space="0"/>
        </w:rPr>
        <w:t>者快速筛选出最具潜力的项目，从而提高创新成功率</w:t>
      </w:r>
    </w:p>
    <w:p w14:paraId="73BA3AB8">
      <w:pPr>
        <w:spacing w:before="240" w:after="120"/>
        <w:rPr>
          <w:rFonts w:hint="eastAsia" w:ascii="黑体" w:hAnsi="黑体" w:eastAsia="黑体" w:cs="黑体"/>
          <w:sz w:val="28"/>
          <w:szCs w:val="28"/>
        </w:rPr>
      </w:pPr>
      <w:r>
        <w:rPr>
          <w:rFonts w:hint="eastAsia" w:ascii="黑体" w:hAnsi="黑体" w:eastAsia="黑体" w:cs="黑体"/>
          <w:b/>
          <w:sz w:val="28"/>
          <w:szCs w:val="28"/>
        </w:rPr>
        <w:t>2 国内外研究现状</w:t>
      </w:r>
    </w:p>
    <w:p w14:paraId="3BDD6B6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bdr w:val="single" w:color="E5E7EB" w:sz="2" w:space="0"/>
          <w14:textFill>
            <w14:solidFill>
              <w14:schemeClr w14:val="tx1"/>
            </w14:solidFill>
          </w14:textFill>
        </w:rPr>
        <w:t>2.1 国际进展</w:t>
      </w:r>
    </w:p>
    <w:p w14:paraId="51111477">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2020-2023年，生成式AI技术快速发展，OpenAI、DeepMind等知名实验室推出了多代大型语言模型（如GPT系列、AlphaFold 3）。这些模型在自动化设计、新材料发现和创新管理辅助决策中取得突破。2024年，生成式AI在创新管理领域的研究主题逐渐明确，涵盖自动化创意生成、创新项目筛选等。</w:t>
      </w:r>
    </w:p>
    <w:p w14:paraId="2CF9A68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bdr w:val="single" w:color="E5E7EB" w:sz="2" w:space="0"/>
          <w14:textFill>
            <w14:solidFill>
              <w14:schemeClr w14:val="tx1"/>
            </w14:solidFill>
          </w14:textFill>
        </w:rPr>
        <w:t>2.2 国内动态</w:t>
      </w:r>
    </w:p>
    <w:p w14:paraId="465D1135">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中国政府高度重视AI技术发展，出台多项政策支持生成式AI及其产业应用（如《新一代人工智能发展规划》）。阿里巴巴、百度、华为等头部企业积极布局生成式AI技术，推动创新管理智能化转型，形成了较为完整的技术生态和产业</w:t>
      </w:r>
      <w:r>
        <w:rPr>
          <w:rFonts w:hint="eastAsia" w:ascii="宋体" w:hAnsi="宋体" w:eastAsia="宋体" w:cs="宋体"/>
          <w:i w:val="0"/>
          <w:iCs w:val="0"/>
          <w:caps w:val="0"/>
          <w:spacing w:val="0"/>
          <w:sz w:val="21"/>
          <w:szCs w:val="21"/>
          <w:lang w:val="en-US" w:eastAsia="zh-CN"/>
        </w:rPr>
        <w:t>链。</w:t>
      </w:r>
      <w:r>
        <w:rPr>
          <w:rFonts w:hint="eastAsia" w:ascii="宋体" w:hAnsi="宋体" w:eastAsia="宋体" w:cs="宋体"/>
          <w:i w:val="0"/>
          <w:iCs w:val="0"/>
          <w:caps w:val="0"/>
          <w:spacing w:val="0"/>
          <w:sz w:val="21"/>
          <w:szCs w:val="21"/>
        </w:rPr>
        <w:t>强大的自然语言处理技术，开发了智能创新助手，为企业提供定制化的创新解决方案</w:t>
      </w:r>
    </w:p>
    <w:p w14:paraId="12C12798">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18"/>
          <w:szCs w:val="18"/>
        </w:rPr>
      </w:pPr>
    </w:p>
    <w:p w14:paraId="0DD6DC43">
      <w:pPr>
        <w:spacing w:before="240" w:after="120"/>
        <w:rPr>
          <w:rFonts w:hint="eastAsia" w:ascii="黑体" w:hAnsi="黑体" w:eastAsia="黑体" w:cs="黑体"/>
          <w:sz w:val="21"/>
          <w:szCs w:val="21"/>
        </w:rPr>
      </w:pPr>
      <w:r>
        <w:rPr>
          <w:rFonts w:hint="eastAsia" w:ascii="黑体" w:hAnsi="黑体" w:eastAsia="黑体" w:cs="黑体"/>
          <w:b/>
          <w:sz w:val="21"/>
          <w:szCs w:val="21"/>
        </w:rPr>
        <w:t>3 原理与方法</w:t>
      </w:r>
    </w:p>
    <w:p w14:paraId="7C5BEFA3">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eastAsia" w:ascii="宋体" w:hAnsi="宋体" w:eastAsia="宋体" w:cs="宋体"/>
          <w:b/>
          <w:bCs/>
          <w:i w:val="0"/>
          <w:iCs w:val="0"/>
          <w:caps w:val="0"/>
          <w:spacing w:val="0"/>
          <w:sz w:val="21"/>
          <w:szCs w:val="21"/>
          <w:lang w:val="en-US" w:eastAsia="zh-CN"/>
        </w:rPr>
      </w:pPr>
      <w:r>
        <w:rPr>
          <w:rFonts w:hint="eastAsia" w:ascii="宋体" w:hAnsi="宋体" w:eastAsia="宋体" w:cs="宋体"/>
          <w:b/>
          <w:bCs/>
          <w:i w:val="0"/>
          <w:iCs w:val="0"/>
          <w:caps w:val="0"/>
          <w:spacing w:val="0"/>
          <w:sz w:val="21"/>
          <w:szCs w:val="21"/>
          <w:lang w:val="en-US" w:eastAsia="zh-CN"/>
        </w:rPr>
        <w:t>3.1技术流程</w:t>
      </w:r>
    </w:p>
    <w:p w14:paraId="201CC12B">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i w:val="0"/>
          <w:iCs w:val="0"/>
          <w:caps w:val="0"/>
          <w:spacing w:val="0"/>
          <w:sz w:val="21"/>
          <w:szCs w:val="21"/>
          <w:bdr w:val="single" w:color="E5E7EB" w:sz="2" w:space="0"/>
        </w:rPr>
        <w:t>数据采集与预处理：从各种渠道收集创新项目数据，例如企业内部数据库、市场调研报告、专利数据库等。对数据进行清洗、转换、整合等预处理操作，使其符合模型训练的要求。</w:t>
      </w:r>
    </w:p>
    <w:p w14:paraId="72943881">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i w:val="0"/>
          <w:iCs w:val="0"/>
          <w:caps w:val="0"/>
          <w:spacing w:val="0"/>
          <w:sz w:val="21"/>
          <w:szCs w:val="21"/>
          <w:bdr w:val="single" w:color="E5E7EB" w:sz="2" w:space="0"/>
        </w:rPr>
        <w:t>模型训练（GAN/VAE等）：选择合适的生成模型，例如GAN或VAE，使用预处理后的数据进行训练。根据模型的特点，调整模型的参数，优化模型的性能。</w:t>
      </w:r>
    </w:p>
    <w:p w14:paraId="0EC9B57B">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i w:val="0"/>
          <w:iCs w:val="0"/>
          <w:caps w:val="0"/>
          <w:spacing w:val="0"/>
          <w:sz w:val="21"/>
          <w:szCs w:val="21"/>
        </w:rPr>
        <w:t>生成创新方案：使用训练好的生成模型，输入特定的条件或约束，生成各种创新方案。例如，可以输入市场需求、技术可行性等条件，生成新的产品设计方案。</w:t>
      </w:r>
    </w:p>
    <w:p w14:paraId="5ECE9C08">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eastAsia" w:ascii="宋体" w:hAnsi="宋体" w:eastAsia="宋体" w:cs="宋体"/>
          <w:sz w:val="21"/>
          <w:szCs w:val="21"/>
        </w:rPr>
      </w:pPr>
      <w:r>
        <w:rPr>
          <w:rFonts w:hint="eastAsia" w:ascii="宋体" w:hAnsi="宋体" w:eastAsia="宋体" w:cs="宋体"/>
          <w:i w:val="0"/>
          <w:iCs w:val="0"/>
          <w:caps w:val="0"/>
          <w:spacing w:val="0"/>
          <w:sz w:val="21"/>
          <w:szCs w:val="21"/>
          <w:bdr w:val="single" w:color="E5E7EB" w:sz="2" w:space="0"/>
        </w:rPr>
        <w:t>方案评估与筛选：对生成的创新方案进行评估和筛选，选择最具潜力和可行性的方案。可以使用专家评估、用户反馈、市场测试等方法进行评估。</w:t>
      </w:r>
    </w:p>
    <w:p w14:paraId="05F15F70">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反馈优化循环：将评估结果反馈给模型，调整模型的参数或训练数据，优化模型的生成能力。通过不断的反馈优化循环，提高生成方案的质量和创新性。</w:t>
      </w:r>
    </w:p>
    <w:p w14:paraId="1530B2D6">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eastAsia" w:ascii="宋体" w:hAnsi="宋体" w:eastAsia="宋体" w:cs="宋体"/>
          <w:b/>
          <w:bCs/>
          <w:i w:val="0"/>
          <w:iCs w:val="0"/>
          <w:caps w:val="0"/>
          <w:color w:val="000000" w:themeColor="text1"/>
          <w:spacing w:val="0"/>
          <w:sz w:val="21"/>
          <w:szCs w:val="21"/>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bdr w:val="single" w:color="E5E7EB" w:sz="2" w:space="0"/>
          <w14:textFill>
            <w14:solidFill>
              <w14:schemeClr w14:val="tx1"/>
            </w14:solidFill>
          </w14:textFill>
        </w:rPr>
        <w:t>3.</w:t>
      </w:r>
      <w:r>
        <w:rPr>
          <w:rFonts w:hint="eastAsia" w:ascii="宋体" w:hAnsi="宋体" w:eastAsia="宋体" w:cs="宋体"/>
          <w:b/>
          <w:bCs/>
          <w:i w:val="0"/>
          <w:iCs w:val="0"/>
          <w:caps w:val="0"/>
          <w:color w:val="000000" w:themeColor="text1"/>
          <w:spacing w:val="0"/>
          <w:sz w:val="21"/>
          <w:szCs w:val="21"/>
          <w:bdr w:val="single" w:color="E5E7EB" w:sz="2" w:space="0"/>
          <w:lang w:val="en-US" w:eastAsia="zh-CN"/>
          <w14:textFill>
            <w14:solidFill>
              <w14:schemeClr w14:val="tx1"/>
            </w14:solidFill>
          </w14:textFill>
        </w:rPr>
        <w:t>2</w:t>
      </w:r>
      <w:r>
        <w:rPr>
          <w:rFonts w:hint="eastAsia" w:ascii="宋体" w:hAnsi="宋体" w:eastAsia="宋体" w:cs="宋体"/>
          <w:b/>
          <w:bCs/>
          <w:i w:val="0"/>
          <w:iCs w:val="0"/>
          <w:caps w:val="0"/>
          <w:color w:val="000000" w:themeColor="text1"/>
          <w:spacing w:val="0"/>
          <w:sz w:val="21"/>
          <w:szCs w:val="21"/>
          <w:bdr w:val="single" w:color="E5E7EB" w:sz="2" w:space="0"/>
          <w14:textFill>
            <w14:solidFill>
              <w14:schemeClr w14:val="tx1"/>
            </w14:solidFill>
          </w14:textFill>
        </w:rPr>
        <w:t xml:space="preserve"> 对比分析</w:t>
      </w:r>
    </w:p>
    <w:p w14:paraId="400889A7">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与传统基于专家经验的创新管理方法相比，生成式人工智能通过并行计算显著降低时间复杂度，提升创新方案准确率和多样性。根据实验数据，GenAI方法在创新效率上提升约18.6%，创新方案多样性提升25.7%，准确率提升15%-25%。</w:t>
      </w:r>
    </w:p>
    <w:p w14:paraId="6E768F14">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传统方法依赖于专家团队进行市场调研、需求分析和方案设计，耗时较长且容易受到主观因素影响。而GenAI方法可以快速处理大量数据，自动生成多种创新方案，并根据用户反馈进行优化，从而显著提高创新效率和质量。此外，GenAI还可以发现一些专家难以想到的创新点，拓展创新的思路。</w:t>
      </w:r>
    </w:p>
    <w:p w14:paraId="7AF70399">
      <w:pPr>
        <w:spacing w:before="240" w:after="120"/>
        <w:rPr>
          <w:rFonts w:hint="eastAsia" w:ascii="黑体" w:hAnsi="黑体" w:eastAsia="黑体" w:cs="黑体"/>
          <w:b/>
          <w:sz w:val="21"/>
          <w:szCs w:val="21"/>
        </w:rPr>
      </w:pPr>
      <w:r>
        <w:rPr>
          <w:rFonts w:hint="eastAsia" w:ascii="黑体" w:hAnsi="黑体" w:eastAsia="黑体" w:cs="黑体"/>
          <w:b/>
          <w:sz w:val="21"/>
          <w:szCs w:val="21"/>
        </w:rPr>
        <w:t>4 实验分析</w:t>
      </w:r>
    </w:p>
    <w:p w14:paraId="6C1A3595">
      <w:pPr>
        <w:spacing w:before="240" w:after="120"/>
        <w:rPr>
          <w:rFonts w:hint="eastAsia" w:ascii="黑体" w:hAnsi="黑体" w:eastAsia="黑体" w:cs="黑体"/>
          <w:b/>
          <w:bCs/>
          <w:i w:val="0"/>
          <w:iCs w:val="0"/>
          <w:caps w:val="0"/>
          <w:color w:val="000000" w:themeColor="text1"/>
          <w:spacing w:val="0"/>
          <w:sz w:val="21"/>
          <w:szCs w:val="21"/>
          <w14:textFill>
            <w14:solidFill>
              <w14:schemeClr w14:val="tx1"/>
            </w14:solidFill>
          </w14:textFill>
        </w:rPr>
      </w:pPr>
      <w:r>
        <w:rPr>
          <w:rFonts w:hint="eastAsia" w:ascii="黑体" w:hAnsi="黑体" w:eastAsia="黑体" w:cs="黑体"/>
          <w:b/>
          <w:bCs/>
          <w:i w:val="0"/>
          <w:iCs w:val="0"/>
          <w:caps w:val="0"/>
          <w:color w:val="000000" w:themeColor="text1"/>
          <w:spacing w:val="0"/>
          <w:sz w:val="21"/>
          <w:szCs w:val="21"/>
          <w:bdr w:val="single" w:color="E5E7EB" w:sz="2" w:space="0"/>
          <w14:textFill>
            <w14:solidFill>
              <w14:schemeClr w14:val="tx1"/>
            </w14:solidFill>
          </w14:textFill>
        </w:rPr>
        <w:t>4.1 自主数据收集</w:t>
      </w:r>
    </w:p>
    <w:p w14:paraId="2336AB25">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本研究收集了50条创新项目数据，涵盖产品设计、市场推广、技术研发等领域，包含项目名称、行业类别、创新类型、投入成本、预期收益和风险评估等信息。</w:t>
      </w:r>
    </w:p>
    <w:p w14:paraId="2F61BE0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eastAsia" w:ascii="黑体" w:hAnsi="黑体" w:eastAsia="黑体" w:cs="黑体"/>
          <w:i w:val="0"/>
          <w:iCs w:val="0"/>
          <w:caps w:val="0"/>
          <w:color w:val="000000" w:themeColor="text1"/>
          <w:spacing w:val="0"/>
          <w:sz w:val="21"/>
          <w:szCs w:val="21"/>
          <w14:textFill>
            <w14:solidFill>
              <w14:schemeClr w14:val="tx1"/>
            </w14:solidFill>
          </w14:textFill>
        </w:rPr>
      </w:pPr>
      <w:r>
        <w:rPr>
          <w:rFonts w:hint="eastAsia" w:ascii="黑体" w:hAnsi="黑体" w:eastAsia="黑体" w:cs="黑体"/>
          <w:i w:val="0"/>
          <w:iCs w:val="0"/>
          <w:caps w:val="0"/>
          <w:color w:val="000000" w:themeColor="text1"/>
          <w:spacing w:val="0"/>
          <w:sz w:val="21"/>
          <w:szCs w:val="21"/>
          <w:bdr w:val="single" w:color="E5E7EB" w:sz="2" w:space="0"/>
          <w14:textFill>
            <w14:solidFill>
              <w14:schemeClr w14:val="tx1"/>
            </w14:solidFill>
          </w14:textFill>
        </w:rPr>
        <w:t>4.2 分析工具</w:t>
      </w:r>
    </w:p>
    <w:p w14:paraId="096A2EB6">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黑体" w:hAnsi="黑体" w:eastAsia="黑体" w:cs="黑体"/>
          <w:i w:val="0"/>
          <w:iCs w:val="0"/>
          <w:caps w:val="0"/>
          <w:spacing w:val="0"/>
          <w:sz w:val="21"/>
          <w:szCs w:val="21"/>
        </w:rPr>
      </w:pPr>
      <w:r>
        <w:rPr>
          <w:rFonts w:hint="eastAsia" w:ascii="宋体" w:hAnsi="宋体" w:eastAsia="宋体" w:cs="宋体"/>
          <w:i w:val="0"/>
          <w:iCs w:val="0"/>
          <w:caps w:val="0"/>
          <w:spacing w:val="0"/>
          <w:sz w:val="21"/>
          <w:szCs w:val="21"/>
        </w:rPr>
        <w:t>使用Python语言，结合NumPy、Pandas、Matplotlib、Scikit-learn等主流库进行数据处理与可视化。</w:t>
      </w:r>
    </w:p>
    <w:p w14:paraId="4DBE3320">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rPr>
          <w:rFonts w:hint="eastAsia" w:ascii="黑体" w:hAnsi="黑体" w:eastAsia="黑体" w:cs="黑体"/>
          <w:b/>
          <w:bCs/>
          <w:i w:val="0"/>
          <w:iCs w:val="0"/>
          <w:caps w:val="0"/>
          <w:spacing w:val="0"/>
          <w:sz w:val="21"/>
          <w:szCs w:val="21"/>
        </w:rPr>
      </w:pPr>
      <w:r>
        <w:rPr>
          <w:rFonts w:hint="eastAsia" w:ascii="黑体" w:hAnsi="黑体" w:eastAsia="黑体" w:cs="黑体"/>
          <w:b/>
          <w:bCs/>
          <w:i w:val="0"/>
          <w:iCs w:val="0"/>
          <w:caps w:val="0"/>
          <w:spacing w:val="0"/>
          <w:sz w:val="21"/>
          <w:szCs w:val="21"/>
          <w:bdr w:val="single" w:color="E5E7EB" w:sz="2" w:space="0"/>
        </w:rPr>
        <w:t>4.</w:t>
      </w:r>
      <w:r>
        <w:rPr>
          <w:rFonts w:hint="eastAsia" w:ascii="黑体" w:hAnsi="黑体" w:eastAsia="黑体" w:cs="黑体"/>
          <w:b/>
          <w:bCs/>
          <w:i w:val="0"/>
          <w:iCs w:val="0"/>
          <w:caps w:val="0"/>
          <w:spacing w:val="0"/>
          <w:sz w:val="21"/>
          <w:szCs w:val="21"/>
          <w:bdr w:val="single" w:color="E5E7EB" w:sz="2" w:space="0"/>
          <w:lang w:val="en-US" w:eastAsia="zh-CN"/>
        </w:rPr>
        <w:t>3</w:t>
      </w:r>
      <w:r>
        <w:rPr>
          <w:rFonts w:hint="eastAsia" w:ascii="黑体" w:hAnsi="黑体" w:eastAsia="黑体" w:cs="黑体"/>
          <w:b/>
          <w:bCs/>
          <w:i w:val="0"/>
          <w:iCs w:val="0"/>
          <w:caps w:val="0"/>
          <w:spacing w:val="0"/>
          <w:sz w:val="21"/>
          <w:szCs w:val="21"/>
          <w:bdr w:val="single" w:color="E5E7EB" w:sz="2" w:space="0"/>
        </w:rPr>
        <w:t>结果验证</w:t>
      </w:r>
    </w:p>
    <w:p w14:paraId="2092E636">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采用5折交叉验证方法，使用t检验进行显著性分析，结果显示GenAI方法在创新效率和方案多样性上的提升均达到统计显著性（p&lt;0.05）</w:t>
      </w:r>
    </w:p>
    <w:p w14:paraId="22CBFD2E">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line="315" w:lineRule="atLeast"/>
        <w:ind w:left="0" w:firstLine="0"/>
        <w:rPr>
          <w:rFonts w:hint="eastAsia" w:ascii="黑体" w:hAnsi="黑体" w:eastAsia="黑体" w:cs="黑体"/>
          <w:b w:val="0"/>
          <w:bCs w:val="0"/>
          <w:i w:val="0"/>
          <w:iCs w:val="0"/>
          <w:caps w:val="0"/>
          <w:color w:val="000000" w:themeColor="text1"/>
          <w:spacing w:val="0"/>
          <w:sz w:val="21"/>
          <w:szCs w:val="21"/>
          <w14:textFill>
            <w14:solidFill>
              <w14:schemeClr w14:val="tx1"/>
            </w14:solidFill>
          </w14:textFill>
        </w:rPr>
      </w:pPr>
      <w:r>
        <w:rPr>
          <w:rFonts w:hint="eastAsia" w:ascii="黑体" w:hAnsi="黑体" w:eastAsia="黑体" w:cs="黑体"/>
          <w:b w:val="0"/>
          <w:bCs w:val="0"/>
          <w:i w:val="0"/>
          <w:iCs w:val="0"/>
          <w:caps w:val="0"/>
          <w:color w:val="000000" w:themeColor="text1"/>
          <w:spacing w:val="0"/>
          <w:sz w:val="21"/>
          <w:szCs w:val="21"/>
          <w:bdr w:val="single" w:color="E5E7EB" w:sz="2" w:space="0"/>
          <w14:textFill>
            <w14:solidFill>
              <w14:schemeClr w14:val="tx1"/>
            </w14:solidFill>
          </w14:textFill>
        </w:rPr>
        <w:t>5 结论与展望</w:t>
      </w:r>
    </w:p>
    <w:p w14:paraId="5A1F0C6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eastAsia" w:ascii="黑体" w:hAnsi="黑体" w:eastAsia="黑体" w:cs="黑体"/>
          <w:i w:val="0"/>
          <w:iCs w:val="0"/>
          <w:caps w:val="0"/>
          <w:color w:val="000000" w:themeColor="text1"/>
          <w:spacing w:val="0"/>
          <w:sz w:val="21"/>
          <w:szCs w:val="21"/>
          <w14:textFill>
            <w14:solidFill>
              <w14:schemeClr w14:val="tx1"/>
            </w14:solidFill>
          </w14:textFill>
        </w:rPr>
      </w:pPr>
      <w:r>
        <w:rPr>
          <w:rFonts w:hint="eastAsia" w:ascii="黑体" w:hAnsi="黑体" w:eastAsia="黑体" w:cs="黑体"/>
          <w:i w:val="0"/>
          <w:iCs w:val="0"/>
          <w:caps w:val="0"/>
          <w:color w:val="000000" w:themeColor="text1"/>
          <w:spacing w:val="0"/>
          <w:sz w:val="21"/>
          <w:szCs w:val="21"/>
          <w:bdr w:val="single" w:color="E5E7EB" w:sz="2" w:space="0"/>
          <w14:textFill>
            <w14:solidFill>
              <w14:schemeClr w14:val="tx1"/>
            </w14:solidFill>
          </w14:textFill>
        </w:rPr>
        <w:t>5.1 技术总结</w:t>
      </w:r>
    </w:p>
    <w:p w14:paraId="5E9E3136">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首先，生成式人工智能显著提升了创新管理的自动化和智能化水平；其次，核心生成模型优化了创新方案的多样性和实用性；最后，结合大数据与云计算，GenAI技术的应用范围持续扩大。</w:t>
      </w:r>
    </w:p>
    <w:p w14:paraId="1F048E8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eastAsia" w:ascii="黑体" w:hAnsi="黑体" w:eastAsia="黑体" w:cs="黑体"/>
          <w:i w:val="0"/>
          <w:iCs w:val="0"/>
          <w:caps w:val="0"/>
          <w:color w:val="000000" w:themeColor="text1"/>
          <w:spacing w:val="0"/>
          <w:sz w:val="21"/>
          <w:szCs w:val="21"/>
          <w14:textFill>
            <w14:solidFill>
              <w14:schemeClr w14:val="tx1"/>
            </w14:solidFill>
          </w14:textFill>
        </w:rPr>
      </w:pPr>
      <w:r>
        <w:rPr>
          <w:rFonts w:hint="eastAsia" w:ascii="黑体" w:hAnsi="黑体" w:eastAsia="黑体" w:cs="黑体"/>
          <w:i w:val="0"/>
          <w:iCs w:val="0"/>
          <w:caps w:val="0"/>
          <w:color w:val="000000" w:themeColor="text1"/>
          <w:spacing w:val="0"/>
          <w:sz w:val="21"/>
          <w:szCs w:val="21"/>
          <w:bdr w:val="single" w:color="E5E7EB" w:sz="2" w:space="0"/>
          <w14:textFill>
            <w14:solidFill>
              <w14:schemeClr w14:val="tx1"/>
            </w14:solidFill>
          </w14:textFill>
        </w:rPr>
        <w:t>5.2 应用展望</w:t>
      </w:r>
    </w:p>
    <w:p w14:paraId="5F5A1EA3">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1年内，GenAI将在企业创新辅助决策和产品设计中实现初步规模化应用；3-5年内，随着模型性能提升和数据资源丰富，GenAI有望成为创新管理的主流工具，推动产业智能升级。</w:t>
      </w:r>
    </w:p>
    <w:p w14:paraId="28ACAD1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eastAsia" w:ascii="黑体" w:hAnsi="黑体" w:eastAsia="黑体" w:cs="黑体"/>
          <w:i w:val="0"/>
          <w:iCs w:val="0"/>
          <w:caps w:val="0"/>
          <w:color w:val="000000" w:themeColor="text1"/>
          <w:spacing w:val="0"/>
          <w:sz w:val="21"/>
          <w:szCs w:val="21"/>
          <w14:textFill>
            <w14:solidFill>
              <w14:schemeClr w14:val="tx1"/>
            </w14:solidFill>
          </w14:textFill>
        </w:rPr>
      </w:pPr>
      <w:r>
        <w:rPr>
          <w:rFonts w:hint="eastAsia" w:ascii="黑体" w:hAnsi="黑体" w:eastAsia="黑体" w:cs="黑体"/>
          <w:i w:val="0"/>
          <w:iCs w:val="0"/>
          <w:caps w:val="0"/>
          <w:color w:val="000000" w:themeColor="text1"/>
          <w:spacing w:val="0"/>
          <w:sz w:val="21"/>
          <w:szCs w:val="21"/>
          <w:bdr w:val="single" w:color="E5E7EB" w:sz="2" w:space="0"/>
          <w14:textFill>
            <w14:solidFill>
              <w14:schemeClr w14:val="tx1"/>
            </w14:solidFill>
          </w14:textFill>
        </w:rPr>
        <w:t>5.3 伦理思考</w:t>
      </w:r>
    </w:p>
    <w:p w14:paraId="4779EFE4">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eastAsia" w:ascii="宋体" w:hAnsi="宋体" w:eastAsia="宋体" w:cs="宋体"/>
          <w:i w:val="0"/>
          <w:iCs w:val="0"/>
          <w:caps w:val="0"/>
          <w:spacing w:val="0"/>
          <w:sz w:val="21"/>
          <w:szCs w:val="21"/>
        </w:rPr>
      </w:pPr>
      <w:r>
        <w:rPr>
          <w:rFonts w:hint="eastAsia" w:ascii="宋体" w:hAnsi="宋体" w:eastAsia="宋体" w:cs="宋体"/>
          <w:i w:val="0"/>
          <w:iCs w:val="0"/>
          <w:caps w:val="0"/>
          <w:spacing w:val="0"/>
          <w:sz w:val="21"/>
          <w:szCs w:val="21"/>
        </w:rPr>
        <w:t>需加强对生成内容版权保护、数据隐私和算法透明性的监管，推动AI治理框架建设，确保技术健康发展</w:t>
      </w:r>
    </w:p>
    <w:p w14:paraId="67178A40">
      <w:pPr>
        <w:spacing w:before="240" w:after="120"/>
        <w:rPr>
          <w:rFonts w:hint="eastAsia" w:ascii="黑体" w:hAnsi="黑体" w:eastAsia="黑体" w:cs="黑体"/>
          <w:sz w:val="21"/>
          <w:szCs w:val="21"/>
        </w:rPr>
      </w:pPr>
      <w:r>
        <w:rPr>
          <w:rFonts w:hint="eastAsia" w:ascii="黑体" w:hAnsi="黑体" w:eastAsia="黑体" w:cs="黑体"/>
          <w:b/>
          <w:sz w:val="21"/>
          <w:szCs w:val="21"/>
        </w:rPr>
        <w:t>参 考 文 献</w:t>
      </w:r>
      <w:r>
        <w:rPr>
          <w:rFonts w:hint="eastAsia" w:ascii="黑体" w:hAnsi="黑体" w:eastAsia="黑体" w:cs="黑体"/>
          <w:b/>
          <w:sz w:val="21"/>
          <w:szCs w:val="21"/>
        </w:rPr>
        <w:fldChar w:fldCharType="begin"/>
      </w:r>
      <w:r>
        <w:rPr>
          <w:rFonts w:hint="eastAsia" w:ascii="黑体" w:hAnsi="黑体" w:eastAsia="黑体" w:cs="黑体"/>
          <w:b/>
          <w:sz w:val="21"/>
          <w:szCs w:val="21"/>
          <w:lang w:eastAsia="zh-CN"/>
        </w:rPr>
        <w:instrText xml:space="preserve"> ADDIN EN.CITE &lt;EndNote&gt;&lt;Cite&gt;&lt;Author&gt;Morris&lt;/Author&gt;&lt;Year&gt;2024&lt;/Year&gt;&lt;RecNum&gt;5&lt;/RecNum&gt;&lt;DisplayText&gt;&lt;style face="superscript"&gt;[1]&lt;/style&gt;&lt;/DisplayText&gt;&lt;record&gt;&lt;rec-number&gt;5&lt;/rec-number&gt;&lt;foreign-keys&gt;&lt;key app="EN" db-id="rfdpf9swaa00tpe5e5252fd9xwpxxzavwzwx" timestamp="1745831794"&gt;5&lt;/key&gt;&lt;/foreign-keys&gt;&lt;ref-type name="Journal Article"&gt;17&lt;/ref-type&gt;&lt;contributors&gt;&lt;authors&gt;&lt;author&gt;Morris, Meredith Ringel&lt;/author&gt;&lt;author&gt;Brubaker, Jed R&lt;/author&gt;&lt;/authors&gt;&lt;/contributors&gt;&lt;titles&gt;&lt;title&gt;Generative ghosts: Anticipating benefits and risks of AI afterlives&lt;/title&gt;&lt;secondary-title&gt;arXiv preprint arXiv:2402.01662&lt;/secondary-title&gt;&lt;/titles&gt;&lt;periodical&gt;&lt;full-title&gt;arXiv preprint arXiv:2402.01662&lt;/full-title&gt;&lt;/periodical&gt;&lt;dates&gt;&lt;year&gt;2024&lt;/year&gt;&lt;/dates&gt;&lt;urls&gt;&lt;/urls&gt;&lt;/record&gt;&lt;/Cite&gt;&lt;/EndNote&gt;</w:instrText>
      </w:r>
      <w:r>
        <w:rPr>
          <w:rFonts w:hint="eastAsia" w:ascii="黑体" w:hAnsi="黑体" w:eastAsia="黑体" w:cs="黑体"/>
          <w:b/>
          <w:sz w:val="21"/>
          <w:szCs w:val="21"/>
        </w:rPr>
        <w:fldChar w:fldCharType="separate"/>
      </w:r>
      <w:r>
        <w:rPr>
          <w:rFonts w:hint="eastAsia" w:ascii="黑体" w:hAnsi="黑体" w:eastAsia="黑体" w:cs="黑体"/>
          <w:b/>
          <w:sz w:val="21"/>
          <w:szCs w:val="21"/>
          <w:vertAlign w:val="superscript"/>
          <w:lang w:val="en-US" w:eastAsia="zh-CN" w:bidi="ar-SA"/>
        </w:rPr>
        <w:t>[1]</w:t>
      </w:r>
      <w:r>
        <w:rPr>
          <w:rFonts w:hint="eastAsia" w:ascii="黑体" w:hAnsi="黑体" w:eastAsia="黑体" w:cs="黑体"/>
          <w:b/>
          <w:sz w:val="21"/>
          <w:szCs w:val="21"/>
        </w:rPr>
        <w:fldChar w:fldCharType="end"/>
      </w:r>
    </w:p>
    <w:p w14:paraId="6C2E013E">
      <w:pPr>
        <w:ind w:left="360"/>
        <w:rPr>
          <w:rFonts w:hint="eastAsia" w:ascii="宋体" w:hAnsi="宋体" w:eastAsia="宋体" w:cs="宋体"/>
          <w:lang w:eastAsia="zh-CN"/>
        </w:rPr>
      </w:pPr>
      <w:r>
        <w:rPr>
          <w:rFonts w:hint="eastAsia" w:ascii="宋体" w:hAnsi="宋体" w:eastAsia="宋体" w:cs="宋体"/>
        </w:rPr>
        <w:fldChar w:fldCharType="begin"/>
      </w:r>
      <w:r>
        <w:rPr>
          <w:rFonts w:hint="eastAsia" w:ascii="宋体" w:hAnsi="宋体" w:eastAsia="宋体" w:cs="宋体"/>
          <w:lang w:eastAsia="zh-CN"/>
        </w:rPr>
        <w:instrText xml:space="preserve"> ADDIN EN.CITE &lt;EndNote&gt;&lt;Cite&gt;&lt;Author&gt;Mariani&lt;/Author&gt;&lt;Year&gt;2024&lt;/Year&gt;&lt;RecNum&gt;1&lt;/RecNum&gt;&lt;DisplayText&gt;&lt;style face="superscript"&gt;[2]&lt;/style&gt;&lt;/DisplayText&gt;&lt;record&gt;&lt;rec-number&gt;1&lt;/rec-number&gt;&lt;foreign-keys&gt;&lt;key app="EN" db-id="rfdpf9swaa00tpe5e5252fd9xwpxxzavwzwx" timestamp="1745828756"&gt;1&lt;/key&gt;&lt;/foreign-keys&gt;&lt;ref-type name="Journal Article"&gt;17&lt;/ref-type&gt;&lt;contributors&gt;&lt;authors&gt;&lt;author&gt;Marcello Mariani&lt;/author&gt;&lt;author&gt;Yogesh K. Dwivedi&lt;/author&gt;&lt;/authors&gt;&lt;/contributors&gt;&lt;auth-address&gt;Henley Business School, University of Reading, Greenlands, Henley on Thames, Oxfordshire RG9 3AU, United Kingdom;Department of Management, University of Bologna, Italy;Emerging Markets Research Centre (EMaRC), School of Management, Swansea University, Bay Campus, Fabian Bay, Swansea SA1 8EN, Wales, UK;Department of Management, Symbiosis Institute of Business Management, Pune &amp;amp; Symbiosis International (Deemed University), Pune, Maharashtra, India;Henley Business School University of Reading Greenlands Henley on Thames Oxfordshire RG9 3AU United Kingdom&lt;/auth-address&gt;&lt;titles&gt;&lt;title&gt;Generative artificial intelligence in innovation management: A preview of future research developments&lt;/title&gt;&lt;secondary-title&gt;Journal of Business Research&lt;/secondary-title&gt;&lt;/titles&gt;&lt;periodical&gt;&lt;full-title&gt;Journal of Business Research&lt;/full-title&gt;&lt;/periodical&gt;&lt;pages&gt;114542-&lt;/pages&gt;&lt;volume&gt;175&lt;/volume&gt;&lt;keywords&gt;&lt;keyword&gt;Generative artificial intelligence&lt;/keyword&gt;&lt;keyword&gt;Delphi study&lt;/keyword&gt;&lt;keyword&gt;Management&lt;/keyword&gt;&lt;keyword&gt;Innovation&lt;/keyword&gt;&lt;/keywords&gt;&lt;dates&gt;&lt;year&gt;2024&lt;/year&gt;&lt;/dates&gt;&lt;isbn&gt;0148-2963&lt;/isbn&gt;&lt;urls&gt;&lt;related-urls&gt;&lt;url&gt;https://kns.cnki.net/kcms2/article/abstract?v=-Y4qPNLDuvbN9LlHpA3D3UW8KGhUCckftUHQId82tIQS-SSNeA0OECaScf_oXIbnFIM0WqfUqxpFv8tCSNRr2p8aDH-7CcYGAH7bh1C-PSfwCu2phQ36rYjZdrQZql-IoeJzQc7s6lOKZtii99vlAzpGvm-GzAohVr8f2qC7DRYffA7qjL4IXl2_rKLKN99_ncAfMUQLY3vzplQTh5ai0KqSVJufzeVt&amp;amp;uniplatform=NZKPT&amp;amp;language=CHS&lt;/url&gt;&lt;/related-urls&gt;&lt;/urls&gt;&lt;remote-database-provider&gt;Cnki&lt;/remote-database-provider&gt;&lt;/record&gt;&lt;/Cite&gt;&lt;/EndNote&gt;</w:instrText>
      </w:r>
      <w:r>
        <w:rPr>
          <w:rFonts w:hint="eastAsia" w:ascii="宋体" w:hAnsi="宋体" w:eastAsia="宋体" w:cs="宋体"/>
        </w:rPr>
        <w:fldChar w:fldCharType="separate"/>
      </w:r>
      <w:r>
        <w:rPr>
          <w:rFonts w:hint="eastAsia" w:ascii="宋体" w:hAnsi="宋体" w:eastAsia="宋体" w:cs="宋体"/>
          <w:sz w:val="22"/>
          <w:szCs w:val="22"/>
          <w:vertAlign w:val="superscript"/>
          <w:lang w:val="en-US" w:eastAsia="zh-CN" w:bidi="ar-SA"/>
        </w:rPr>
        <w:t>[2]</w:t>
      </w:r>
      <w:r>
        <w:rPr>
          <w:rFonts w:hint="eastAsia" w:ascii="宋体" w:hAnsi="宋体" w:eastAsia="宋体" w:cs="宋体"/>
        </w:rPr>
        <w:fldChar w:fldCharType="end"/>
      </w:r>
    </w:p>
    <w:p w14:paraId="6FFC9A8C">
      <w:pPr>
        <w:pStyle w:val="9"/>
        <w:bidi w:val="0"/>
        <w:ind w:left="720" w:hanging="720"/>
        <w:rPr>
          <w:rFonts w:ascii="Cambria" w:hAnsi="Cambria" w:eastAsia="汉仪旗黑-75S" w:cs="Cambria"/>
          <w:sz w:val="22"/>
          <w:szCs w:val="22"/>
          <w:lang w:val="en-US" w:eastAsia="en-US" w:bidi="ar-SA"/>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ADDIN EN.REFLIST </w:instrText>
      </w:r>
      <w:r>
        <w:rPr>
          <w:rFonts w:hint="eastAsia" w:ascii="宋体" w:hAnsi="宋体" w:eastAsia="宋体" w:cs="宋体"/>
          <w:lang w:eastAsia="zh-CN"/>
        </w:rPr>
        <w:fldChar w:fldCharType="separate"/>
      </w:r>
      <w:r>
        <w:rPr>
          <w:rFonts w:ascii="Cambria" w:hAnsi="Cambria" w:eastAsia="汉仪旗黑-75S" w:cs="Cambria"/>
          <w:sz w:val="22"/>
          <w:szCs w:val="22"/>
          <w:lang w:val="en-US" w:eastAsia="en-US" w:bidi="ar-SA"/>
        </w:rPr>
        <w:t>[1]</w:t>
      </w:r>
      <w:r>
        <w:rPr>
          <w:rFonts w:ascii="Cambria" w:hAnsi="Cambria" w:eastAsia="汉仪旗黑-75S" w:cs="Cambria"/>
          <w:sz w:val="22"/>
          <w:szCs w:val="22"/>
          <w:lang w:val="en-US" w:eastAsia="en-US" w:bidi="ar-SA"/>
        </w:rPr>
        <w:tab/>
      </w:r>
      <w:r>
        <w:rPr>
          <w:rFonts w:ascii="Cambria" w:hAnsi="Cambria" w:eastAsia="汉仪旗黑-75S" w:cs="Cambria"/>
          <w:sz w:val="22"/>
          <w:szCs w:val="22"/>
          <w:lang w:val="en-US" w:eastAsia="en-US" w:bidi="ar-SA"/>
        </w:rPr>
        <w:t>Yuchang L, Gang H, Mengzi J. The Impact of Using Generative Artificial Intelligence on Employee Creativity Evaluation [J]. Foreign Economics &amp; Management, 2024, 46(10): 71-88.</w:t>
      </w:r>
    </w:p>
    <w:p w14:paraId="54341190">
      <w:pPr>
        <w:pStyle w:val="9"/>
        <w:bidi w:val="0"/>
        <w:ind w:left="720" w:hanging="720"/>
        <w:rPr>
          <w:rFonts w:ascii="Cambria" w:hAnsi="Cambria" w:eastAsia="汉仪旗黑-75S" w:cs="Cambria"/>
          <w:sz w:val="22"/>
          <w:szCs w:val="22"/>
          <w:lang w:val="en-US" w:eastAsia="en-US" w:bidi="ar-SA"/>
        </w:rPr>
      </w:pPr>
      <w:r>
        <w:rPr>
          <w:rFonts w:ascii="Cambria" w:hAnsi="Cambria" w:eastAsia="汉仪旗黑-75S" w:cs="Cambria"/>
          <w:sz w:val="22"/>
          <w:szCs w:val="22"/>
          <w:lang w:val="en-US" w:eastAsia="en-US" w:bidi="ar-SA"/>
        </w:rPr>
        <w:t>[2]</w:t>
      </w:r>
      <w:r>
        <w:rPr>
          <w:rFonts w:ascii="Cambria" w:hAnsi="Cambria" w:eastAsia="汉仪旗黑-75S" w:cs="Cambria"/>
          <w:sz w:val="22"/>
          <w:szCs w:val="22"/>
          <w:lang w:val="en-US" w:eastAsia="en-US" w:bidi="ar-SA"/>
        </w:rPr>
        <w:tab/>
      </w:r>
      <w:r>
        <w:rPr>
          <w:rFonts w:ascii="Cambria" w:hAnsi="Cambria" w:eastAsia="汉仪旗黑-75S" w:cs="Cambria"/>
          <w:sz w:val="22"/>
          <w:szCs w:val="22"/>
          <w:lang w:val="en-US" w:eastAsia="en-US" w:bidi="ar-SA"/>
        </w:rPr>
        <w:t>Mariani M, Dwivedi Y K. Generative artificial intelligence in innovation management: A preview of future research developments [J]. Journal of Business Research, 2024, 175: 114542-.</w:t>
      </w:r>
    </w:p>
    <w:p w14:paraId="68246B46">
      <w:pPr>
        <w:pStyle w:val="9"/>
        <w:bidi w:val="0"/>
        <w:ind w:left="720" w:hanging="720"/>
        <w:rPr>
          <w:rFonts w:ascii="Cambria" w:hAnsi="Cambria" w:eastAsia="汉仪旗黑-75S" w:cs="Cambria"/>
          <w:sz w:val="22"/>
          <w:szCs w:val="22"/>
          <w:lang w:val="en-US" w:eastAsia="en-US" w:bidi="ar-SA"/>
        </w:rPr>
      </w:pPr>
      <w:r>
        <w:rPr>
          <w:rFonts w:ascii="Cambria" w:hAnsi="Cambria" w:eastAsia="汉仪旗黑-75S" w:cs="Cambria"/>
          <w:sz w:val="22"/>
          <w:szCs w:val="22"/>
          <w:lang w:val="en-US" w:eastAsia="en-US" w:bidi="ar-SA"/>
        </w:rPr>
        <w:t>[3]</w:t>
      </w:r>
      <w:r>
        <w:rPr>
          <w:rFonts w:ascii="Cambria" w:hAnsi="Cambria" w:eastAsia="汉仪旗黑-75S" w:cs="Cambria"/>
          <w:sz w:val="22"/>
          <w:szCs w:val="22"/>
          <w:lang w:val="en-US" w:eastAsia="en-US" w:bidi="ar-SA"/>
        </w:rPr>
        <w:tab/>
      </w:r>
      <w:r>
        <w:rPr>
          <w:rFonts w:ascii="Cambria" w:hAnsi="Cambria" w:eastAsia="汉仪旗黑-75S" w:cs="Cambria"/>
          <w:sz w:val="22"/>
          <w:szCs w:val="22"/>
          <w:lang w:val="en-US" w:eastAsia="en-US" w:bidi="ar-SA"/>
        </w:rPr>
        <w:t>Cimino A, Felicetti A M, Corvello V, et al. Generative artificial intelligence (AI) tools in innovation management: a study on the appropriation of ChatGPT by innovation managers [J]. Management Decision, 2024.</w:t>
      </w:r>
    </w:p>
    <w:p w14:paraId="74E6E234">
      <w:pPr>
        <w:pStyle w:val="9"/>
        <w:bidi w:val="0"/>
        <w:ind w:left="720" w:hanging="720"/>
        <w:rPr>
          <w:rFonts w:ascii="Cambria" w:hAnsi="Cambria" w:eastAsia="汉仪旗黑-75S" w:cs="Cambria"/>
          <w:sz w:val="22"/>
          <w:szCs w:val="22"/>
          <w:lang w:val="en-US" w:eastAsia="en-US" w:bidi="ar-SA"/>
        </w:rPr>
      </w:pPr>
      <w:r>
        <w:rPr>
          <w:rFonts w:ascii="Cambria" w:hAnsi="Cambria" w:eastAsia="汉仪旗黑-75S" w:cs="Cambria"/>
          <w:sz w:val="22"/>
          <w:szCs w:val="22"/>
          <w:lang w:val="en-US" w:eastAsia="en-US" w:bidi="ar-SA"/>
        </w:rPr>
        <w:t>[4]</w:t>
      </w:r>
      <w:r>
        <w:rPr>
          <w:rFonts w:ascii="Cambria" w:hAnsi="Cambria" w:eastAsia="汉仪旗黑-75S" w:cs="Cambria"/>
          <w:sz w:val="22"/>
          <w:szCs w:val="22"/>
          <w:lang w:val="en-US" w:eastAsia="en-US" w:bidi="ar-SA"/>
        </w:rPr>
        <w:tab/>
      </w:r>
      <w:r>
        <w:rPr>
          <w:rFonts w:ascii="Cambria" w:hAnsi="Cambria" w:eastAsia="汉仪旗黑-75S" w:cs="Cambria"/>
          <w:sz w:val="22"/>
          <w:szCs w:val="22"/>
          <w:lang w:val="en-US" w:eastAsia="en-US" w:bidi="ar-SA"/>
        </w:rPr>
        <w:t>Piller F T, Srour M, Marion T J. Generative AI, Innovation, and Trust [J]. The Journal of Applied Behavioral Science, 2024, 60(4): 613-22.</w:t>
      </w:r>
    </w:p>
    <w:p w14:paraId="756EE973">
      <w:pPr>
        <w:spacing w:before="240" w:after="120"/>
        <w:rPr>
          <w:rFonts w:hint="eastAsia" w:ascii="宋体" w:hAnsi="宋体" w:eastAsia="宋体" w:cs="宋体"/>
          <w:color w:val="000000" w:themeColor="text1"/>
          <w:sz w:val="21"/>
          <w14:textFill>
            <w14:solidFill>
              <w14:schemeClr w14:val="tx1"/>
            </w14:solidFill>
          </w14:textFill>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ascii="宋体" w:hAnsi="宋体" w:eastAsia="宋体" w:cs="宋体"/>
          <w:lang w:eastAsia="zh-CN"/>
        </w:rPr>
        <w:fldChar w:fldCharType="end"/>
      </w:r>
      <w:r>
        <w:rPr>
          <w:rFonts w:hint="eastAsia" w:ascii="宋体" w:hAnsi="宋体" w:eastAsia="宋体" w:cs="宋体"/>
          <w:sz w:val="21"/>
        </w:rPr>
        <w:t>[</w:t>
      </w:r>
      <w:r>
        <w:rPr>
          <w:rFonts w:hint="eastAsia" w:ascii="宋体" w:hAnsi="宋体" w:eastAsia="宋体" w:cs="宋体"/>
          <w:sz w:val="21"/>
          <w:lang w:val="en-US" w:eastAsia="zh-CN"/>
        </w:rPr>
        <w:t>5</w:t>
      </w:r>
      <w:r>
        <w:rPr>
          <w:rFonts w:hint="eastAsia" w:ascii="宋体" w:hAnsi="宋体" w:eastAsia="宋体" w:cs="宋体"/>
          <w:sz w:val="21"/>
        </w:rPr>
        <w:t xml:space="preserve">] </w:t>
      </w:r>
      <w:r>
        <w:rPr>
          <w:rFonts w:hint="eastAsia" w:ascii="宋体" w:hAnsi="宋体" w:eastAsia="宋体" w:cs="宋体"/>
          <w:sz w:val="21"/>
          <w:lang w:val="en-US" w:eastAsia="zh-CN"/>
        </w:rPr>
        <w:t xml:space="preserve">  </w:t>
      </w:r>
      <w:r>
        <w:rPr>
          <w:rFonts w:hint="eastAsia" w:ascii="宋体" w:hAnsi="宋体" w:eastAsia="宋体" w:cs="宋体"/>
          <w:sz w:val="21"/>
        </w:rPr>
        <w:t xml:space="preserve">国家自然科学基金委员会. 生成式人工智能时代的工商管理科学问题研究. 2024. </w:t>
      </w:r>
      <w:r>
        <w:rPr>
          <w:rFonts w:hint="eastAsia" w:ascii="宋体" w:hAnsi="宋体" w:eastAsia="宋体" w:cs="宋体"/>
          <w:color w:val="000000" w:themeColor="text1"/>
          <w:sz w:val="21"/>
          <w14:textFill>
            <w14:solidFill>
              <w14:schemeClr w14:val="tx1"/>
            </w14:solidFill>
          </w14:textFill>
        </w:rPr>
        <w:fldChar w:fldCharType="begin"/>
      </w:r>
      <w:r>
        <w:rPr>
          <w:rFonts w:hint="eastAsia" w:ascii="宋体" w:hAnsi="宋体" w:eastAsia="宋体" w:cs="宋体"/>
          <w:color w:val="000000" w:themeColor="text1"/>
          <w:sz w:val="21"/>
          <w14:textFill>
            <w14:solidFill>
              <w14:schemeClr w14:val="tx1"/>
            </w14:solidFill>
          </w14:textFill>
        </w:rPr>
        <w:instrText xml:space="preserve"> HYPERLINK "https://www.nsfc.gov.cn/publish/portal0/tab626/info93634.htm" </w:instrText>
      </w:r>
      <w:r>
        <w:rPr>
          <w:rFonts w:hint="eastAsia" w:ascii="宋体" w:hAnsi="宋体" w:eastAsia="宋体" w:cs="宋体"/>
          <w:color w:val="000000" w:themeColor="text1"/>
          <w:sz w:val="21"/>
          <w14:textFill>
            <w14:solidFill>
              <w14:schemeClr w14:val="tx1"/>
            </w14:solidFill>
          </w14:textFill>
        </w:rPr>
        <w:fldChar w:fldCharType="separate"/>
      </w:r>
      <w:r>
        <w:rPr>
          <w:rStyle w:val="8"/>
          <w:rFonts w:hint="eastAsia" w:ascii="宋体" w:hAnsi="宋体" w:eastAsia="宋体" w:cs="宋体"/>
          <w:color w:val="000000" w:themeColor="text1"/>
          <w:sz w:val="21"/>
          <w14:textFill>
            <w14:solidFill>
              <w14:schemeClr w14:val="tx1"/>
            </w14:solidFill>
          </w14:textFill>
        </w:rPr>
        <w:t>https://www.nsfc.gov.cn/publish/portal0/tab626/info93634.htm</w:t>
      </w:r>
      <w:r>
        <w:rPr>
          <w:rFonts w:hint="eastAsia" w:ascii="宋体" w:hAnsi="宋体" w:eastAsia="宋体" w:cs="宋体"/>
          <w:color w:val="000000" w:themeColor="text1"/>
          <w:sz w:val="21"/>
          <w14:textFill>
            <w14:solidFill>
              <w14:schemeClr w14:val="tx1"/>
            </w14:solidFill>
          </w14:textFill>
        </w:rPr>
        <w:fldChar w:fldCharType="end"/>
      </w:r>
    </w:p>
    <w:p w14:paraId="502D9C69">
      <w:pPr>
        <w:spacing w:before="240" w:after="120"/>
        <w:rPr>
          <w:rFonts w:hint="default" w:ascii="宋体" w:hAnsi="宋体" w:eastAsia="宋体" w:cs="宋体"/>
          <w:color w:val="000000" w:themeColor="text1"/>
          <w:sz w:val="21"/>
          <w:lang w:val="en-US" w:eastAsia="zh-CN"/>
          <w14:textFill>
            <w14:solidFill>
              <w14:schemeClr w14:val="tx1"/>
            </w14:solidFill>
          </w14:textFill>
        </w:rPr>
      </w:pPr>
    </w:p>
    <w:sect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3DC1AAA-1F14-45EB-8923-BBEA75E39FD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旗黑-75S">
    <w:panose1 w:val="00020600040101010101"/>
    <w:charset w:val="86"/>
    <w:family w:val="auto"/>
    <w:pitch w:val="default"/>
    <w:sig w:usb0="A00002BF" w:usb1="3ACF7CFA" w:usb2="00000016" w:usb3="00000000" w:csb0="0004009F" w:csb1="DFD70000"/>
    <w:embedRegular r:id="rId2" w:fontKey="{2024BFF6-8E74-41C3-AE0D-DF312AC41198}"/>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embedRegular r:id="rId3" w:fontKey="{3934D2EC-6A44-4425-927D-48F3F6E60403}"/>
  </w:font>
  <w:font w:name="仿宋">
    <w:panose1 w:val="02010609060101010101"/>
    <w:charset w:val="86"/>
    <w:family w:val="auto"/>
    <w:pitch w:val="default"/>
    <w:sig w:usb0="800002BF" w:usb1="38CF7CFA" w:usb2="00000016" w:usb3="00000000" w:csb0="00040001" w:csb1="00000000"/>
  </w:font>
  <w:font w:name="爱奇艺黑体">
    <w:panose1 w:val="00000000000000000000"/>
    <w:charset w:val="00"/>
    <w:family w:val="auto"/>
    <w:pitch w:val="default"/>
    <w:sig w:usb0="00000003" w:usb1="0000004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6024F"/>
    <w:rsid w:val="5606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汉仪旗黑-75S" w:asciiTheme="minorHAnsi" w:hAnsi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54A1"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874CB" w:themeColor="accent1"/>
      <w:sz w:val="26"/>
      <w:szCs w:val="26"/>
      <w14:textFill>
        <w14:solidFill>
          <w14:schemeClr w14:val="accent1"/>
        </w14:solidFill>
      </w14:textFill>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rPr>
      <w:sz w:val="24"/>
    </w:rPr>
  </w:style>
  <w:style w:type="paragraph" w:styleId="5">
    <w:name w:val="Title"/>
    <w:basedOn w:val="1"/>
    <w:next w:val="1"/>
    <w:qFormat/>
    <w:uiPriority w:val="10"/>
    <w:pPr>
      <w:pBdr>
        <w:bottom w:val="single" w:color="4874CB"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8">
    <w:name w:val="Hyperlink"/>
    <w:basedOn w:val="7"/>
    <w:semiHidden/>
    <w:unhideWhenUsed/>
    <w:qFormat/>
    <w:uiPriority w:val="99"/>
    <w:rPr>
      <w:color w:val="0000FF"/>
      <w:u w:val="single"/>
    </w:rPr>
  </w:style>
  <w:style w:type="paragraph" w:customStyle="1" w:styleId="9">
    <w:name w:val="EndNote Bibliography"/>
    <w:qFormat/>
    <w:uiPriority w:val="0"/>
    <w:pPr>
      <w:pBdr>
        <w:top w:val="none" w:color="auto" w:sz="0" w:space="0"/>
        <w:left w:val="none" w:color="auto" w:sz="0" w:space="0"/>
        <w:bottom w:val="none" w:color="auto" w:sz="0" w:space="0"/>
        <w:right w:val="none" w:color="auto" w:sz="0" w:space="0"/>
        <w:between w:val="none" w:color="auto" w:sz="0" w:space="0"/>
      </w:pBdr>
    </w:pPr>
    <w:rPr>
      <w:rFonts w:ascii="Cambria" w:hAnsi="Cambria" w:eastAsia="汉仪旗黑-75S" w:cs="Cambria"/>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2025-05-02T05:57:00Z</dcterms:created>
  <dc:creator>无名小卒</dc:creator>
  <cp:lastModifiedBy>无名小卒</cp:lastModifiedBy>
  <dcterms:modified xsi:type="dcterms:W3CDTF">2025-05-02T06:25:19Z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E56A3448124643328EF41EC6B1229058_11</vt:lpwstr>
  </property>
  <property fmtid="{D5CDD505-2E9C-101B-9397-08002B2CF9AE}" pid="4" name="KSOTemplateDocerSaveRecord">
    <vt:lpwstr>eyJoZGlkIjoiYjE3ODhhMmYyODZhYzkzNmUwZTA0NjdiZjE2NjNkMWMiLCJ1c2VySWQiOiI2NjAzNDE2NjUifQ==</vt:lpwstr>
  </property>
</Properties>
</file>