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主流程与-wf-测试汇总报告"/>
    <w:p>
      <w:pPr>
        <w:pStyle w:val="Title"/>
        <w:spacing w:after="360"/>
        <w:jc w:val="center"/>
      </w:pPr>
      <w:r>
        <w:t xml:space="preserve">主流程与 WF 测试汇总报告</w:t>
      </w:r>
    </w:p>
    <w:bookmarkStart w:id="20" w:name="统计口径"/>
    <w:p>
      <w:pPr>
        <w:pStyle w:val="Heading2"/>
        <w:keepNext/>
      </w:pPr>
      <w:r>
        <w:t xml:space="preserve">统计口径</w:t>
      </w:r>
    </w:p>
    <w:p>
      <w:pPr>
        <w:pStyle w:val="FirstParagraph"/>
      </w:pPr>
      <w:r>
        <w:t xml:space="preserve">本报告只保留两类内容：</w:t>
      </w:r>
    </w:p>
    <w:p>
      <w:pPr>
        <w:pStyle w:val="BodyText"/>
      </w:pPr>
      <w:r>
        <w:t xml:space="preserve">1.已经创建测试实例并执行的实际结果，包括按照pdf总结的工作流测试以及回归测试（包括并发压力、权限、字典主从、结构一致性等general test）。</w:t>
      </w:r>
    </w:p>
    <w:p>
      <w:pPr>
        <w:pStyle w:val="BodyText"/>
      </w:pPr>
      <w:r>
        <w:t xml:space="preserve">2.因当前交付包缺少对应实体、接口、前端或数据库表而无法创建实例的交付差异。说明书未定义的异常控制规则、不能建立实例且并非功能缺失的推断性场景，不写入本报告。</w:t>
      </w:r>
    </w:p>
    <w:p>
      <w:pPr>
        <w:pStyle w:val="BodyText"/>
      </w:pPr>
      <w:r>
        <w:t xml:space="preserve">数据权限/数据隔离不在本轮范围。说明书明确的权限范围为目录、菜单、按钮和角色权限；新增、修改、删除、导出属于审计日志范围。</w:t>
      </w:r>
    </w:p>
    <w:bookmarkEnd w:id="20"/>
    <w:bookmarkStart w:id="21" w:name="自动化脚本与覆盖关系"/>
    <w:p>
      <w:pPr>
        <w:pStyle w:val="Heading2"/>
        <w:keepNext/>
      </w:pPr>
      <w:r>
        <w:t xml:space="preserve">自动化脚本与覆盖关系</w:t>
      </w:r>
    </w:p>
    <w:tbl>
      <w:tblPr>
        <w:tblStyle w:val="Table"/>
        <w:tblW w:type="auto" w:w="0"/>
        <w:jc w:val="center"/>
        <w:tblLayout w:type="autofi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  <w:tblHeader w:val="true"/>
          <w:cantSplit/>
        </w:trPr>
        <w:tc>
          <w:tcPr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shd w:fill="D9EAF7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Microsoft YaHei" w:hAnsi="Microsoft YaHei" w:eastAsia="Microsoft YaHei"/>
                <w:b/>
                <w:color w:val="1F4E79"/>
                <w:sz w:val="18"/>
              </w:rPr>
              <w:t xml:space="preserve">自动化脚本</w:t>
            </w:r>
          </w:p>
        </w:tc>
        <w:tc>
          <w:tcPr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shd w:fill="D9EAF7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Microsoft YaHei" w:hAnsi="Microsoft YaHei" w:eastAsia="Microsoft YaHei"/>
                <w:b/>
                <w:color w:val="1F4E79"/>
                <w:sz w:val="18"/>
              </w:rPr>
              <w:t xml:space="preserve">覆盖范围</w:t>
            </w:r>
          </w:p>
        </w:tc>
        <w:tc>
          <w:tcPr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shd w:fill="D9EAF7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Microsoft YaHei" w:hAnsi="Microsoft YaHei" w:eastAsia="Microsoft YaHei"/>
                <w:b/>
                <w:color w:val="1F4E79"/>
                <w:sz w:val="18"/>
              </w:rPr>
              <w:t xml:space="preserve">最新有效证据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Style w:val="VerbatimChar"/>
                <w:rFonts w:ascii="Microsoft YaHei" w:hAnsi="Microsoft YaHei" w:eastAsia="Microsoft YaHei"/>
                <w:sz w:val="18"/>
              </w:rPr>
              <w:t xml:space="preserve">run-wf-01-to-03.mjs</w:t>
            </w:r>
          </w:p>
        </w:tc>
        <w:tc>
          <w:tcPr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 xml:space="preserve">WF-01、WF-02、WF-03</w:t>
            </w:r>
          </w:p>
        </w:tc>
        <w:tc>
          <w:tcPr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Style w:val="VerbatimChar"/>
                <w:rFonts w:ascii="Microsoft YaHei" w:hAnsi="Microsoft YaHei" w:eastAsia="Microsoft YaHei"/>
                <w:sz w:val="18"/>
              </w:rPr>
              <w:t xml:space="preserve">wf-01-to-03-20260716024003.json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Style w:val="VerbatimChar"/>
                <w:rFonts w:ascii="Microsoft YaHei" w:hAnsi="Microsoft YaHei" w:eastAsia="Microsoft YaHei"/>
                <w:sz w:val="18"/>
              </w:rPr>
              <w:t xml:space="preserve">run-sales-to-inventory-flow.mjs</w:t>
            </w:r>
          </w:p>
        </w:tc>
        <w:tc>
          <w:tcPr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 xml:space="preserve">WF-04～06、WF-08～10、WF-12～13、WF-15～16、WF-23～25、WF-34、WF-36</w:t>
            </w:r>
          </w:p>
        </w:tc>
        <w:tc>
          <w:tcPr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Style w:val="VerbatimChar"/>
                <w:rFonts w:ascii="Microsoft YaHei" w:hAnsi="Microsoft YaHei" w:eastAsia="Microsoft YaHei"/>
                <w:sz w:val="18"/>
              </w:rPr>
              <w:t xml:space="preserve">sales-to-inventory-flow-20260716032304.json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Style w:val="VerbatimChar"/>
                <w:rFonts w:ascii="Microsoft YaHei" w:hAnsi="Microsoft YaHei" w:eastAsia="Microsoft YaHei"/>
                <w:sz w:val="18"/>
              </w:rPr>
              <w:t xml:space="preserve">run-mes-regression.mjs</w:t>
            </w:r>
          </w:p>
        </w:tc>
        <w:tc>
          <w:tcPr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 xml:space="preserve">通用 CRUD、字典主从、结构一致性和读并发回归</w:t>
            </w:r>
          </w:p>
        </w:tc>
        <w:tc>
          <w:tcPr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Style w:val="VerbatimChar"/>
                <w:rFonts w:ascii="Microsoft YaHei" w:hAnsi="Microsoft YaHei" w:eastAsia="Microsoft YaHei"/>
                <w:sz w:val="18"/>
              </w:rPr>
              <w:t xml:space="preserve">mes-regression-2026-07-16T03-15-17-102Z.json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Style w:val="VerbatimChar"/>
                <w:rFonts w:ascii="Microsoft YaHei" w:hAnsi="Microsoft YaHei" w:eastAsia="Microsoft YaHei"/>
                <w:sz w:val="18"/>
              </w:rPr>
              <w:t xml:space="preserve">run-wf-37-concurrency.mjs</w:t>
            </w:r>
          </w:p>
        </w:tc>
        <w:tc>
          <w:tcPr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 xml:space="preserve">WF-37 销售订单编号并发场景；独立脚本保留</w:t>
            </w:r>
          </w:p>
        </w:tc>
        <w:tc>
          <w:tcPr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Style w:val="VerbatimChar"/>
                <w:rFonts w:ascii="Microsoft YaHei" w:hAnsi="Microsoft YaHei" w:eastAsia="Microsoft YaHei"/>
                <w:sz w:val="18"/>
              </w:rPr>
              <w:t xml:space="preserve">wf-37-concurrency-20260716032946.json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Style w:val="VerbatimChar"/>
                <w:rFonts w:ascii="Microsoft YaHei" w:hAnsi="Microsoft YaHei" w:eastAsia="Microsoft YaHei"/>
                <w:sz w:val="18"/>
              </w:rPr>
              <w:t xml:space="preserve">run-authorization-regression.mjs</w:t>
            </w:r>
          </w:p>
        </w:tc>
        <w:tc>
          <w:tcPr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 xml:space="preserve">AUTH-01：目录、菜单、按钮、角色授权缓存和操作审计</w:t>
            </w:r>
          </w:p>
        </w:tc>
        <w:tc>
          <w:tcPr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Style w:val="VerbatimChar"/>
                <w:rFonts w:ascii="Microsoft YaHei" w:hAnsi="Microsoft YaHei" w:eastAsia="Microsoft YaHei"/>
                <w:sz w:val="18"/>
              </w:rPr>
              <w:t xml:space="preserve">authorization-regression-20260717082719.json</w:t>
            </w:r>
          </w:p>
        </w:tc>
      </w:tr>
    </w:tbl>
    <w:bookmarkEnd w:id="21"/>
    <w:bookmarkStart w:id="22" w:name="主流程与已执行-wf-汇总"/>
    <w:p>
      <w:pPr>
        <w:pStyle w:val="Heading2"/>
        <w:keepNext/>
      </w:pPr>
      <w:r>
        <w:t xml:space="preserve">主流程与已执行 WF 汇总</w:t>
      </w:r>
    </w:p>
    <w:p>
      <w:pPr>
        <w:pStyle w:val="FirstParagraph"/>
      </w:pPr>
      <w:r>
        <w:t xml:space="preserve">“说明书承诺功能，当前交付差异保留”：就是说在说明书里有这方面功能的描述，但是实际测试的时候发现没有交付物，没法改，只能先留着给开发部去按照他们的逻辑改，我只负责提出问题。</w:t>
      </w:r>
    </w:p>
    <w:tbl>
      <w:tblPr>
        <w:tblStyle w:val="Table"/>
        <w:tblW w:type="auto" w:w="0"/>
        <w:jc w:val="center"/>
        <w:tblLayout w:type="autofit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  <w:tblHeader w:val="true"/>
          <w:cantSplit/>
        </w:trPr>
        <w:tc>
          <w:tcPr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shd w:fill="D9EAF7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Microsoft YaHei" w:hAnsi="Microsoft YaHei" w:eastAsia="Microsoft YaHei"/>
                <w:b/>
                <w:color w:val="1F4E79"/>
                <w:sz w:val="16"/>
              </w:rPr>
              <w:t xml:space="preserve">测试点和业务流</w:t>
            </w:r>
          </w:p>
        </w:tc>
        <w:tc>
          <w:tcPr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shd w:fill="D9EAF7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Microsoft YaHei" w:hAnsi="Microsoft YaHei" w:eastAsia="Microsoft YaHei"/>
                <w:b/>
                <w:color w:val="1F4E79"/>
                <w:sz w:val="16"/>
              </w:rPr>
              <w:t xml:space="preserve">通过的</w:t>
            </w:r>
          </w:p>
        </w:tc>
        <w:tc>
          <w:tcPr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shd w:fill="D9EAF7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Microsoft YaHei" w:hAnsi="Microsoft YaHei" w:eastAsia="Microsoft YaHei"/>
                <w:b/>
                <w:color w:val="1F4E79"/>
                <w:sz w:val="16"/>
              </w:rPr>
              <w:t xml:space="preserve">不通过的</w:t>
            </w:r>
          </w:p>
        </w:tc>
        <w:tc>
          <w:tcPr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shd w:fill="D9EAF7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Microsoft YaHei" w:hAnsi="Microsoft YaHei" w:eastAsia="Microsoft YaHei"/>
                <w:b/>
                <w:color w:val="1F4E79"/>
                <w:sz w:val="16"/>
              </w:rPr>
              <w:t xml:space="preserve">修复后通过的</w:t>
            </w:r>
          </w:p>
        </w:tc>
        <w:tc>
          <w:tcPr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shd w:fill="D9EAF7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Microsoft YaHei" w:hAnsi="Microsoft YaHei" w:eastAsia="Microsoft YaHei"/>
                <w:b/>
                <w:color w:val="1F4E79"/>
                <w:sz w:val="16"/>
              </w:rPr>
              <w:t xml:space="preserve">最后的回归测试结果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 xml:space="preserve">WF-01 验证码安全分支：获取验证码 → 错误提交 → 重复提交</w:t>
            </w:r>
          </w:p>
        </w:tc>
        <w:tc>
          <w:tcPr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 xml:space="preserve">错误验证码被拒绝；已使用验证码失效</w:t>
            </w:r>
          </w:p>
        </w:tc>
        <w:tc>
          <w:tcPr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 xml:space="preserve">-</w:t>
            </w:r>
          </w:p>
        </w:tc>
        <w:tc>
          <w:tcPr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 xml:space="preserve">-</w:t>
            </w:r>
          </w:p>
        </w:tc>
        <w:tc>
          <w:tcPr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 xml:space="preserve">通过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 xml:space="preserve">DOC-GAP-01 / WF-02 车间设置：创建车间</w:t>
            </w:r>
          </w:p>
        </w:tc>
        <w:tc>
          <w:tcPr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 xml:space="preserve">-</w:t>
            </w:r>
          </w:p>
        </w:tc>
        <w:tc>
          <w:tcPr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 xml:space="preserve">未找到车间实体、Controller、Service、页面和数据库表，不能创建实例</w:t>
            </w:r>
          </w:p>
        </w:tc>
        <w:tc>
          <w:tcPr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 xml:space="preserve">-</w:t>
            </w:r>
          </w:p>
        </w:tc>
        <w:tc>
          <w:tcPr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 xml:space="preserve">说明书承诺功能，当前交付差异保留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 xml:space="preserve">WF-03 不良品项：创建 → 查询 → 重复校验 → 删除</w:t>
            </w:r>
          </w:p>
        </w:tc>
        <w:tc>
          <w:tcPr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 xml:space="preserve">创建、分页查询、重复名称拒绝、删除和清理均通过</w:t>
            </w:r>
          </w:p>
        </w:tc>
        <w:tc>
          <w:tcPr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 xml:space="preserve">-</w:t>
            </w:r>
          </w:p>
        </w:tc>
        <w:tc>
          <w:tcPr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 xml:space="preserve">-</w:t>
            </w:r>
          </w:p>
        </w:tc>
        <w:tc>
          <w:tcPr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 xml:space="preserve">通过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 xml:space="preserve">WF-04～06 基础制造数据：工序 → 工艺路线 → 产品</w:t>
            </w:r>
          </w:p>
        </w:tc>
        <w:tc>
          <w:tcPr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 xml:space="preserve">创建两道工序、两道工序路线和产品关联，并进入订单生产链路</w:t>
            </w:r>
          </w:p>
        </w:tc>
        <w:tc>
          <w:tcPr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 xml:space="preserve">-</w:t>
            </w:r>
          </w:p>
        </w:tc>
        <w:tc>
          <w:tcPr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 xml:space="preserve">-</w:t>
            </w:r>
          </w:p>
        </w:tc>
        <w:tc>
          <w:tcPr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 xml:space="preserve">通过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 xml:space="preserve">DOC-GAP-02 / WF-07 BOM：父项 → 子项 → 用量</w:t>
            </w:r>
          </w:p>
        </w:tc>
        <w:tc>
          <w:tcPr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 xml:space="preserve">-</w:t>
            </w:r>
          </w:p>
        </w:tc>
        <w:tc>
          <w:tcPr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 xml:space="preserve">未找到 BOM 实体、接口和数据库表，不能创建父子用量实例</w:t>
            </w:r>
          </w:p>
        </w:tc>
        <w:tc>
          <w:tcPr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 xml:space="preserve">-</w:t>
            </w:r>
          </w:p>
        </w:tc>
        <w:tc>
          <w:tcPr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 xml:space="preserve">说明书承诺功能，当前交付差异保留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 xml:space="preserve">WF-08～09 销售订单到工单：产品订单 → 保存订单 → 生成工单</w:t>
            </w:r>
          </w:p>
        </w:tc>
        <w:tc>
          <w:tcPr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 xml:space="preserve">单产品、多产品订单均生成对应生产工单</w:t>
            </w:r>
          </w:p>
        </w:tc>
        <w:tc>
          <w:tcPr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 xml:space="preserve">-</w:t>
            </w:r>
          </w:p>
        </w:tc>
        <w:tc>
          <w:tcPr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 xml:space="preserve">-</w:t>
            </w:r>
          </w:p>
        </w:tc>
        <w:tc>
          <w:tcPr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 xml:space="preserve">通过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 xml:space="preserve">WF-10 / WF-12 计划与任务：计划/工单 → 工序任务</w:t>
            </w:r>
          </w:p>
        </w:tc>
        <w:tc>
          <w:tcPr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 xml:space="preserve">已验证工单按两道工序拆分两条任务；销售订单保存时自动生成工单和任务</w:t>
            </w:r>
          </w:p>
        </w:tc>
        <w:tc>
          <w:tcPr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 xml:space="preserve">-</w:t>
            </w:r>
          </w:p>
        </w:tc>
        <w:tc>
          <w:tcPr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 xml:space="preserve">-</w:t>
            </w:r>
          </w:p>
        </w:tc>
        <w:tc>
          <w:tcPr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 xml:space="preserve">通过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 xml:space="preserve">WF-13 / WF-15 / WF-16 报工与进度：开工 → 分批报工</w:t>
            </w:r>
            <w:r>
              <w:rPr>
                <w:rFonts w:ascii="Microsoft YaHei" w:hAnsi="Microsoft YaHei" w:eastAsia="Microsoft YaHei"/>
                <w:sz w:val="16"/>
              </w:rPr>
              <w:t xml:space="preserve"> </w:t>
            </w:r>
            <w:r>
              <w:rPr>
                <w:rStyle w:val="VerbatimChar"/>
                <w:rFonts w:ascii="Microsoft YaHei" w:hAnsi="Microsoft YaHei" w:eastAsia="Microsoft YaHei"/>
                <w:sz w:val="16"/>
              </w:rPr>
              <w:t xml:space="preserve">3+4</w:t>
            </w:r>
            <w:r>
              <w:rPr>
                <w:rFonts w:ascii="Microsoft YaHei" w:hAnsi="Microsoft YaHei" w:eastAsia="Microsoft YaHei"/>
                <w:sz w:val="16"/>
              </w:rPr>
              <w:t xml:space="preserve"> </w:t>
            </w:r>
            <w:r>
              <w:rPr>
                <w:rFonts w:ascii="Microsoft YaHei" w:hAnsi="Microsoft YaHei" w:eastAsia="Microsoft YaHei"/>
                <w:sz w:val="16"/>
              </w:rPr>
              <w:t xml:space="preserve">→ 完工</w:t>
            </w:r>
          </w:p>
        </w:tc>
        <w:tc>
          <w:tcPr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 xml:space="preserve">分批累计数量正确；末道工序产量汇总到工单，工单完成数量为 7</w:t>
            </w:r>
          </w:p>
        </w:tc>
        <w:tc>
          <w:tcPr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 xml:space="preserve">-</w:t>
            </w:r>
          </w:p>
        </w:tc>
        <w:tc>
          <w:tcPr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 xml:space="preserve">-</w:t>
            </w:r>
          </w:p>
        </w:tc>
        <w:tc>
          <w:tcPr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 xml:space="preserve">通过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 xml:space="preserve">DOC-GAP-03 / WF-17 移动端报工</w:t>
            </w:r>
          </w:p>
        </w:tc>
        <w:tc>
          <w:tcPr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 xml:space="preserve">-</w:t>
            </w:r>
          </w:p>
        </w:tc>
        <w:tc>
          <w:tcPr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 xml:space="preserve">当前交付包未发现 uni-app 项目、移动端入口、工作站绑定和移动端接口资料</w:t>
            </w:r>
          </w:p>
        </w:tc>
        <w:tc>
          <w:tcPr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 xml:space="preserve">-</w:t>
            </w:r>
          </w:p>
        </w:tc>
        <w:tc>
          <w:tcPr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 xml:space="preserve">说明书承诺功能，当前交付差异保留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 xml:space="preserve">DOC-GAP-04 / WF-18 报工审批或确认生效</w:t>
            </w:r>
          </w:p>
        </w:tc>
        <w:tc>
          <w:tcPr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 xml:space="preserve">-</w:t>
            </w:r>
          </w:p>
        </w:tc>
        <w:tc>
          <w:tcPr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 xml:space="preserve">未找到报工审批/确认状态、记录及审批后进度库存事务</w:t>
            </w:r>
          </w:p>
        </w:tc>
        <w:tc>
          <w:tcPr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 xml:space="preserve">-</w:t>
            </w:r>
          </w:p>
        </w:tc>
        <w:tc>
          <w:tcPr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 xml:space="preserve">说明书承诺功能，当前交付差异保留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 xml:space="preserve">DOC-GAP-05 / WF-21 报工按 BOM 扣料</w:t>
            </w:r>
          </w:p>
        </w:tc>
        <w:tc>
          <w:tcPr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 xml:space="preserve">-</w:t>
            </w:r>
          </w:p>
        </w:tc>
        <w:tc>
          <w:tcPr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 xml:space="preserve">无 BOM 和原材料扣料事务，不能创建扣料实例</w:t>
            </w:r>
          </w:p>
        </w:tc>
        <w:tc>
          <w:tcPr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 xml:space="preserve">-</w:t>
            </w:r>
          </w:p>
        </w:tc>
        <w:tc>
          <w:tcPr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 xml:space="preserve">说明书承诺功能，当前交付差异保留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 xml:space="preserve">DOC-GAP-06 / WF-22 报工自动产出</w:t>
            </w:r>
          </w:p>
        </w:tc>
        <w:tc>
          <w:tcPr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 xml:space="preserve">-</w:t>
            </w:r>
          </w:p>
        </w:tc>
        <w:tc>
          <w:tcPr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 xml:space="preserve">报工不会自动计入半成品/成品库存；现有手工入库不能替代自动产出</w:t>
            </w:r>
          </w:p>
        </w:tc>
        <w:tc>
          <w:tcPr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 xml:space="preserve">-</w:t>
            </w:r>
          </w:p>
        </w:tc>
        <w:tc>
          <w:tcPr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 xml:space="preserve">说明书承诺功能，当前交付差异保留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 xml:space="preserve">WF-23～25 仓储与余额：成品入库 → 销售出库 → 库存余额/收发明细</w:t>
            </w:r>
          </w:p>
        </w:tc>
        <w:tc>
          <w:tcPr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 xml:space="preserve">手工入库成功；正常出库成功；余额为 0；收发明细为入库、出库两条</w:t>
            </w:r>
          </w:p>
        </w:tc>
        <w:tc>
          <w:tcPr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 xml:space="preserve">超库存出库原可保存</w:t>
            </w:r>
          </w:p>
        </w:tc>
        <w:tc>
          <w:tcPr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 xml:space="preserve">出库服务增加出库数量与实时库存校验，超库存单据被拒绝</w:t>
            </w:r>
          </w:p>
        </w:tc>
        <w:tc>
          <w:tcPr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 xml:space="preserve">通过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 xml:space="preserve">DOC-GAP-07 / WF-26 检测项和检测模板</w:t>
            </w:r>
          </w:p>
        </w:tc>
        <w:tc>
          <w:tcPr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 xml:space="preserve">-</w:t>
            </w:r>
          </w:p>
        </w:tc>
        <w:tc>
          <w:tcPr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 xml:space="preserve">未找到检测模板、检测项、质量管理 API 和表</w:t>
            </w:r>
          </w:p>
        </w:tc>
        <w:tc>
          <w:tcPr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 xml:space="preserve">-</w:t>
            </w:r>
          </w:p>
        </w:tc>
        <w:tc>
          <w:tcPr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 xml:space="preserve">说明书承诺功能，当前交付差异保留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 xml:space="preserve">DOC-GAP-08 / WF-27 来料检验</w:t>
            </w:r>
          </w:p>
        </w:tc>
        <w:tc>
          <w:tcPr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 xml:space="preserve">-</w:t>
            </w:r>
          </w:p>
        </w:tc>
        <w:tc>
          <w:tcPr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 xml:space="preserve">未找到来料检验单和模板带项实现，不能创建检验实例</w:t>
            </w:r>
          </w:p>
        </w:tc>
        <w:tc>
          <w:tcPr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 xml:space="preserve">-</w:t>
            </w:r>
          </w:p>
        </w:tc>
        <w:tc>
          <w:tcPr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 xml:space="preserve">说明书承诺功能，当前交付差异保留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 xml:space="preserve">DOC-GAP-09 / WF-28 过程检验</w:t>
            </w:r>
          </w:p>
        </w:tc>
        <w:tc>
          <w:tcPr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 xml:space="preserve">-</w:t>
            </w:r>
          </w:p>
        </w:tc>
        <w:tc>
          <w:tcPr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 xml:space="preserve">未找到过程检验实体、接口和任务关联</w:t>
            </w:r>
          </w:p>
        </w:tc>
        <w:tc>
          <w:tcPr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 xml:space="preserve">-</w:t>
            </w:r>
          </w:p>
        </w:tc>
        <w:tc>
          <w:tcPr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 xml:space="preserve">说明书承诺功能，当前交付差异保留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 xml:space="preserve">DOC-GAP-09 / WF-29A 出货检验单维护</w:t>
            </w:r>
          </w:p>
        </w:tc>
        <w:tc>
          <w:tcPr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 xml:space="preserve">-</w:t>
            </w:r>
          </w:p>
        </w:tc>
        <w:tc>
          <w:tcPr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 xml:space="preserve">未找到出货检验单、检测结果和查询实现</w:t>
            </w:r>
          </w:p>
        </w:tc>
        <w:tc>
          <w:tcPr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 xml:space="preserve">-</w:t>
            </w:r>
          </w:p>
        </w:tc>
        <w:tc>
          <w:tcPr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 xml:space="preserve">说明书承诺功能，当前交付差异保留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 xml:space="preserve">设备领域 / WF-30A、WF-31A、WF-31B：设备、点检、维修单</w:t>
            </w:r>
          </w:p>
        </w:tc>
        <w:tc>
          <w:tcPr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 xml:space="preserve">-</w:t>
            </w:r>
          </w:p>
        </w:tc>
        <w:tc>
          <w:tcPr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 xml:space="preserve">未找到设备、点检项目、点检计划、点检工单和维修单领域模型</w:t>
            </w:r>
          </w:p>
        </w:tc>
        <w:tc>
          <w:tcPr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 xml:space="preserve">-</w:t>
            </w:r>
          </w:p>
        </w:tc>
        <w:tc>
          <w:tcPr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 xml:space="preserve">说明书明确基础模块，当前交付差异保留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 xml:space="preserve">DOC-GAP-10 / WF-32 排班计划和排班日历</w:t>
            </w:r>
          </w:p>
        </w:tc>
        <w:tc>
          <w:tcPr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 xml:space="preserve">-</w:t>
            </w:r>
          </w:p>
        </w:tc>
        <w:tc>
          <w:tcPr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 xml:space="preserve">未找到班组、班次、排班计划、节假日和日历模型</w:t>
            </w:r>
          </w:p>
        </w:tc>
        <w:tc>
          <w:tcPr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 xml:space="preserve">-</w:t>
            </w:r>
          </w:p>
        </w:tc>
        <w:tc>
          <w:tcPr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 xml:space="preserve">说明书承诺功能，当前交付差异保留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 xml:space="preserve">DOC-GAP-11 / WF-33 绩效工资到工资报表</w:t>
            </w:r>
          </w:p>
        </w:tc>
        <w:tc>
          <w:tcPr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 xml:space="preserve">-</w:t>
            </w:r>
          </w:p>
        </w:tc>
        <w:tc>
          <w:tcPr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 xml:space="preserve">虽有部分配置/查询模型，但未找到可创建并核对完整工资计算结果的实例链路</w:t>
            </w:r>
          </w:p>
        </w:tc>
        <w:tc>
          <w:tcPr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 xml:space="preserve">-</w:t>
            </w:r>
          </w:p>
        </w:tc>
        <w:tc>
          <w:tcPr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 xml:space="preserve">说明书承诺功能，当前交付差异保留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 xml:space="preserve">WF-34 生产报表：两道工序报工 → 查询报表</w:t>
            </w:r>
          </w:p>
        </w:tc>
        <w:tc>
          <w:tcPr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 xml:space="preserve">返回两条对应工序的生产报表记录</w:t>
            </w:r>
          </w:p>
        </w:tc>
        <w:tc>
          <w:tcPr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 xml:space="preserve">-</w:t>
            </w:r>
          </w:p>
        </w:tc>
        <w:tc>
          <w:tcPr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 xml:space="preserve">-</w:t>
            </w:r>
          </w:p>
        </w:tc>
        <w:tc>
          <w:tcPr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 xml:space="preserve">通过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 xml:space="preserve">WF-36 自定义扩展字段：产品扩展字段 → 后续业务链路</w:t>
            </w:r>
          </w:p>
        </w:tc>
        <w:tc>
          <w:tcPr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 xml:space="preserve">产品扩展字段保存成功，并可进入销售订单到工单链路</w:t>
            </w:r>
          </w:p>
        </w:tc>
        <w:tc>
          <w:tcPr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 xml:space="preserve">-</w:t>
            </w:r>
          </w:p>
        </w:tc>
        <w:tc>
          <w:tcPr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 xml:space="preserve">-</w:t>
            </w:r>
          </w:p>
        </w:tc>
        <w:tc>
          <w:tcPr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 xml:space="preserve">通过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 xml:space="preserve">DOC-GAP-12 / WF-39 业务 Excel 模板导出</w:t>
            </w:r>
          </w:p>
        </w:tc>
        <w:tc>
          <w:tcPr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 xml:space="preserve">-</w:t>
            </w:r>
          </w:p>
        </w:tc>
        <w:tc>
          <w:tcPr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 xml:space="preserve">仅有通用导出；未找到业务模板上传、默认模板选择和数据填充导出</w:t>
            </w:r>
          </w:p>
        </w:tc>
        <w:tc>
          <w:tcPr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 xml:space="preserve">-</w:t>
            </w:r>
          </w:p>
        </w:tc>
        <w:tc>
          <w:tcPr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 xml:space="preserve">说明书承诺功能，当前交付差异保留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 xml:space="preserve">字典明细服务循环依赖：字典主表 → 明细分页 → 修改/删除 → 级联删除</w:t>
            </w:r>
          </w:p>
        </w:tc>
        <w:tc>
          <w:tcPr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 xml:space="preserve">修复后字典主从新增、分页、修改、重复校验、删除和级联清理通过</w:t>
            </w:r>
          </w:p>
        </w:tc>
        <w:tc>
          <w:tcPr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Style w:val="VerbatimChar"/>
                <w:rFonts w:ascii="Microsoft YaHei" w:hAnsi="Microsoft YaHei" w:eastAsia="Microsoft YaHei"/>
                <w:sz w:val="16"/>
              </w:rPr>
              <w:t xml:space="preserve">Sys_DictionaryListService</w:t>
            </w:r>
            <w:r>
              <w:rPr>
                <w:rFonts w:ascii="Microsoft YaHei" w:hAnsi="Microsoft YaHei" w:eastAsia="Microsoft YaHei"/>
                <w:sz w:val="16"/>
              </w:rPr>
              <w:t xml:space="preserve"> </w:t>
            </w:r>
            <w:r>
              <w:rPr>
                <w:rFonts w:ascii="Microsoft YaHei" w:hAnsi="Microsoft YaHei" w:eastAsia="Microsoft YaHei"/>
                <w:sz w:val="16"/>
              </w:rPr>
              <w:t xml:space="preserve">自注入导致 HTTP 500</w:t>
            </w:r>
          </w:p>
        </w:tc>
        <w:tc>
          <w:tcPr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 xml:space="preserve">删除未使用的自引用服务依赖</w:t>
            </w:r>
          </w:p>
        </w:tc>
        <w:tc>
          <w:tcPr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 xml:space="preserve">通用基础回归 4/4 通过；50 并发、200 次只读请求 200/200 成功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 xml:space="preserve">收发明细自动化查询：入库/出库 → 明细断言</w:t>
            </w:r>
          </w:p>
        </w:tc>
        <w:tc>
          <w:tcPr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 xml:space="preserve">入库、出库、余额和明细断言通过</w:t>
            </w:r>
          </w:p>
        </w:tc>
        <w:tc>
          <w:tcPr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 xml:space="preserve">测试脚本按不存在的</w:t>
            </w:r>
            <w:r>
              <w:rPr>
                <w:rFonts w:ascii="Microsoft YaHei" w:hAnsi="Microsoft YaHei" w:eastAsia="Microsoft YaHei"/>
                <w:sz w:val="16"/>
              </w:rPr>
              <w:t xml:space="preserve"> </w:t>
            </w:r>
            <w:r>
              <w:rPr>
                <w:rStyle w:val="VerbatimChar"/>
                <w:rFonts w:ascii="Microsoft YaHei" w:hAnsi="Microsoft YaHei" w:eastAsia="Microsoft YaHei"/>
                <w:sz w:val="16"/>
              </w:rPr>
              <w:t xml:space="preserve">Product_Id</w:t>
            </w:r>
            <w:r>
              <w:rPr>
                <w:rFonts w:ascii="Microsoft YaHei" w:hAnsi="Microsoft YaHei" w:eastAsia="Microsoft YaHei"/>
                <w:sz w:val="16"/>
              </w:rPr>
              <w:t xml:space="preserve"> </w:t>
            </w:r>
            <w:r>
              <w:rPr>
                <w:rFonts w:ascii="Microsoft YaHei" w:hAnsi="Microsoft YaHei" w:eastAsia="Microsoft YaHei"/>
                <w:sz w:val="16"/>
              </w:rPr>
              <w:t xml:space="preserve">查询，得到</w:t>
            </w:r>
            <w:r>
              <w:rPr>
                <w:rFonts w:ascii="Microsoft YaHei" w:hAnsi="Microsoft YaHei" w:eastAsia="Microsoft YaHei"/>
                <w:sz w:val="16"/>
              </w:rPr>
              <w:t xml:space="preserve"> </w:t>
            </w:r>
            <w:r>
              <w:rPr>
                <w:rStyle w:val="VerbatimChar"/>
                <w:rFonts w:ascii="Microsoft YaHei" w:hAnsi="Microsoft YaHei" w:eastAsia="Microsoft YaHei"/>
                <w:sz w:val="16"/>
              </w:rPr>
              <w:t xml:space="preserve">NaN</w:t>
            </w:r>
          </w:p>
        </w:tc>
        <w:tc>
          <w:tcPr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 xml:space="preserve">改按实际可用的</w:t>
            </w:r>
            <w:r>
              <w:rPr>
                <w:rFonts w:ascii="Microsoft YaHei" w:hAnsi="Microsoft YaHei" w:eastAsia="Microsoft YaHei"/>
                <w:sz w:val="16"/>
              </w:rPr>
              <w:t xml:space="preserve"> </w:t>
            </w:r>
            <w:r>
              <w:rPr>
                <w:rStyle w:val="VerbatimChar"/>
                <w:rFonts w:ascii="Microsoft YaHei" w:hAnsi="Microsoft YaHei" w:eastAsia="Microsoft YaHei"/>
                <w:sz w:val="16"/>
              </w:rPr>
              <w:t xml:space="preserve">ProductCode</w:t>
            </w:r>
            <w:r>
              <w:rPr>
                <w:rFonts w:ascii="Microsoft YaHei" w:hAnsi="Microsoft YaHei" w:eastAsia="Microsoft YaHei"/>
                <w:sz w:val="16"/>
              </w:rPr>
              <w:t xml:space="preserve"> </w:t>
            </w:r>
            <w:r>
              <w:rPr>
                <w:rFonts w:ascii="Microsoft YaHei" w:hAnsi="Microsoft YaHei" w:eastAsia="Microsoft YaHei"/>
                <w:sz w:val="16"/>
              </w:rPr>
              <w:t xml:space="preserve">查询</w:t>
            </w:r>
          </w:p>
        </w:tc>
        <w:tc>
          <w:tcPr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 xml:space="preserve">通过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 xml:space="preserve">AUTH-01 菜单、按钮权限与审计：临时角色/用户 → 授权 → 越权调用 → 权限变更 → 新增/修改/导出/删除</w:t>
            </w:r>
          </w:p>
        </w:tc>
        <w:tc>
          <w:tcPr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 xml:space="preserve">未登录菜单请求返回 401；仅授予</w:t>
            </w:r>
            <w:r>
              <w:rPr>
                <w:rFonts w:ascii="Microsoft YaHei" w:hAnsi="Microsoft YaHei" w:eastAsia="Microsoft YaHei"/>
                <w:sz w:val="16"/>
              </w:rPr>
              <w:t xml:space="preserve"> </w:t>
            </w:r>
            <w:r>
              <w:rPr>
                <w:rStyle w:val="VerbatimChar"/>
                <w:rFonts w:ascii="Microsoft YaHei" w:hAnsi="Microsoft YaHei" w:eastAsia="Microsoft YaHei"/>
                <w:sz w:val="16"/>
              </w:rPr>
              <w:t xml:space="preserve">Search</w:t>
            </w:r>
            <w:r>
              <w:rPr>
                <w:rFonts w:ascii="Microsoft YaHei" w:hAnsi="Microsoft YaHei" w:eastAsia="Microsoft YaHei"/>
                <w:sz w:val="16"/>
              </w:rPr>
              <w:t xml:space="preserve"> </w:t>
            </w:r>
            <w:r>
              <w:rPr>
                <w:rFonts w:ascii="Microsoft YaHei" w:hAnsi="Microsoft YaHei" w:eastAsia="Microsoft YaHei"/>
                <w:sz w:val="16"/>
              </w:rPr>
              <w:t xml:space="preserve">时菜单只返回</w:t>
            </w:r>
            <w:r>
              <w:rPr>
                <w:rFonts w:ascii="Microsoft YaHei" w:hAnsi="Microsoft YaHei" w:eastAsia="Microsoft YaHei"/>
                <w:sz w:val="16"/>
              </w:rPr>
              <w:t xml:space="preserve"> </w:t>
            </w:r>
            <w:r>
              <w:rPr>
                <w:rStyle w:val="VerbatimChar"/>
                <w:rFonts w:ascii="Microsoft YaHei" w:hAnsi="Microsoft YaHei" w:eastAsia="Microsoft YaHei"/>
                <w:sz w:val="16"/>
              </w:rPr>
              <w:t xml:space="preserve">Search</w:t>
            </w:r>
            <w:r>
              <w:rPr>
                <w:rFonts w:ascii="Microsoft YaHei" w:hAnsi="Microsoft YaHei" w:eastAsia="Microsoft YaHei"/>
                <w:sz w:val="16"/>
              </w:rPr>
              <w:t xml:space="preserve">、查询可用；未授权新增、删除、权限提升和菜单维护均被拒绝；授权追加后立即生效；</w:t>
            </w:r>
            <w:r>
              <w:rPr>
                <w:rStyle w:val="VerbatimChar"/>
                <w:rFonts w:ascii="Microsoft YaHei" w:hAnsi="Microsoft YaHei" w:eastAsia="Microsoft YaHei"/>
                <w:sz w:val="16"/>
              </w:rPr>
              <w:t xml:space="preserve">Add/Edit/Export/Del</w:t>
            </w:r>
            <w:r>
              <w:rPr>
                <w:rFonts w:ascii="Microsoft YaHei" w:hAnsi="Microsoft YaHei" w:eastAsia="Microsoft YaHei"/>
                <w:sz w:val="16"/>
              </w:rPr>
              <w:t xml:space="preserve"> </w:t>
            </w:r>
            <w:r>
              <w:rPr>
                <w:rFonts w:ascii="Microsoft YaHei" w:hAnsi="Microsoft YaHei" w:eastAsia="Microsoft YaHei"/>
                <w:sz w:val="16"/>
              </w:rPr>
              <w:t xml:space="preserve">各记录 1 条日志</w:t>
            </w:r>
          </w:p>
        </w:tc>
        <w:tc>
          <w:tcPr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 xml:space="preserve">已授权导出 HTTP 200，但无</w:t>
            </w:r>
            <w:r>
              <w:rPr>
                <w:rFonts w:ascii="Microsoft YaHei" w:hAnsi="Microsoft YaHei" w:eastAsia="Microsoft YaHei"/>
                <w:sz w:val="16"/>
              </w:rPr>
              <w:t xml:space="preserve"> </w:t>
            </w:r>
            <w:r>
              <w:rPr>
                <w:rStyle w:val="VerbatimChar"/>
                <w:rFonts w:ascii="Microsoft YaHei" w:hAnsi="Microsoft YaHei" w:eastAsia="Microsoft YaHei"/>
                <w:sz w:val="16"/>
              </w:rPr>
              <w:t xml:space="preserve">Export</w:t>
            </w:r>
            <w:r>
              <w:rPr>
                <w:rFonts w:ascii="Microsoft YaHei" w:hAnsi="Microsoft YaHei" w:eastAsia="Microsoft YaHei"/>
                <w:sz w:val="16"/>
              </w:rPr>
              <w:t xml:space="preserve"> </w:t>
            </w:r>
            <w:r>
              <w:rPr>
                <w:rFonts w:ascii="Microsoft YaHei" w:hAnsi="Microsoft YaHei" w:eastAsia="Microsoft YaHei"/>
                <w:sz w:val="16"/>
              </w:rPr>
              <w:t xml:space="preserve">审计日志</w:t>
            </w:r>
          </w:p>
        </w:tc>
        <w:tc>
          <w:tcPr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 xml:space="preserve">通用 API</w:t>
            </w:r>
            <w:r>
              <w:rPr>
                <w:rFonts w:ascii="Microsoft YaHei" w:hAnsi="Microsoft YaHei" w:eastAsia="Microsoft YaHei"/>
                <w:sz w:val="16"/>
              </w:rPr>
              <w:t xml:space="preserve"> </w:t>
            </w:r>
            <w:r>
              <w:rPr>
                <w:rStyle w:val="VerbatimChar"/>
                <w:rFonts w:ascii="Microsoft YaHei" w:hAnsi="Microsoft YaHei" w:eastAsia="Microsoft YaHei"/>
                <w:sz w:val="16"/>
              </w:rPr>
              <w:t xml:space="preserve">Export</w:t>
            </w:r>
            <w:r>
              <w:rPr>
                <w:rFonts w:ascii="Microsoft YaHei" w:hAnsi="Microsoft YaHei" w:eastAsia="Microsoft YaHei"/>
                <w:sz w:val="16"/>
              </w:rPr>
              <w:t xml:space="preserve"> </w:t>
            </w:r>
            <w:r>
              <w:rPr>
                <w:rFonts w:ascii="Microsoft YaHei" w:hAnsi="Microsoft YaHei" w:eastAsia="Microsoft YaHei"/>
                <w:sz w:val="16"/>
              </w:rPr>
              <w:t xml:space="preserve">入口写入</w:t>
            </w:r>
            <w:r>
              <w:rPr>
                <w:rFonts w:ascii="Microsoft YaHei" w:hAnsi="Microsoft YaHei" w:eastAsia="Microsoft YaHei"/>
                <w:sz w:val="16"/>
              </w:rPr>
              <w:t xml:space="preserve"> </w:t>
            </w:r>
            <w:r>
              <w:rPr>
                <w:rStyle w:val="VerbatimChar"/>
                <w:rFonts w:ascii="Microsoft YaHei" w:hAnsi="Microsoft YaHei" w:eastAsia="Microsoft YaHei"/>
                <w:sz w:val="16"/>
              </w:rPr>
              <w:t xml:space="preserve">LoggerType.Export</w:t>
            </w:r>
            <w:r>
              <w:rPr>
                <w:rFonts w:ascii="Microsoft YaHei" w:hAnsi="Microsoft YaHei" w:eastAsia="Microsoft YaHei"/>
                <w:sz w:val="16"/>
              </w:rPr>
              <w:t xml:space="preserve"> </w:t>
            </w:r>
            <w:r>
              <w:rPr>
                <w:rFonts w:ascii="Microsoft YaHei" w:hAnsi="Microsoft YaHei" w:eastAsia="Microsoft YaHei"/>
                <w:sz w:val="16"/>
              </w:rPr>
              <w:t xml:space="preserve">审计；日志类型追加</w:t>
            </w:r>
            <w:r>
              <w:rPr>
                <w:rFonts w:ascii="Microsoft YaHei" w:hAnsi="Microsoft YaHei" w:eastAsia="Microsoft YaHei"/>
                <w:sz w:val="16"/>
              </w:rPr>
              <w:t xml:space="preserve"> </w:t>
            </w:r>
            <w:r>
              <w:rPr>
                <w:rStyle w:val="VerbatimChar"/>
                <w:rFonts w:ascii="Microsoft YaHei" w:hAnsi="Microsoft YaHei" w:eastAsia="Microsoft YaHei"/>
                <w:sz w:val="16"/>
              </w:rPr>
              <w:t xml:space="preserve">Export</w:t>
            </w:r>
          </w:p>
        </w:tc>
        <w:tc>
          <w:tcPr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 xml:space="preserve">12/12 通过；临时角色、用户、通知和日志均已清理</w:t>
            </w:r>
          </w:p>
        </w:tc>
      </w:tr>
    </w:tbl>
    <w:bookmarkEnd w:id="22"/>
    <w:bookmarkStart w:id="26" w:name="修复记录"/>
    <w:p>
      <w:pPr>
        <w:pStyle w:val="Heading2"/>
        <w:keepNext/>
      </w:pPr>
      <w:r>
        <w:t xml:space="preserve">修复记录</w:t>
      </w:r>
    </w:p>
    <w:bookmarkStart w:id="23" w:name="字典明细服务循环依赖"/>
    <w:p>
      <w:pPr>
        <w:pStyle w:val="Heading3"/>
        <w:keepNext/>
      </w:pPr>
      <w:r>
        <w:t xml:space="preserve">字典明细服务循环依赖</w:t>
      </w:r>
    </w:p>
    <w:p>
      <w:pPr>
        <w:pStyle w:val="FirstParagraph"/>
      </w:pPr>
      <w:r>
        <w:rPr>
          <w:b/>
          <w:bCs/>
        </w:rPr>
        <w:t xml:space="preserve">测试点和业务流</w:t>
      </w:r>
    </w:p>
    <w:p>
      <w:pPr>
        <w:pStyle w:val="BodyText"/>
      </w:pPr>
      <w:r>
        <w:t xml:space="preserve">创建字典主表和明细 → 明细分页查询 → 修改、新增、删除明细 → 校验重复数据 → 删除主表并验证级联清理。</w:t>
      </w:r>
    </w:p>
    <w:p>
      <w:pPr>
        <w:pStyle w:val="BodyText"/>
      </w:pPr>
      <w:r>
        <w:rPr>
          <w:b/>
          <w:bCs/>
        </w:rPr>
        <w:t xml:space="preserve">通过的</w:t>
      </w:r>
    </w:p>
    <w:p>
      <w:pPr>
        <w:pStyle w:val="BodyText"/>
      </w:pPr>
      <w:r>
        <w:t xml:space="preserve">修复后，字典主从完整流程和 50 并发、200 次通知列表读取均通过。</w:t>
      </w:r>
    </w:p>
    <w:p>
      <w:pPr>
        <w:pStyle w:val="BodyText"/>
      </w:pPr>
      <w:r>
        <w:rPr>
          <w:b/>
          <w:bCs/>
        </w:rPr>
        <w:t xml:space="preserve">不通过的</w:t>
      </w:r>
    </w:p>
    <w:p>
      <w:pPr>
        <w:pStyle w:val="BodyText"/>
      </w:pPr>
      <w:r>
        <w:rPr>
          <w:rStyle w:val="VerbatimChar"/>
        </w:rPr>
        <w:t xml:space="preserve">Sys_DictionaryListService</w:t>
      </w:r>
      <w:r>
        <w:t xml:space="preserve"> </w:t>
      </w:r>
      <w:r>
        <w:t xml:space="preserve">构造函数注入自身的</w:t>
      </w:r>
      <w:r>
        <w:t xml:space="preserve"> </w:t>
      </w:r>
      <w:r>
        <w:rPr>
          <w:rStyle w:val="VerbatimChar"/>
        </w:rPr>
        <w:t xml:space="preserve">ISys_DictionaryListService</w:t>
      </w:r>
      <w:r>
        <w:t xml:space="preserve">，Autofac 形成循环依赖，</w:t>
      </w:r>
      <w:r>
        <w:rPr>
          <w:rStyle w:val="VerbatimChar"/>
        </w:rPr>
        <w:t xml:space="preserve">Sys_DictionaryList/GetPageData</w:t>
      </w:r>
      <w:r>
        <w:t xml:space="preserve"> </w:t>
      </w:r>
      <w:r>
        <w:t xml:space="preserve">返回 HTTP 500。</w:t>
      </w:r>
    </w:p>
    <w:p>
      <w:pPr>
        <w:pStyle w:val="BodyText"/>
      </w:pPr>
      <w:r>
        <w:rPr>
          <w:b/>
          <w:bCs/>
        </w:rPr>
        <w:t xml:space="preserve">修复后通过的</w:t>
      </w:r>
    </w:p>
    <w:p>
      <w:pPr>
        <w:pStyle w:val="BodyText"/>
      </w:pPr>
      <w:r>
        <w:t xml:space="preserve">删除未使用的自引用字段、构造参数和赋值，保留实际使用的仓储和</w:t>
      </w:r>
      <w:r>
        <w:t xml:space="preserve"> </w:t>
      </w:r>
      <w:r>
        <w:rPr>
          <w:rStyle w:val="VerbatimChar"/>
        </w:rPr>
        <w:t xml:space="preserve">IHttpContextAccessor</w:t>
      </w:r>
      <w:r>
        <w:t xml:space="preserve"> </w:t>
      </w:r>
      <w:r>
        <w:t xml:space="preserve">依赖。</w:t>
      </w:r>
    </w:p>
    <w:p>
      <w:pPr>
        <w:pStyle w:val="BodyText"/>
      </w:pPr>
      <w:r>
        <w:rPr>
          <w:b/>
          <w:bCs/>
        </w:rPr>
        <w:t xml:space="preserve">最后的回归测试结果</w:t>
      </w:r>
    </w:p>
    <w:p>
      <w:pPr>
        <w:pStyle w:val="BodyText"/>
      </w:pPr>
      <w:r>
        <w:t xml:space="preserve">通用回归 4/4 通过；测试夹具无残留。</w:t>
      </w:r>
    </w:p>
    <w:bookmarkEnd w:id="23"/>
    <w:bookmarkStart w:id="24" w:name="超库存销售出库保护"/>
    <w:p>
      <w:pPr>
        <w:pStyle w:val="Heading3"/>
        <w:keepNext/>
      </w:pPr>
      <w:r>
        <w:t xml:space="preserve">超库存销售出库保护</w:t>
      </w:r>
    </w:p>
    <w:p>
      <w:pPr>
        <w:pStyle w:val="FirstParagraph"/>
      </w:pPr>
      <w:r>
        <w:rPr>
          <w:b/>
          <w:bCs/>
        </w:rPr>
        <w:t xml:space="preserve">测试点和业务流</w:t>
      </w:r>
    </w:p>
    <w:p>
      <w:pPr>
        <w:pStyle w:val="BodyText"/>
      </w:pPr>
      <w:r>
        <w:t xml:space="preserve">成品入库 → 正常销售出库 → 尝试超出实时库存的销售出库 → 查询余额和收发明细。</w:t>
      </w:r>
    </w:p>
    <w:p>
      <w:pPr>
        <w:pStyle w:val="BodyText"/>
      </w:pPr>
      <w:r>
        <w:rPr>
          <w:b/>
          <w:bCs/>
        </w:rPr>
        <w:t xml:space="preserve">通过的</w:t>
      </w:r>
    </w:p>
    <w:p>
      <w:pPr>
        <w:pStyle w:val="BodyText"/>
      </w:pPr>
      <w:r>
        <w:t xml:space="preserve">正常出库、库存余额和两条收发明细均正确。</w:t>
      </w:r>
    </w:p>
    <w:p>
      <w:pPr>
        <w:pStyle w:val="BodyText"/>
      </w:pPr>
      <w:r>
        <w:rPr>
          <w:b/>
          <w:bCs/>
        </w:rPr>
        <w:t xml:space="preserve">不通过的</w:t>
      </w:r>
    </w:p>
    <w:p>
      <w:pPr>
        <w:pStyle w:val="BodyText"/>
      </w:pPr>
      <w:r>
        <w:t xml:space="preserve">首次测试中，超库存出库单能够保存。</w:t>
      </w:r>
    </w:p>
    <w:p>
      <w:pPr>
        <w:pStyle w:val="BodyText"/>
      </w:pPr>
      <w:r>
        <w:rPr>
          <w:b/>
          <w:bCs/>
        </w:rPr>
        <w:t xml:space="preserve">修复后通过的</w:t>
      </w:r>
    </w:p>
    <w:p>
      <w:pPr>
        <w:pStyle w:val="BodyText"/>
      </w:pPr>
      <w:r>
        <w:t xml:space="preserve">在</w:t>
      </w:r>
      <w:r>
        <w:t xml:space="preserve"> </w:t>
      </w:r>
      <w:r>
        <w:rPr>
          <w:rStyle w:val="VerbatimChar"/>
        </w:rPr>
        <w:t xml:space="preserve">Ware_OutWareHouseBillService</w:t>
      </w:r>
      <w:r>
        <w:t xml:space="preserve"> </w:t>
      </w:r>
      <w:r>
        <w:t xml:space="preserve">中按出库数量和实时库存校验，库存不足时拒绝保存。</w:t>
      </w:r>
    </w:p>
    <w:p>
      <w:pPr>
        <w:pStyle w:val="BodyText"/>
      </w:pPr>
      <w:r>
        <w:rPr>
          <w:b/>
          <w:bCs/>
        </w:rPr>
        <w:t xml:space="preserve">最后的回归测试结果</w:t>
      </w:r>
    </w:p>
    <w:p>
      <w:pPr>
        <w:pStyle w:val="BodyText"/>
      </w:pPr>
      <w:r>
        <w:t xml:space="preserve">销售订单到入库链路通过，超库存单据被拒绝。</w:t>
      </w:r>
    </w:p>
    <w:bookmarkEnd w:id="24"/>
    <w:bookmarkStart w:id="25" w:name="导出操作审计日志"/>
    <w:p>
      <w:pPr>
        <w:pStyle w:val="Heading3"/>
        <w:keepNext/>
      </w:pPr>
      <w:r>
        <w:t xml:space="preserve">导出操作审计日志</w:t>
      </w:r>
    </w:p>
    <w:p>
      <w:pPr>
        <w:pStyle w:val="FirstParagraph"/>
      </w:pPr>
      <w:r>
        <w:rPr>
          <w:b/>
          <w:bCs/>
        </w:rPr>
        <w:t xml:space="preserve">测试点和业务流</w:t>
      </w:r>
    </w:p>
    <w:p>
      <w:pPr>
        <w:pStyle w:val="BodyText"/>
      </w:pPr>
      <w:r>
        <w:t xml:space="preserve">创建受限角色 → 分别授予</w:t>
      </w:r>
      <w:r>
        <w:t xml:space="preserve"> </w:t>
      </w:r>
      <w:r>
        <w:rPr>
          <w:rStyle w:val="VerbatimChar"/>
        </w:rPr>
        <w:t xml:space="preserve">Search</w:t>
      </w:r>
      <w:r>
        <w:t xml:space="preserve">、</w:t>
      </w:r>
      <w:r>
        <w:rPr>
          <w:rStyle w:val="VerbatimChar"/>
        </w:rPr>
        <w:t xml:space="preserve">Add</w:t>
      </w:r>
      <w:r>
        <w:t xml:space="preserve">、</w:t>
      </w:r>
      <w:r>
        <w:rPr>
          <w:rStyle w:val="VerbatimChar"/>
        </w:rPr>
        <w:t xml:space="preserve">Update</w:t>
      </w:r>
      <w:r>
        <w:t xml:space="preserve">、</w:t>
      </w:r>
      <w:r>
        <w:rPr>
          <w:rStyle w:val="VerbatimChar"/>
        </w:rPr>
        <w:t xml:space="preserve">Delete</w:t>
      </w:r>
      <w:r>
        <w:t xml:space="preserve">、</w:t>
      </w:r>
      <w:r>
        <w:rPr>
          <w:rStyle w:val="VerbatimChar"/>
        </w:rPr>
        <w:t xml:space="preserve">Export</w:t>
      </w:r>
      <w:r>
        <w:t xml:space="preserve"> </w:t>
      </w:r>
      <w:r>
        <w:t xml:space="preserve">→ 执行通知新增、修改、导出和删除 → 查询</w:t>
      </w:r>
      <w:r>
        <w:t xml:space="preserve"> </w:t>
      </w:r>
      <w:r>
        <w:rPr>
          <w:rStyle w:val="VerbatimChar"/>
        </w:rPr>
        <w:t xml:space="preserve">Sys_Log</w:t>
      </w:r>
      <w:r>
        <w:t xml:space="preserve">。</w:t>
      </w:r>
    </w:p>
    <w:p>
      <w:pPr>
        <w:pStyle w:val="BodyText"/>
      </w:pPr>
      <w:r>
        <w:rPr>
          <w:b/>
          <w:bCs/>
        </w:rPr>
        <w:t xml:space="preserve">通过的</w:t>
      </w:r>
    </w:p>
    <w:p>
      <w:pPr>
        <w:pStyle w:val="BodyText"/>
      </w:pPr>
      <w:r>
        <w:t xml:space="preserve">目录、菜单、按钮和直接接口调用均按角色授权生效；</w:t>
      </w:r>
      <w:r>
        <w:rPr>
          <w:rStyle w:val="VerbatimChar"/>
        </w:rPr>
        <w:t xml:space="preserve">Add</w:t>
      </w:r>
      <w:r>
        <w:t xml:space="preserve">、</w:t>
      </w:r>
      <w:r>
        <w:rPr>
          <w:rStyle w:val="VerbatimChar"/>
        </w:rPr>
        <w:t xml:space="preserve">Edit</w:t>
      </w:r>
      <w:r>
        <w:t xml:space="preserve">、</w:t>
      </w:r>
      <w:r>
        <w:rPr>
          <w:rStyle w:val="VerbatimChar"/>
        </w:rPr>
        <w:t xml:space="preserve">Del</w:t>
      </w:r>
      <w:r>
        <w:t xml:space="preserve"> </w:t>
      </w:r>
      <w:r>
        <w:t xml:space="preserve">日志存在。</w:t>
      </w:r>
    </w:p>
    <w:p>
      <w:pPr>
        <w:pStyle w:val="BodyText"/>
      </w:pPr>
      <w:r>
        <w:rPr>
          <w:b/>
          <w:bCs/>
        </w:rPr>
        <w:t xml:space="preserve">不通过的</w:t>
      </w:r>
    </w:p>
    <w:p>
      <w:pPr>
        <w:pStyle w:val="BodyText"/>
      </w:pPr>
      <w:r>
        <w:t xml:space="preserve">首次执行导出返回 HTTP 200，但没有</w:t>
      </w:r>
      <w:r>
        <w:t xml:space="preserve"> </w:t>
      </w:r>
      <w:r>
        <w:rPr>
          <w:rStyle w:val="VerbatimChar"/>
        </w:rPr>
        <w:t xml:space="preserve">LogType=Export</w:t>
      </w:r>
      <w:r>
        <w:t xml:space="preserve"> </w:t>
      </w:r>
      <w:r>
        <w:t xml:space="preserve">日志。失败证据：</w:t>
      </w:r>
      <w:r>
        <w:rPr>
          <w:rStyle w:val="VerbatimChar"/>
        </w:rPr>
        <w:t xml:space="preserve">authorization-regression-20260717082522.json</w:t>
      </w:r>
      <w:r>
        <w:t xml:space="preserve">。</w:t>
      </w:r>
    </w:p>
    <w:p>
      <w:pPr>
        <w:pStyle w:val="BodyText"/>
      </w:pPr>
      <w:r>
        <w:rPr>
          <w:b/>
          <w:bCs/>
        </w:rPr>
        <w:t xml:space="preserve">修复后通过的</w:t>
      </w:r>
    </w:p>
    <w:p>
      <w:pPr>
        <w:pStyle w:val="BodyText"/>
      </w:pPr>
      <w:r>
        <w:t xml:space="preserve">在通用 API 导出入口写入</w:t>
      </w:r>
      <w:r>
        <w:t xml:space="preserve"> </w:t>
      </w:r>
      <w:r>
        <w:rPr>
          <w:rStyle w:val="VerbatimChar"/>
        </w:rPr>
        <w:t xml:space="preserve">LoggerType.Export</w:t>
      </w:r>
      <w:r>
        <w:t xml:space="preserve"> </w:t>
      </w:r>
      <w:r>
        <w:t xml:space="preserve">日志，并追加</w:t>
      </w:r>
      <w:r>
        <w:t xml:space="preserve"> </w:t>
      </w:r>
      <w:r>
        <w:rPr>
          <w:rStyle w:val="VerbatimChar"/>
        </w:rPr>
        <w:t xml:space="preserve">Export</w:t>
      </w:r>
      <w:r>
        <w:t xml:space="preserve"> </w:t>
      </w:r>
      <w:r>
        <w:t xml:space="preserve">枚举值以保持既有日志值不变。</w:t>
      </w:r>
    </w:p>
    <w:p>
      <w:pPr>
        <w:pStyle w:val="BodyText"/>
      </w:pPr>
      <w:r>
        <w:rPr>
          <w:b/>
          <w:bCs/>
        </w:rPr>
        <w:t xml:space="preserve">最后的回归测试结果</w:t>
      </w:r>
    </w:p>
    <w:p>
      <w:pPr>
        <w:pStyle w:val="BodyText"/>
      </w:pPr>
      <w:r>
        <w:rPr>
          <w:rStyle w:val="VerbatimChar"/>
        </w:rPr>
        <w:t xml:space="preserve">authorization-regression-20260717082719.json</w:t>
      </w:r>
      <w:r>
        <w:t xml:space="preserve">：12 项通过、0 项失败，</w:t>
      </w:r>
      <w:r>
        <w:rPr>
          <w:rStyle w:val="VerbatimChar"/>
        </w:rPr>
        <w:t xml:space="preserve">Add/Edit/Export/Del</w:t>
      </w:r>
      <w:r>
        <w:t xml:space="preserve"> </w:t>
      </w:r>
      <w:r>
        <w:t xml:space="preserve">各 1 条审计日志。</w:t>
      </w:r>
    </w:p>
    <w:bookmarkEnd w:id="25"/>
    <w:bookmarkEnd w:id="26"/>
    <w:bookmarkStart w:id="28" w:name="前端人工验证与修复记录"/>
    <w:p>
      <w:pPr>
        <w:pStyle w:val="Heading2"/>
        <w:keepNext/>
      </w:pPr>
      <w:r>
        <w:t xml:space="preserve">前端人工验证与修复记录</w:t>
      </w:r>
    </w:p>
    <w:p>
      <w:pPr>
        <w:pStyle w:val="FirstParagraph"/>
      </w:pPr>
      <w:r>
        <w:t xml:space="preserve">以下两项为页面实际观察和数据库接口验证，不伪装成测试实例结果。</w:t>
      </w:r>
    </w:p>
    <w:tbl>
      <w:tblPr>
        <w:tblStyle w:val="Table"/>
        <w:tblW w:type="auto" w:w="0"/>
        <w:jc w:val="center"/>
        <w:tblLayout w:type="autofi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  <w:tblHeader w:val="true"/>
          <w:cantSplit/>
        </w:trPr>
        <w:tc>
          <w:tcPr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shd w:fill="D9EAF7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Microsoft YaHei" w:hAnsi="Microsoft YaHei" w:eastAsia="Microsoft YaHei"/>
                <w:b/>
                <w:color w:val="1F4E79"/>
                <w:sz w:val="18"/>
              </w:rPr>
              <w:t xml:space="preserve">问题与业务影响</w:t>
            </w:r>
          </w:p>
        </w:tc>
        <w:tc>
          <w:tcPr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shd w:fill="D9EAF7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Microsoft YaHei" w:hAnsi="Microsoft YaHei" w:eastAsia="Microsoft YaHei"/>
                <w:b/>
                <w:color w:val="1F4E79"/>
                <w:sz w:val="18"/>
              </w:rPr>
              <w:t xml:space="preserve">原因</w:t>
            </w:r>
          </w:p>
        </w:tc>
        <w:tc>
          <w:tcPr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shd w:fill="D9EAF7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Microsoft YaHei" w:hAnsi="Microsoft YaHei" w:eastAsia="Microsoft YaHei"/>
                <w:b/>
                <w:color w:val="1F4E79"/>
                <w:sz w:val="18"/>
              </w:rPr>
              <w:t xml:space="preserve">修改方案</w:t>
            </w:r>
          </w:p>
        </w:tc>
        <w:tc>
          <w:tcPr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  <w:shd w:fill="D9EAF7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Microsoft YaHei" w:hAnsi="Microsoft YaHei" w:eastAsia="Microsoft YaHei"/>
                <w:b/>
                <w:color w:val="1F4E79"/>
                <w:sz w:val="18"/>
              </w:rPr>
              <w:t xml:space="preserve">验证结果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 xml:space="preserve">首页数量统计的“装配工单、生产计划、销售订单”等中文显示为</w:t>
            </w:r>
            <w:r>
              <w:rPr>
                <w:rFonts w:ascii="Microsoft YaHei" w:hAnsi="Microsoft YaHei" w:eastAsia="Microsoft YaHei"/>
                <w:sz w:val="18"/>
              </w:rPr>
              <w:t xml:space="preserve"> </w:t>
            </w:r>
            <w:r>
              <w:rPr>
                <w:rStyle w:val="VerbatimChar"/>
                <w:rFonts w:ascii="Microsoft YaHei" w:hAnsi="Microsoft YaHei" w:eastAsia="Microsoft YaHei"/>
                <w:sz w:val="18"/>
              </w:rPr>
              <w:t xml:space="preserve">????</w:t>
            </w:r>
          </w:p>
        </w:tc>
        <w:tc>
          <w:tcPr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Style w:val="VerbatimChar"/>
                <w:rFonts w:ascii="Microsoft YaHei" w:hAnsi="Microsoft YaHei" w:eastAsia="Microsoft YaHei"/>
                <w:sz w:val="18"/>
              </w:rPr>
              <w:t xml:space="preserve">HomeView_StatisticsNumber</w:t>
            </w:r>
            <w:r>
              <w:rPr>
                <w:rFonts w:ascii="Microsoft YaHei" w:hAnsi="Microsoft YaHei" w:eastAsia="Microsoft YaHei"/>
                <w:sz w:val="18"/>
              </w:rPr>
              <w:t xml:space="preserve"> </w:t>
            </w:r>
            <w:r>
              <w:rPr>
                <w:rFonts w:ascii="Microsoft YaHei" w:hAnsi="Microsoft YaHei" w:eastAsia="Microsoft YaHei"/>
                <w:sz w:val="18"/>
              </w:rPr>
              <w:t xml:space="preserve">使用非 Unicode SQL 字符串字面量，Linux SQL Server 代码页转换丢失中文</w:t>
            </w:r>
          </w:p>
        </w:tc>
        <w:tc>
          <w:tcPr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 xml:space="preserve">初始化 SQL 和已部署库修复脚本将中文改为</w:t>
            </w:r>
            <w:r>
              <w:rPr>
                <w:rFonts w:ascii="Microsoft YaHei" w:hAnsi="Microsoft YaHei" w:eastAsia="Microsoft YaHei"/>
                <w:sz w:val="18"/>
              </w:rPr>
              <w:t xml:space="preserve"> </w:t>
            </w:r>
            <w:r>
              <w:rPr>
                <w:rStyle w:val="VerbatimChar"/>
                <w:rFonts w:ascii="Microsoft YaHei" w:hAnsi="Microsoft YaHei" w:eastAsia="Microsoft YaHei"/>
                <w:sz w:val="18"/>
              </w:rPr>
              <w:t xml:space="preserve">N'...'</w:t>
            </w:r>
            <w:r>
              <w:rPr>
                <w:rFonts w:ascii="Microsoft YaHei" w:hAnsi="Microsoft YaHei" w:eastAsia="Microsoft YaHei"/>
                <w:sz w:val="18"/>
              </w:rPr>
              <w:t xml:space="preserve">；已部署库执行</w:t>
            </w:r>
            <w:r>
              <w:rPr>
                <w:rFonts w:ascii="Microsoft YaHei" w:hAnsi="Microsoft YaHei" w:eastAsia="Microsoft YaHei"/>
                <w:sz w:val="18"/>
              </w:rPr>
              <w:t xml:space="preserve"> </w:t>
            </w:r>
            <w:r>
              <w:rPr>
                <w:rStyle w:val="VerbatimChar"/>
                <w:rFonts w:ascii="Microsoft YaHei" w:hAnsi="Microsoft YaHei" w:eastAsia="Microsoft YaHei"/>
                <w:sz w:val="18"/>
              </w:rPr>
              <w:t xml:space="preserve">ALTER VIEW</w:t>
            </w:r>
          </w:p>
        </w:tc>
        <w:tc>
          <w:tcPr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 xml:space="preserve">视图已返回正确中文；前端刷新首页即可显示</w:t>
            </w:r>
          </w:p>
        </w:tc>
      </w:tr>
      <w:tr>
        <w:trPr>
          <w:cantSplit/>
        </w:trPr>
        <w:tc>
          <w:tcPr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 xml:space="preserve">生产工单列表显示“暂无数据”</w:t>
            </w:r>
          </w:p>
        </w:tc>
        <w:tc>
          <w:tcPr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Style w:val="VerbatimChar"/>
                <w:rFonts w:ascii="Microsoft YaHei" w:hAnsi="Microsoft YaHei" w:eastAsia="Microsoft YaHei"/>
                <w:sz w:val="18"/>
              </w:rPr>
              <w:t xml:space="preserve">dbo.SerializeJSON</w:t>
            </w:r>
            <w:r>
              <w:rPr>
                <w:rFonts w:ascii="Microsoft YaHei" w:hAnsi="Microsoft YaHei" w:eastAsia="Microsoft YaHei"/>
                <w:sz w:val="18"/>
              </w:rPr>
              <w:t xml:space="preserve"> </w:t>
            </w:r>
            <w:r>
              <w:rPr>
                <w:rFonts w:ascii="Microsoft YaHei" w:hAnsi="Microsoft YaHei" w:eastAsia="Microsoft YaHei"/>
                <w:sz w:val="18"/>
              </w:rPr>
              <w:t xml:space="preserve">以</w:t>
            </w:r>
            <w:r>
              <w:rPr>
                <w:rFonts w:ascii="Microsoft YaHei" w:hAnsi="Microsoft YaHei" w:eastAsia="Microsoft YaHei"/>
                <w:sz w:val="18"/>
              </w:rPr>
              <w:t xml:space="preserve"> </w:t>
            </w:r>
            <w:r>
              <w:rPr>
                <w:rStyle w:val="VerbatimChar"/>
                <w:rFonts w:ascii="Microsoft YaHei" w:hAnsi="Microsoft YaHei" w:eastAsia="Microsoft YaHei"/>
                <w:sz w:val="18"/>
              </w:rPr>
              <w:t xml:space="preserve">VARCHAR</w:t>
            </w:r>
            <w:r>
              <w:rPr>
                <w:rFonts w:ascii="Microsoft YaHei" w:hAnsi="Microsoft YaHei" w:eastAsia="Microsoft YaHei"/>
                <w:sz w:val="18"/>
              </w:rPr>
              <w:t xml:space="preserve"> </w:t>
            </w:r>
            <w:r>
              <w:rPr>
                <w:rFonts w:ascii="Microsoft YaHei" w:hAnsi="Microsoft YaHei" w:eastAsia="Microsoft YaHei"/>
                <w:sz w:val="18"/>
              </w:rPr>
              <w:t xml:space="preserve">处理包含“破洞、焊接”等中文的 XML/JSON，发生字符集转换异常</w:t>
            </w:r>
          </w:p>
        </w:tc>
        <w:tc>
          <w:tcPr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 xml:space="preserve">初始化 SQL 和升级脚本将参数、动态 SQL、XML/JSON 文本统一为</w:t>
            </w:r>
            <w:r>
              <w:rPr>
                <w:rFonts w:ascii="Microsoft YaHei" w:hAnsi="Microsoft YaHei" w:eastAsia="Microsoft YaHei"/>
                <w:sz w:val="18"/>
              </w:rPr>
              <w:t xml:space="preserve"> </w:t>
            </w:r>
            <w:r>
              <w:rPr>
                <w:rStyle w:val="VerbatimChar"/>
                <w:rFonts w:ascii="Microsoft YaHei" w:hAnsi="Microsoft YaHei" w:eastAsia="Microsoft YaHei"/>
                <w:sz w:val="18"/>
              </w:rPr>
              <w:t xml:space="preserve">NVARCHAR</w:t>
            </w:r>
            <w:r>
              <w:rPr>
                <w:rFonts w:ascii="Microsoft YaHei" w:hAnsi="Microsoft YaHei" w:eastAsia="Microsoft YaHei"/>
                <w:sz w:val="18"/>
              </w:rPr>
              <w:t xml:space="preserve">/Unicode 字面量</w:t>
            </w:r>
          </w:p>
        </w:tc>
        <w:tc>
          <w:tcPr>
            <w:vAlign w:val="center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 xml:space="preserve">真实工单</w:t>
            </w:r>
            <w:r>
              <w:rPr>
                <w:rFonts w:ascii="Microsoft YaHei" w:hAnsi="Microsoft YaHei" w:eastAsia="Microsoft YaHei"/>
                <w:sz w:val="18"/>
              </w:rPr>
              <w:t xml:space="preserve"> </w:t>
            </w:r>
            <w:r>
              <w:rPr>
                <w:rStyle w:val="VerbatimChar"/>
                <w:rFonts w:ascii="Microsoft YaHei" w:hAnsi="Microsoft YaHei" w:eastAsia="Microsoft YaHei"/>
                <w:sz w:val="18"/>
              </w:rPr>
              <w:t xml:space="preserve">GD202208062336180001</w:t>
            </w:r>
            <w:r>
              <w:rPr>
                <w:rFonts w:ascii="Microsoft YaHei" w:hAnsi="Microsoft YaHei" w:eastAsia="Microsoft YaHei"/>
                <w:sz w:val="18"/>
              </w:rPr>
              <w:t xml:space="preserve"> </w:t>
            </w:r>
            <w:r>
              <w:rPr>
                <w:rFonts w:ascii="Microsoft YaHei" w:hAnsi="Microsoft YaHei" w:eastAsia="Microsoft YaHei"/>
                <w:sz w:val="18"/>
              </w:rPr>
              <w:t xml:space="preserve">的工艺进度成功返回“破洞、焊接”两道工序；无需重建 Vue 前端</w:t>
            </w:r>
          </w:p>
        </w:tc>
      </w:tr>
    </w:tbl>
    <w:p>
      <w:pPr>
        <w:pStyle w:val="BodyText"/>
      </w:pPr>
      <w:r>
        <w:t xml:space="preserve">对应说明和 SQL 文件见</w:t>
      </w:r>
      <w:r>
        <w:t xml:space="preserve"> </w:t>
      </w:r>
      <w:hyperlink r:id="rId27">
        <w:r>
          <w:rPr>
            <w:rStyle w:val="Hyperlink"/>
          </w:rPr>
          <w:t xml:space="preserve">前端问题和修改方案.md</w:t>
        </w:r>
      </w:hyperlink>
      <w:r>
        <w:t xml:space="preserve">。</w:t>
      </w:r>
    </w:p>
    <w:bookmarkEnd w:id="28"/>
    <w:bookmarkStart w:id="29" w:name="结论"/>
    <w:p>
      <w:pPr>
        <w:pStyle w:val="Heading2"/>
        <w:keepNext/>
      </w:pPr>
      <w:r>
        <w:t xml:space="preserve">结论</w:t>
      </w:r>
    </w:p>
    <w:p>
      <w:pPr>
        <w:pStyle w:val="FirstParagraph"/>
      </w:pPr>
      <w:r>
        <w:t xml:space="preserve">已落地的制造、订单、工单、任务、报工、手工入出库、报表、扩展字段、目录/菜单/按钮权限和操作审计均已有实际脚本或人工数据库验证。车间、BOM、移动端、报工生效事务、自动扣料/产出、质量、设备、排班、绩效完整计算和业务 Excel 模板导出属于说明书承诺但当前交付包缺失的功能，应按交付差异处理。</w:t>
      </w:r>
    </w:p>
    <w:bookmarkEnd w:id="29"/>
    <w:bookmarkEnd w:id="30"/>
    <w:sectPr>
      <w:headerReference w:type="default" r:id="rId9"/>
      <w:footerReference w:type="default" r:id="rId10"/>
      <w:pgSz w:w="11906" w:h="16838"/>
      <w:pgMar w:top="964" w:bottom="964" w:left="964" w:right="964" w:header="454" w:footer="45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color w:val="646464"/>
        <w:sz w:val="17"/>
      </w:rPr>
      <w:t xml:space="preserve">第 </w:t>
      <w:fldChar w:fldCharType="begin"/>
      <w:instrText xml:space="preserve"> PAGE </w:instrText>
      <w:fldChar w:fldCharType="end"/>
    </w:r>
    <w:r>
      <w:rPr>
        <w:rFonts w:ascii="Microsoft YaHei" w:hAnsi="Microsoft YaHei" w:eastAsia="Microsoft YaHei"/>
        <w:color w:val="646464"/>
        <w:sz w:val="17"/>
      </w:rPr>
      <w:t xml:space="preserve"> 页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 w:eastAsia="Microsoft YaHei"/>
        <w:color w:val="646464"/>
        <w:sz w:val="17"/>
      </w:rPr>
      <w:t>HM-MES 主流程与 WF 测试汇总报告</w: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line="300" w:lineRule="auto" w:after="80"/>
    </w:pPr>
    <w:rPr>
      <w:rFonts w:ascii="Arial" w:hAnsi="Arial" w:eastAsia="Microsoft YaHei"/>
      <w:sz w:val="21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80" w:before="0"/>
      <w:jc w:val="center"/>
    </w:pPr>
    <w:rPr>
      <w:rFonts w:asciiTheme="majorHAnsi" w:cstheme="majorBidi" w:eastAsiaTheme="majorEastAsia" w:hAnsiTheme="majorHAnsi" w:ascii="Arial" w:hAnsi="Arial" w:eastAsia="Microsoft YaHei"/>
      <w:b/>
      <w:bCs/>
      <w:color w:val="1F4E79"/>
      <w:sz w:val="44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160" w:before="280"/>
      <w:outlineLvl w:val="0"/>
    </w:pPr>
    <w:rPr>
      <w:rFonts w:asciiTheme="majorHAnsi" w:cstheme="majorBidi" w:eastAsiaTheme="majorEastAsia" w:hAnsiTheme="majorHAnsi" w:ascii="Arial" w:hAnsi="Arial" w:eastAsia="Microsoft YaHei"/>
      <w:b/>
      <w:bCs/>
      <w:color w:val="1F4E79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120" w:before="200"/>
      <w:outlineLvl w:val="1"/>
    </w:pPr>
    <w:rPr>
      <w:rFonts w:asciiTheme="majorHAnsi" w:cstheme="majorBidi" w:eastAsiaTheme="majorEastAsia" w:hAnsiTheme="majorHAnsi" w:ascii="Arial" w:hAnsi="Arial" w:eastAsia="Microsoft YaHei"/>
      <w:b/>
      <w:bCs/>
      <w:color w:val="2F5597"/>
      <w:sz w:val="26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80" w:before="160"/>
      <w:outlineLvl w:val="2"/>
    </w:pPr>
    <w:rPr>
      <w:rFonts w:asciiTheme="majorHAnsi" w:cstheme="majorBidi" w:eastAsiaTheme="majorEastAsia" w:hAnsiTheme="majorHAnsi" w:ascii="Arial" w:hAnsi="Arial" w:eastAsia="Microsoft YaHei"/>
      <w:b/>
      <w:bCs/>
      <w:color w:val="365F91"/>
      <w:sz w:val="23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  <w:rPr>
      <w:rFonts w:ascii="Consolas" w:hAnsi="Consolas" w:eastAsia="Microsoft YaHei"/>
      <w:sz w:val="18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27" Type="http://schemas.openxmlformats.org/officeDocument/2006/relationships/hyperlink" Target="./&#21069;&#31471;&#38382;&#39064;&#21644;&#20462;&#25913;&#26041;&#26696;.md" TargetMode="Externa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otnotes.xml.rels><?xml version='1.0' encoding='UTF-8' standalone='yes'?>
<Relationships xmlns="http://schemas.openxmlformats.org/package/2006/relationships"><Relationship Id="rId27" Type="http://schemas.openxmlformats.org/officeDocument/2006/relationships/hyperlink" Target="./&#21069;&#31471;&#38382;&#39064;&#21644;&#20462;&#25913;&#26041;&#26696;.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主流程与 WF 测试汇总报告</dc:title>
  <dc:creator>测试团队</dc:creator>
  <cp:keywords/>
  <dcterms:created xsi:type="dcterms:W3CDTF">2026-07-20T01:56:53Z</dcterms:created>
  <dcterms:modified xsi:type="dcterms:W3CDTF">2026-07-20T01:56:53Z</dcterms:modified>
  <dc:subject>MES 自动化与工作流测试汇总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