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package/2006/relationships/metadata/core-properties" Target="docProps/core.xml" />
    <Relationship Id="rId4" Type="http://schemas.openxmlformats.org/officeDocument/2006/relationships/extended-properties" Target="docProps/app.xml" />
    <Relationship Id="rId1" Type="http://schemas.openxmlformats.org/officeDocument/2006/relationships/officeDocument" Target="word/document.xml" />
    <Relationship Id="rId2" Type="http://schemas.openxmlformats.org/package/2006/relationships/metadata/thumbnail" Target="docProps/thumbnail.jpeg" />
    <Relationship Id="rId5" Type="http://schemas.openxmlformats.org/officeDocument/2006/relationships/custom-properties" Target="docProps/custom.xml" />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面向长程交互任务的 Agent 强化学习高效探索与自适应课程研究</w:t>
      </w:r>
    </w:p>
    <w:p>
      <w:r>
        <w:t>研究计划初稿</w:t>
      </w:r>
    </w:p>
    <w:p>
      <w:r>
        <w:t>2026年10月7日</w:t>
      </w:r>
    </w:p>
    <w:p>
      <w:pPr>
        <w:pStyle w:val="Heading1"/>
      </w:pPr>
      <w:r>
        <w:t>1 背景介绍</w:t>
      </w:r>
    </w:p>
    <w:p>
      <w:r>
        <w:t>Agentic RL通过模型实际执行任务的反馈来更新参数。一条轨迹包括多次观察、决策和工具调用。长程任务中，早期操作会影响后续条件，而最终是否完成往往到结束才能判断。</w:t>
      </w:r>
    </w:p>
    <w:p>
      <w:r>
        <w:t>训练面临的矛盾是：执行轨迹较贵，但不一定产生有用的奖励差异。例如同一任务采样8次全部失败，二值奖励均为0，GRPO由这项奖励计算的相对优势为0；帮助过多导致全部成功也会出现类似问题。这不意味着辅助SFT或KL项没有梯度。</w:t>
      </w:r>
    </w:p>
    <w:p>
      <w:r>
        <w:t>以办公任务为例，模型需要读取材料、统一统计口径、计算指标、生成图表并形成报告。前面的错误可能直到最终验收才暴露。因此，训练不仅需要让模型完成某个局部操作，还需要让它学会连续完成相互依赖的阶段。环境可重启、参考前缀可重放作为本课题的实验条件。</w:t>
      </w:r>
    </w:p>
    <w:p>
      <w:r>
        <w:t>本课题从探索过程与训练课程入手，研究如何帮助模型获得成功经验，以及如何随着模型能力变化调整训练要求，最终提升完整任务的独立执行能力。</w:t>
      </w:r>
    </w:p>
    <w:p>
      <w:pPr>
        <w:pStyle w:val="Heading1"/>
      </w:pPr>
      <w:r>
        <w:t>2 相关工作</w:t>
      </w:r>
    </w:p>
    <w:p>
      <w:pPr>
        <w:pStyle w:val="Heading2"/>
      </w:pPr>
      <w:r>
        <w:t>2.1 轨迹内课程 CRPS与Agent-G²</w:t>
      </w:r>
    </w:p>
    <w:p>
      <w:r>
        <w:t>CRPS保存成功轨迹，重放前缀后重新采样后缀，根据成功率调整剩余执行长度，并保留从头探索。它将偶然成功转为可反复学习的经验。[1，§3]</w:t>
      </w:r>
    </w:p>
    <w:p>
      <w:r>
        <w:t>Agent-G²按专家轨迹长度分簇，利用已有rollout统计构造指导比例分布，为每个任务采样前缀长度；结合后缀RL与前缀SFT。同簇共享参数，不依赖额外逐题探测。[2，§3]</w:t>
      </w:r>
    </w:p>
    <w:p>
      <w:r>
        <w:t>这两篇是直接对照。我们的改进应证明比已有反馈控制和簇统计更有效，不能把“不做额外探测”本身当作新贡献。</w:t>
      </w:r>
    </w:p>
    <w:p>
      <w:pPr>
        <w:pStyle w:val="Heading2"/>
      </w:pPr>
      <w:r>
        <w:t>2.2 过程反馈 BEACON</w:t>
      </w:r>
    </w:p>
    <w:p>
      <w:r>
        <w:t>BEACON利用环境可验证的里程碑分段，结合局部奖励、片段优势和轨迹优势，让部分成功参与学习。[3，官方Method] 它主要改变反馈粒度；我们初版保持终局奖励不变，将它作为相关路线。</w:t>
      </w:r>
    </w:p>
    <w:p>
      <w:pPr>
        <w:pStyle w:val="Heading2"/>
      </w:pPr>
      <w:r>
        <w:t>2.3 在线任务与环境课程 WebRL RODS SPADE</w:t>
      </w:r>
    </w:p>
    <w:p>
      <w:r>
        <w:t>WebRL从失败任务生成新指令，并结合结果奖励模型、价值估计和经验回放训练网页Agent。它已经使用PPL筛选成功回放动作，因此“使用PPL”本身不是创新。[4，§2]</w:t>
      </w:r>
    </w:p>
    <w:p>
      <w:r>
        <w:t>RODS利用进度奖励反馈筛选能力边界附近的种子，生成结构相近的新工具任务，并动态管理任务池。[5，§3] SPADE进一步共同训练环境设计器与求解者，生成可执行环境；设计器奖励结合提示回报差及难度约束。[6，§4]</w:t>
      </w:r>
    </w:p>
    <w:p>
      <w:r>
        <w:t>这些工作说明，除优化算法外，训练任务及其难度分布也影响学习效果。本课题首先在固定任务池内研究渐进式课程与能力适配，减少任务生成变化对初版实验的干扰。</w:t>
      </w:r>
    </w:p>
    <w:p>
      <w:pPr>
        <w:pStyle w:val="Heading2"/>
      </w:pPr>
      <w:r>
        <w:t>2.4 数学推理参考 StepHint</w:t>
      </w:r>
    </w:p>
    <w:p>
      <w:r>
        <w:t>StepHint使用多级正确推理前缀辅助数学RL探索，并保留无提示尝试。[7，§3] 它属于数学推理，单列为方法参考，不作为长程交互实验的直接证据。</w:t>
      </w:r>
    </w:p>
    <w:p>
      <w:pPr>
        <w:pStyle w:val="Heading1"/>
      </w:pPr>
      <w:r>
        <w:t>3 课题研究目标与研究内容</w:t>
      </w:r>
    </w:p>
    <w:p>
      <w:r>
        <w:t>面向需要连续规划、工具调用和状态维护的复杂任务，研究长程 Agent 强化学习中的高效探索机制。针对终局奖励稀疏、训练任务与模型能力不匹配等问题，构建随模型能力变化而调整的训练课程，提高长程任务的学习效率与端到端完成能力。</w:t>
      </w:r>
    </w:p>
    <w:p>
      <w:r>
        <w:t>研究内容分为两部分：一是利用成功经验构造渐进式训练课程，使模型先掌握可完成的任务片段，再逐步扩大自主执行范围；二是结合模型当前表现与执行反馈，动态调整课程难度，使训练持续适配模型的学习需求。</w:t>
      </w:r>
    </w:p>
    <w:p>
      <w:r>
        <w:t>初版以现有前缀指导和后缀课程为基础，重点验证能力估计能否改善课程选择。完整任务的无提示成功率与达到该水平所需的训练资源，是最终评价依据。</w:t>
      </w:r>
    </w:p>
    <w:p>
      <w:pPr>
        <w:pStyle w:val="Heading1"/>
      </w:pPr>
      <w:r>
        <w:t>4 拟解决的关键问题</w:t>
      </w:r>
    </w:p>
    <w:p>
      <w:pPr>
        <w:pStyle w:val="Heading2"/>
      </w:pPr>
      <w:r>
        <w:t>问题1 长程探索难度高 稀疏终局奖励难以支撑有效学习</w:t>
      </w:r>
    </w:p>
    <w:p>
      <w:r>
        <w:t>长程任务要求模型连续完成多个相互依赖的操作。训练初期，大量轨迹以失败结束，无法提供足够的奖励区分；增加采样次数又会带来较高的生成与环境交互成本。在使用二值终局奖励的GRPO中，整组失败会使这项奖励产生的相对优势为零。</w:t>
      </w:r>
    </w:p>
    <w:p>
      <w:r>
        <w:t>因此，需要研究如何将完整长程任务转化为当前模型能够逐步掌握的训练过程，帮助模型积累成功经验，并将局部执行能力转化为独立完成整个任务的能力。</w:t>
      </w:r>
    </w:p>
    <w:p>
      <w:pPr>
        <w:pStyle w:val="Heading2"/>
      </w:pPr>
      <w:r>
        <w:t>问题2 任务难度与模型能力不断变化 训练课程难以持续匹配学习需求</w:t>
      </w:r>
    </w:p>
    <w:p>
      <w:r>
        <w:t>不同任务的困难环节不同，同一任务对不同训练阶段的模型也具有不同难度。固定课程可能反复训练已掌握的部分，也可能过早要求模型独立执行过长的任务。指导过少容易整组失败，指导过多又可能整组成功，两者都难以通过终局奖励区分组内行为。</w:t>
      </w:r>
    </w:p>
    <w:p>
      <w:r>
        <w:t>因此，需要研究如何根据模型当前表现识别训练需求，并动态调整指导程度与独立执行范围。已有CRPS与Agent-G²已经提供反馈或统计调度，本课题需进一步检验样本特征能否在这些方法基础上改善匹配，而非将自适应调度本身当作尚未研究的概念。</w:t>
      </w:r>
    </w:p>
    <w:p>
      <w:r>
        <w:t>两个问题形成递进关系：问题1关注如何让长程任务产生可用的学习机会；问题2关注这些学习机会如何随着模型进步持续保持合适的难度。前者对应课程训练基础，后者是拟重点研究的改进方向。</w:t>
      </w:r>
    </w:p>
    <w:p>
      <w:pPr>
        <w:pStyle w:val="Heading1"/>
      </w:pPr>
      <w:r>
        <w:t>5 拟采取的研究方法</w:t>
      </w:r>
    </w:p>
    <w:p>
      <w:pPr>
        <w:pStyle w:val="Heading2"/>
      </w:pPr>
      <w:r>
        <w:t>5.1 基于成功经验的渐进式课程训练</w:t>
      </w:r>
    </w:p>
    <w:p>
      <w:r>
        <w:t>针对问题1，利用经过验证的成功轨迹构造不同独立执行长度的训练任务。先重放一段参考前缀，再让当前模型自主完成剩余部分，以原始终局验收结果训练。对困难任务提供更多起始帮助，对已经能够完成的部分逐步减少帮助。</w:t>
      </w:r>
    </w:p>
    <w:p>
      <w:r>
        <w:t>例如，完整任务包含材料读取、数据处理和报告生成，早期可以从已正确处理的数据状态开始练习报告生成；随着能力提升，将起点前移，逐步纳入数据处理和材料读取。各阶段仍以最终任务完成为目标，而不额外假设所有中间步骤都有可靠过程标签。</w:t>
      </w:r>
    </w:p>
    <w:p>
      <w:r>
        <w:t>训练始终混合从头探索，并将新获得的成功经验用于后续课程。自主执行范围不必机械地单向增长，而应依据实际能力调整。该部分承接CRPS与Agent-G²等工作，是基础机制，不作为独立新贡献。[1–2]</w:t>
      </w:r>
    </w:p>
    <w:p>
      <w:pPr>
        <w:pStyle w:val="Heading2"/>
      </w:pPr>
      <w:r>
        <w:t>5.2 基于能力估计与执行反馈的自适应课程调整</w:t>
      </w:r>
    </w:p>
    <w:p>
      <w:r>
        <w:t>针对问题2，结合任务结构、参考动作特征与历史执行表现，估计当前模型在不同指导条件下的完成概率，并据此调整课程。训练产生的新反馈定期用于更新估计，使课程跟随模型能力变化。</w:t>
      </w:r>
    </w:p>
    <w:p>
      <w:r>
        <w:t>核心假设是：具体样本的模型特征能够在长度与已有成功率统计之外提供额外信息，进而改善课程选择。该假设以及最终训练收益均需实验验证。初版采用轻量预测器，不预先限定必须使用PPL。</w:t>
      </w:r>
    </w:p>
    <w:p>
      <w:pPr>
        <w:pStyle w:val="Heading2"/>
      </w:pPr>
      <w:r>
        <w:t>5.3 初版实现 训练条件与能力估计</w:t>
      </w:r>
    </w:p>
    <w:p>
      <w:r>
        <w:t>对每个具有验证成功参考轨迹的训练任务，设置少量候选前缀位置。初版采用0、25%、50%、75%、90%的参考动作长度，取整去重，并至少保留一个待生成动作。比例0表示从头执行。</w:t>
      </w:r>
    </w:p>
    <w:p>
      <w:r>
        <w:t>预测器输入分为两部分。基础信息包括剩余动作数、参考后缀token数、上下文长度、近期任务或任务类型成功率及统计样本数；候选扩展信息为当前模型对参考动作的条件负对数似然。没有历史记录时使用任务类型或全局先验，并标记缺失。</w:t>
      </w:r>
    </w:p>
    <w:p>
      <w:r>
        <w:t>对参考动作a_t，计算每token平均损失：</w:t>
      </w:r>
    </w:p>
    <w:p>
      <w:r>
        <w:t>u_t = −Σ_j log πθ(a_t,j | h_t,a_t,&lt;j) / |a_t|。</w:t>
      </w:r>
    </w:p>
    <w:p>
      <w:r>
        <w:t>它等于该动作的log PPL，表示模型对这一具体参考动作的生成倾向。初版使用候选后缀的平均u_t和较高分位数，不引入复杂评分网络。</w:t>
      </w:r>
    </w:p>
    <w:p>
      <w:r>
        <w:t>评分仅覆盖模型动作token，环境观察作为条件；默认不评分推理文字。遵守实际harness的上下文、截断和摘要规则，不使用未来观察。相同长度下不同工具类型、参数字符串对损失的影响，应通过分组诊断检查。</w:t>
      </w:r>
    </w:p>
    <w:p>
      <w:r>
        <w:t>使用带正则的逻辑回归输出成功率预测p̂。若正常训练组G次中有s次成功，则用二项交叉熵拟合：</w:t>
      </w:r>
    </w:p>
    <w:p>
      <w:r>
        <w:t>L = −s log p̂ − (G−s) log(1−p̂)。</w:t>
      </w:r>
    </w:p>
    <w:p>
      <w:r>
        <w:t>以成功计数训练，避免将少量rollout的经验均值视为精确概率。</w:t>
      </w:r>
    </w:p>
    <w:p>
      <w:r>
        <w:t>PPL不是任务成功率。模型可能有其他正确路径，也可能在正确参考历史下倾向某个动作，但自主执行时走偏。该特征只是一项待验证假设；若无增量价值，就删除它。</w:t>
      </w:r>
    </w:p>
    <w:p>
      <w:pPr>
        <w:pStyle w:val="Heading2"/>
      </w:pPr>
      <w:r>
        <w:t>5.4 初版实现 用新执行结果更新估计</w:t>
      </w:r>
    </w:p>
    <w:p>
      <w:r>
        <w:t>初版采用最简单的更新方式：缓存正常训练中任务、前缀位置、策略版本、特征与终局结果，每20个策略更新步利用近期数据重新拟合预测器，并刷新所需参考动作评分。20步是起始超参数，可比较10、20、40步的成本与稳定性。</w:t>
      </w:r>
    </w:p>
    <w:p>
      <w:r>
        <w:t>优先使用较新数据并限制历史窗口，减少旧策略结果的影响。保留数据所属策略版本，不将不同检查点的能力混为一个固定成功率。没有足够新数据时沿用上一版本，冷启动阶段采用随机或已有统计课程收集正常训练数据。</w:t>
      </w:r>
    </w:p>
    <w:p>
      <w:r>
        <w:t>初版不增加逐任务残差修正、额外价值网络或复杂快速控制器。只有观察到刷新间隔内存在稳定且明显的失准，才考虑更快的更新机制。</w:t>
      </w:r>
    </w:p>
    <w:p>
      <w:pPr>
        <w:pStyle w:val="Heading2"/>
      </w:pPr>
      <w:r>
        <w:t>5.5 初版实现 课程选择与完整任务探索</w:t>
      </w:r>
    </w:p>
    <w:p>
      <w:r>
        <w:t>先均衡抽样任务，再在该任务的候选起点中，选择预测成功率最接近0.5的位置。0.5是避免二值奖励全成全败的启发式目标，不代表真实学习收益最大化。候选预测相近时随机打破平局，避免固定位置偏好。</w:t>
      </w:r>
    </w:p>
    <w:p>
      <w:r>
        <w:t>每批初版保留30%的组从头执行、20%随机候选起点、50%使用预测选择。相关对照统一比例。随机部分提供对未偏好位置的观察，从头部分确保持续练习完整任务。所有比例均为拟定实验配置。</w:t>
      </w:r>
    </w:p>
    <w:p>
      <w:r>
        <w:t>选点后实际重置并重放前缀，当前策略生成G=8条独立后缀。组内共享前缀条件，不将不同帮助程度的轨迹混合计算相对优势。终局奖励不变，RL更新仅覆盖新采样输出；如增加前缀SFT，各对应对照使用相同监督预算。</w:t>
      </w:r>
    </w:p>
    <w:p>
      <w:pPr>
        <w:pStyle w:val="Heading2"/>
      </w:pPr>
      <w:r>
        <w:t>5.6 方法定位与待验证假设</w:t>
      </w:r>
    </w:p>
    <w:p>
      <w:r>
        <w:t>CRPS和Agent-G²已利用执行反馈调节课程，WebRL已用PPL筛选回放动作。[1–2、4] ADHint也已将样本难度用于提示比例调整，属于补充的推理与多模态相关方法。[8] 因此，前缀课程、PPL和反馈更新本身都不应直接写成新贡献。</w:t>
      </w:r>
    </w:p>
    <w:p>
      <w:r>
        <w:t>本课题需要证明的是：参考轨迹特征确实带来增量信息，并且这些信息带来的训练收益值得其成本。定期校准是保证方法运行的配套机制，不要求单独包装为算法贡献。</w:t>
      </w:r>
    </w:p>
    <w:p>
      <w:pPr>
        <w:pStyle w:val="Heading1"/>
      </w:pPr>
      <w:r>
        <w:t>6 初版实验</w:t>
      </w:r>
    </w:p>
    <w:p>
      <w:r>
        <w:t>实验围绕三个问题展开：渐进式课程是否缓解长程任务中的全失败采样；能力估计是否比长度规则和已有统计更好地选择训练条件；动态调整课程是否在相同总资源下提高完整任务成功率。课程训练效果与新增能力估计的增益分别验证。</w:t>
      </w:r>
    </w:p>
    <w:p>
      <w:pPr>
        <w:pStyle w:val="Heading2"/>
      </w:pPr>
      <w:r>
        <w:t>6.1 设置与数据</w:t>
      </w:r>
    </w:p>
    <w:p>
      <w:r>
        <w:t>先在ALFWorld、Qwen2.5-1.5B-Instruct上验证，再扩到WebShop。固定G=8，统一初始化、harness、奖励、解码和执行上限。各方法使用相同参考轨迹及辅助监督。采用外部统一参考池的CRPS适配需注明“CRPS式调度”，不冒充原始在线成功池协议。</w:t>
      </w:r>
    </w:p>
    <w:p>
      <w:r>
        <w:t>无参考任务仍保留从头探索，并报告参考覆盖率。参考采集、用于训练的诊断数据及预热采样均记录成本，不通过剔除难任务提高表面结果。</w:t>
      </w:r>
    </w:p>
    <w:p>
      <w:pPr>
        <w:pStyle w:val="Heading2"/>
      </w:pPr>
      <w:r>
        <w:t>6.2 第一步 确认是否有改进空间</w:t>
      </w:r>
    </w:p>
    <w:p>
      <w:r>
        <w:t>在随机前缀、CRPS式与Agent-G²式调度下，统计全失败、全成功组比例，以及这些组消耗的token、环境调用与时间。控制长度后，检查具体任务是否仍有可解释的差异。</w:t>
      </w:r>
    </w:p>
    <w:p>
      <w:r>
        <w:t>若已有方法奖励同质化程度很低，或差异主要来自环境噪声而非可预测特征，应重新判断该研究方向的价值。</w:t>
      </w:r>
    </w:p>
    <w:p>
      <w:pPr>
        <w:pStyle w:val="Heading2"/>
      </w:pPr>
      <w:r>
        <w:t>6.3 第二步 检验预测是否有用</w:t>
      </w:r>
    </w:p>
    <w:p>
      <w:r>
        <w:t>初始诊断选64个有参考轨迹的训练任务，按任务划48个拟合、16个开发；每题最多5个切点、每切点8次续接，最多2560条轨迹。同一任务的不同切点不跨集合，正式测试集不参与选特征。该样本规模只用于初步筛选，通过后需扩充验证。</w:t>
      </w:r>
    </w:p>
    <w:p>
      <w:r>
        <w:t>对比仅长度、长度加历史统计，以及再加入参考动作损失的预测器。评价二项对数损失、Brier分数、预测分箱实际成功率及所选起点的实际奖励分布。在后续策略检查点重复，检查预测能否跟随模型变化。</w:t>
      </w:r>
    </w:p>
    <w:p>
      <w:r>
        <w:t>预测数据由随机或明确记录的采样方案收集，避免只评价模型已经偏好的起点。不能仅凭训练集相关性或PPL散点图就认定有效。</w:t>
      </w:r>
    </w:p>
    <w:p>
      <w:pPr>
        <w:pStyle w:val="Heading2"/>
      </w:pPr>
      <w:r>
        <w:t>6.4 第三步 检验训练是否划算</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tcPr>
          <w:p>
            <w:r>
              <w:rPr>
                <w:sz w:val="18"/>
              </w:rPr>
              <w:t>对照</w:t>
            </w:r>
          </w:p>
        </w:tc>
        <w:tc>
          <w:tcPr>
            <w:tcW w:type="dxa" w:w="3312"/>
          </w:tcPr>
          <w:p>
            <w:r>
              <w:rPr>
                <w:sz w:val="18"/>
              </w:rPr>
              <w:t>配置</w:t>
            </w:r>
          </w:p>
        </w:tc>
        <w:tc>
          <w:tcPr>
            <w:tcW w:type="dxa" w:w="3312"/>
          </w:tcPr>
          <w:p>
            <w:r>
              <w:rPr>
                <w:sz w:val="18"/>
              </w:rPr>
              <w:t>要排除的解释</w:t>
            </w:r>
          </w:p>
        </w:tc>
      </w:tr>
      <w:tr>
        <w:tc>
          <w:tcPr>
            <w:tcW w:type="dxa" w:w="3312"/>
          </w:tcPr>
          <w:p>
            <w:r>
              <w:rPr>
                <w:sz w:val="18"/>
              </w:rPr>
              <w:t>基础对照</w:t>
            </w:r>
          </w:p>
        </w:tc>
        <w:tc>
          <w:tcPr>
            <w:tcW w:type="dxa" w:w="3312"/>
          </w:tcPr>
          <w:p>
            <w:r>
              <w:rPr>
                <w:sz w:val="18"/>
              </w:rPr>
              <w:t>从头GRPO 随机前缀</w:t>
            </w:r>
          </w:p>
        </w:tc>
        <w:tc>
          <w:tcPr>
            <w:tcW w:type="dxa" w:w="3312"/>
          </w:tcPr>
          <w:p>
            <w:r>
              <w:rPr>
                <w:sz w:val="18"/>
              </w:rPr>
              <w:t>收益仅来自缩短任务</w:t>
            </w:r>
          </w:p>
        </w:tc>
      </w:tr>
      <w:tr>
        <w:tc>
          <w:tcPr>
            <w:tcW w:type="dxa" w:w="3312"/>
          </w:tcPr>
          <w:p>
            <w:r>
              <w:rPr>
                <w:sz w:val="18"/>
              </w:rPr>
              <w:t>强对照</w:t>
            </w:r>
          </w:p>
        </w:tc>
        <w:tc>
          <w:tcPr>
            <w:tcW w:type="dxa" w:w="3312"/>
          </w:tcPr>
          <w:p>
            <w:r>
              <w:rPr>
                <w:sz w:val="18"/>
              </w:rPr>
              <w:t>CRPS式与Agent-G²式调度</w:t>
            </w:r>
          </w:p>
        </w:tc>
        <w:tc>
          <w:tcPr>
            <w:tcW w:type="dxa" w:w="3312"/>
          </w:tcPr>
          <w:p>
            <w:r>
              <w:rPr>
                <w:sz w:val="18"/>
              </w:rPr>
              <w:t>收益已有统计课程可以达到</w:t>
            </w:r>
          </w:p>
        </w:tc>
      </w:tr>
      <w:tr>
        <w:tc>
          <w:tcPr>
            <w:tcW w:type="dxa" w:w="3312"/>
          </w:tcPr>
          <w:p>
            <w:r>
              <w:rPr>
                <w:sz w:val="18"/>
              </w:rPr>
              <w:t>简单预测器</w:t>
            </w:r>
          </w:p>
        </w:tc>
        <w:tc>
          <w:tcPr>
            <w:tcW w:type="dxa" w:w="3312"/>
          </w:tcPr>
          <w:p>
            <w:r>
              <w:rPr>
                <w:sz w:val="18"/>
              </w:rPr>
              <w:t>长度加历史统计 定期重拟合</w:t>
            </w:r>
          </w:p>
        </w:tc>
        <w:tc>
          <w:tcPr>
            <w:tcW w:type="dxa" w:w="3312"/>
          </w:tcPr>
          <w:p>
            <w:r>
              <w:rPr>
                <w:sz w:val="18"/>
              </w:rPr>
              <w:t>收益仅来自历史反馈</w:t>
            </w:r>
          </w:p>
        </w:tc>
      </w:tr>
      <w:tr>
        <w:tc>
          <w:tcPr>
            <w:tcW w:type="dxa" w:w="3312"/>
          </w:tcPr>
          <w:p>
            <w:r>
              <w:rPr>
                <w:sz w:val="18"/>
              </w:rPr>
              <w:t>完整候选方法</w:t>
            </w:r>
          </w:p>
        </w:tc>
        <w:tc>
          <w:tcPr>
            <w:tcW w:type="dxa" w:w="3312"/>
          </w:tcPr>
          <w:p>
            <w:r>
              <w:rPr>
                <w:sz w:val="18"/>
              </w:rPr>
              <w:t>增加参考动作特征 相同更新频率</w:t>
            </w:r>
          </w:p>
        </w:tc>
        <w:tc>
          <w:tcPr>
            <w:tcW w:type="dxa" w:w="3312"/>
          </w:tcPr>
          <w:p>
            <w:r>
              <w:rPr>
                <w:sz w:val="18"/>
              </w:rPr>
              <w:t>检验新增特征的实际价值</w:t>
            </w:r>
          </w:p>
        </w:tc>
      </w:tr>
    </w:tbl>
    <w:p/>
    <w:p>
      <w:r>
        <w:t>核心消融是移除参考动作特征。固定预测器与定期重拟合的比较作为更新策略诊断，不将其强行视为第二项创新。先单种子短跑，再对最强已有对照、简单预测器和完整方法做3种子确认。</w:t>
      </w:r>
    </w:p>
    <w:p>
      <w:pPr>
        <w:pStyle w:val="Heading2"/>
      </w:pPr>
      <w:r>
        <w:t>6.5 指标与成本</w:t>
      </w:r>
    </w:p>
    <w:p>
      <w:r>
        <w:t>主指标是相同计算与交互预算下的无提示完整任务成功率，以及达到预设成功率的成本。目标由预跑确定后冻结，未达到则如实报告。</w:t>
      </w:r>
    </w:p>
    <w:p>
      <w:r>
        <w:t>分别报告生成token、环境调用、GPU小时和墙钟时间，在固定硬件并发和共同预算区间比较。计入参考评分、预测器更新、前缀恢复及诊断成本；每条分支需要重放时按实际重复次数计入。</w:t>
      </w:r>
    </w:p>
    <w:p>
      <w:r>
        <w:t>全成全败比例、包含不同奖励的采样组数、平均提示比例和预测误差作为辅助指标。它们只能解释机制，不能代替完整任务收益。</w:t>
      </w:r>
    </w:p>
    <w:p>
      <w:pPr>
        <w:pStyle w:val="Heading2"/>
      </w:pPr>
      <w:r>
        <w:t>6.6 继续或停止的标准</w:t>
      </w:r>
    </w:p>
    <w:p>
      <w:r>
        <w:t>参考动作特征必须在独立任务与不同检查点上提供增量预测价值；完整方案还必须在计入额外开销后优于强对照。只降低奖励同质化比例而不提高最终表现，不支持训练效率提升的结论。</w:t>
      </w:r>
    </w:p>
    <w:p>
      <w:r>
        <w:t>若PPL无增益则删除；若评分成本过高则降低刷新频率或保留更便宜特征；若简单统计已达到同样效果，则如实将结果定位为复现或工程经验，不继续堆叠模块。</w:t>
      </w:r>
    </w:p>
    <w:p>
      <w:r>
        <w:t>初版交付为预测对照、等预算训练曲线、特征消融与失败分析。所有方法收益均为待验证假设，尚无实验结果。</w:t>
      </w:r>
    </w:p>
    <w:p>
      <w:pPr>
        <w:pStyle w:val="Heading1"/>
      </w:pPr>
      <w:r>
        <w:t>7 课题概括</w:t>
      </w:r>
    </w:p>
    <w:p>
      <w:r>
        <w:t>本课题面向长程交互任务中探索难度高、终局奖励稀疏及课程与能力匹配不足的问题，研究基于成功经验的渐进式训练与基于执行反馈的自适应课程调整。利用已有成功轨迹帮助模型获得可学习的执行经验，再根据当前模型的任务完成能力调整指导程度，逐步提升完整任务的独立执行水平。初版以已有后缀课程为基础，重点检验能力估计能否改善训练条件选择，并以同等训练资源下的端到端成功率验证实际价值。</w:t>
      </w:r>
    </w:p>
    <w:p>
      <w:pPr>
        <w:pStyle w:val="Heading1"/>
      </w:pPr>
      <w:r>
        <w:t>参考来源</w:t>
      </w:r>
    </w:p>
    <w:p>
      <w:r>
        <w:t>[1] CRPS 方法§3。</w:t>
      </w:r>
    </w:p>
    <w:p>
      <w:hyperlink r:id="rId10">
        <w:r>
          <w:rPr>
            <w:color w:val="0563C1"/>
          </w:rPr>
          <w:t>https://aclanthology.org/2026.findings-acl.680.pdf</w:t>
        </w:r>
      </w:hyperlink>
    </w:p>
    <w:p>
      <w:r>
        <w:t>[2] Agent-G² v1 方法§3。</w:t>
      </w:r>
    </w:p>
    <w:p>
      <w:hyperlink r:id="rId11">
        <w:r>
          <w:rPr>
            <w:color w:val="0563C1"/>
          </w:rPr>
          <w:t>https://arxiv.org/html/2608.23318v1</w:t>
        </w:r>
      </w:hyperlink>
    </w:p>
    <w:p>
      <w:r>
        <w:t>[3] BEACON 官方Method。</w:t>
      </w:r>
    </w:p>
    <w:p>
      <w:hyperlink r:id="rId12">
        <w:r>
          <w:rPr>
            <w:color w:val="0563C1"/>
          </w:rPr>
          <w:t>https://github.com/ZJU-REAL/BEACON</w:t>
        </w:r>
      </w:hyperlink>
    </w:p>
    <w:p>
      <w:r>
        <w:t>[4] WebRL v1 §2，含PPL回放筛选。</w:t>
      </w:r>
    </w:p>
    <w:p>
      <w:hyperlink r:id="rId13">
        <w:r>
          <w:rPr>
            <w:color w:val="0563C1"/>
          </w:rPr>
          <w:t>https://arxiv.org/html/2411.02337v1</w:t>
        </w:r>
      </w:hyperlink>
    </w:p>
    <w:p>
      <w:r>
        <w:t>[5] RODS v1 §3。</w:t>
      </w:r>
    </w:p>
    <w:p>
      <w:hyperlink r:id="rId14">
        <w:r>
          <w:rPr>
            <w:color w:val="0563C1"/>
          </w:rPr>
          <w:t>https://arxiv.org/html/2606.19047v1</w:t>
        </w:r>
      </w:hyperlink>
    </w:p>
    <w:p>
      <w:r>
        <w:t>[6] SPADE v3 §4。</w:t>
      </w:r>
    </w:p>
    <w:p>
      <w:hyperlink r:id="rId15">
        <w:r>
          <w:rPr>
            <w:color w:val="0563C1"/>
          </w:rPr>
          <w:t>https://arxiv.org/html/2608.19197v3</w:t>
        </w:r>
      </w:hyperlink>
    </w:p>
    <w:p>
      <w:r>
        <w:t>[7] StepHint §3。</w:t>
      </w:r>
    </w:p>
    <w:p>
      <w:hyperlink r:id="rId16">
        <w:r>
          <w:rPr>
            <w:color w:val="0563C1"/>
          </w:rPr>
          <w:t>https://aclanthology.org/2026.acl-long.1755.pdf</w:t>
        </w:r>
      </w:hyperlink>
    </w:p>
    <w:p>
      <w:r>
        <w:t>[8] ADHint: Adaptive Hints with Difficulty Priors for Reinforcement Learning. v2，作为补充的推理与多模态方法参考。</w:t>
      </w:r>
    </w:p>
    <w:p>
      <w:hyperlink r:id="rId17">
        <w:r>
          <w:rPr>
            <w:color w:val="0563C1"/>
          </w:rPr>
          <w:t>https://arxiv.org/html/2512.13095v2</w:t>
        </w:r>
      </w:hyperlink>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Long horizon Agentic RL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icrosoft YaHe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clanthology.org/2026.findings-acl.680.pdf" TargetMode="External"/><Relationship Id="rId11" Type="http://schemas.openxmlformats.org/officeDocument/2006/relationships/hyperlink" Target="https://arxiv.org/html/2608.23318v1" TargetMode="External"/><Relationship Id="rId12" Type="http://schemas.openxmlformats.org/officeDocument/2006/relationships/hyperlink" Target="https://github.com/ZJU-REAL/BEACON" TargetMode="External"/><Relationship Id="rId13" Type="http://schemas.openxmlformats.org/officeDocument/2006/relationships/hyperlink" Target="https://arxiv.org/html/2411.02337v1" TargetMode="External"/><Relationship Id="rId14" Type="http://schemas.openxmlformats.org/officeDocument/2006/relationships/hyperlink" Target="https://arxiv.org/html/2606.19047v1" TargetMode="External"/><Relationship Id="rId15" Type="http://schemas.openxmlformats.org/officeDocument/2006/relationships/hyperlink" Target="https://arxiv.org/html/2608.19197v3" TargetMode="External"/><Relationship Id="rId16" Type="http://schemas.openxmlformats.org/officeDocument/2006/relationships/hyperlink" Target="https://aclanthology.org/2026.acl-long.1755.pdf" TargetMode="External"/><Relationship Id="rId17" Type="http://schemas.openxmlformats.org/officeDocument/2006/relationships/hyperlink" Target="https://arxiv.org/html/2512.13095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vt="http://schemas.openxmlformats.org/officeDocument/2006/docPropsVTypes" xmlns="http://schemas.openxmlformats.org/officeDocument/2006/custom-properties">
  <property name="fileWhereFroms" pid="2" fmtid="{D5CDD505-2E9C-101B-9397-08002B2CF9AE}">
    <vt:lpwstr>X7pvHeV8CWyUNR+Hgqm2xKkLEfGbqa4HyD07t5KA6BxlOvayxVqncWN7ESMjDSf7cxmtK4d9y2R0XcaPVNhb/n06soRqrEAq0M1mMS0NevV8FoPHHRteXS1Yh/ju8ZPFWSRoeZpOO5GDQo1TIZ48ug==</vt:lpwstr>
  </property>
</Properties>
</file>