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75CF9">
      <w:pPr>
        <w:pStyle w:val="3"/>
        <w:snapToGrid w:val="0"/>
        <w:jc w:val="center"/>
        <w:rPr>
          <w:rFonts w:hint="eastAsia" w:ascii="宋体-18030" w:hAnsi="宋体-18030" w:eastAsia="宋体-18030" w:cs="宋体-18030"/>
          <w:b/>
          <w:bCs/>
          <w:w w:val="90"/>
          <w:sz w:val="36"/>
          <w:szCs w:val="36"/>
        </w:rPr>
      </w:pPr>
      <w:r>
        <w:rPr>
          <w:rFonts w:hint="eastAsia" w:ascii="宋体-18030" w:hAnsi="宋体-18030" w:eastAsia="宋体-18030" w:cs="宋体-18030"/>
          <w:b/>
          <w:bCs/>
          <w:w w:val="90"/>
          <w:sz w:val="36"/>
          <w:szCs w:val="36"/>
        </w:rPr>
        <w:t>武汉理工大学本科生毕业设计（论文）开题报告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1"/>
      </w:tblGrid>
      <w:tr w14:paraId="0ED4A45D">
        <w:trPr>
          <w:trHeight w:val="70" w:hRule="atLeast"/>
          <w:jc w:val="center"/>
        </w:trPr>
        <w:tc>
          <w:tcPr>
            <w:tcW w:w="8411" w:type="dxa"/>
          </w:tcPr>
          <w:p w14:paraId="780A7E8A">
            <w:r>
              <w:rPr>
                <w:rFonts w:hint="eastAsia"/>
                <w:b/>
                <w:bCs/>
              </w:rPr>
              <w:t>研究目的</w:t>
            </w:r>
            <w:r>
              <w:rPr>
                <w:rFonts w:hint="eastAsia" w:ascii="宋体-18030" w:hAnsi="宋体-18030" w:eastAsia="宋体-18030" w:cs="宋体-18030"/>
                <w:b/>
              </w:rPr>
              <w:t>（含国内外的研究现状分析）</w:t>
            </w:r>
            <w:r>
              <w:rPr>
                <w:rFonts w:hint="eastAsia"/>
                <w:b/>
                <w:bCs/>
              </w:rPr>
              <w:t>：</w:t>
            </w:r>
          </w:p>
          <w:p w14:paraId="45A55D42">
            <w:pPr>
              <w:ind w:firstLine="420"/>
            </w:pPr>
            <w:r>
              <w:t>随着大语言模型（LLM）与检索增强生成（RAG）技术的发展，智能医疗问诊系统已成为医疗信息化的重要方向。传统预问诊主要依赖人工采集，存在信息不完整、重复沟通成本高、医生接诊前准备不足等问题。</w:t>
            </w:r>
            <w:r>
              <w:rPr>
                <w:rFonts w:hint="eastAsia"/>
              </w:rPr>
              <w:t>本课题面向“预约前预问诊 + 医疗知识问答 + 医生接诊辅助”场景，拟设计并实现基于大语言模型的智能医疗辅助问诊系统，在提升就诊效率的同时，增强回答的可追溯性与安全性，并通过排班引擎提升医疗资源调度效率。</w:t>
            </w:r>
          </w:p>
          <w:p w14:paraId="73F780D2">
            <w:pPr>
              <w:ind w:firstLine="420"/>
            </w:pPr>
            <w:r>
              <w:rPr>
                <w:rFonts w:hint="eastAsia"/>
              </w:rPr>
              <w:t>国外在医疗AI领域已从规则系统逐步发展到“LLM + RAG”方案，重点关注回答依据可解释、风险内容约束和临床流程协同。国内研究则更注重与医院实际业务的融合，尤其在导诊分流、病历结构化和互联网问诊方面发展迅速。</w:t>
            </w:r>
            <w:bookmarkStart w:id="0" w:name="_GoBack"/>
            <w:bookmarkEnd w:id="0"/>
          </w:p>
          <w:p w14:paraId="7915DBF1">
            <w:pPr>
              <w:ind w:firstLine="420"/>
            </w:pPr>
            <w:r>
              <w:t>现有方案的共性问题主要包括：医疗知识更新成本高、模型幻觉带来的安全风险、以及业务系统与AI能力耦合过重导致的工程落地困难。因此，本课题以“业务闭环 + 可追溯检索 + 安全护栏 + 排班优化”为主线，构建Java业务主服务与Python AI微服务协同架构，实现患者、医生、管理员三类角色的核心流程贯通</w:t>
            </w:r>
            <w:r>
              <w:rPr>
                <w:rFonts w:hint="eastAsia"/>
                <w:lang w:val="en-US" w:eastAsia="zh-CN"/>
              </w:rPr>
              <w:t>同时保留可扩展性以支持后续更复杂的权限和资源管理控制</w:t>
            </w:r>
            <w:r>
              <w:t>。</w:t>
            </w:r>
          </w:p>
          <w:p w14:paraId="56A39CDE">
            <w:pPr>
              <w:ind w:firstLine="420"/>
            </w:pPr>
            <w:r>
              <w:rPr>
                <w:rFonts w:hint="eastAsia"/>
              </w:rPr>
              <w:t>在研究方法上，系统将围绕需求分析、架构设计、核心模块实现与实验评估四个阶段推进，重点验证RAG在医疗问答中的有效性、稳定性及可解释性，并验证排班引擎在科室班次覆盖与公平性约束下的可行性。课题目标是在保证工程可实现性的前提下，形成一套可复用的医疗问诊系统设计与实现方案，为智慧医疗场景提供可落地的技术参考。</w:t>
            </w:r>
          </w:p>
          <w:p w14:paraId="0993DC76">
            <w:pPr>
              <w:ind w:firstLine="420"/>
            </w:pPr>
          </w:p>
          <w:p w14:paraId="087D624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研究意义</w:t>
            </w:r>
            <w:r>
              <w:rPr>
                <w:rFonts w:hint="eastAsia" w:ascii="宋体" w:hAnsi="宋体"/>
                <w:b/>
                <w:bCs/>
                <w:szCs w:val="21"/>
              </w:rPr>
              <w:t>（理论或实际）</w:t>
            </w:r>
            <w:r>
              <w:rPr>
                <w:rFonts w:hint="eastAsia"/>
                <w:b/>
                <w:bCs/>
              </w:rPr>
              <w:t>：</w:t>
            </w:r>
          </w:p>
          <w:p w14:paraId="4D2FF53D">
            <w:pPr>
              <w:ind w:firstLine="420" w:firstLineChars="200"/>
            </w:pPr>
            <w:r>
              <w:rPr>
                <w:rFonts w:hint="eastAsia"/>
              </w:rPr>
              <w:t>理论意义：探索“多轮对话状态管理 + 检索增强生成 + 风险护栏 + 排班优化”在医疗问诊场景下的协同机制，为垂直领域大模型系统设计提供实践样本。实际意义：通过预问诊信息采集、科室推荐、问答辅助与排班资源协调，减少重复问询，提升患者就医体验和医生接诊效率。</w:t>
            </w:r>
          </w:p>
          <w:p w14:paraId="0FC83637">
            <w:pPr>
              <w:ind w:firstLine="420"/>
            </w:pPr>
            <w:r>
              <w:rPr>
                <w:rFonts w:hint="eastAsia"/>
              </w:rPr>
              <w:t>工程意义：采用模块化单体与独立AI微服务解耦设计，兼顾开发效率、系统稳定性与后续扩展能力，便于在真实业务中演进。应用意义：通过引入知识库、审计机制与排班引擎，实现“有依据回答、可追踪过程、可控风险输出、可优化资源配置”。</w:t>
            </w:r>
          </w:p>
        </w:tc>
      </w:tr>
      <w:tr w14:paraId="5F902A17">
        <w:trPr>
          <w:trHeight w:val="4965" w:hRule="atLeast"/>
          <w:jc w:val="center"/>
        </w:trPr>
        <w:tc>
          <w:tcPr>
            <w:tcW w:w="8411" w:type="dxa"/>
          </w:tcPr>
          <w:p w14:paraId="0EB24919">
            <w:pPr>
              <w:pStyle w:val="3"/>
              <w:snapToGrid w:val="0"/>
              <w:spacing w:before="156" w:beforeLines="50"/>
              <w:rPr>
                <w:rFonts w:hint="eastAsia" w:ascii="宋体-18030" w:hAnsi="宋体-18030" w:eastAsia="宋体-18030" w:cs="宋体-18030"/>
                <w:b/>
              </w:rPr>
            </w:pPr>
            <w:r>
              <w:rPr>
                <w:rFonts w:hint="eastAsia" w:ascii="宋体-18030" w:hAnsi="宋体-18030" w:eastAsia="宋体-18030" w:cs="宋体-18030"/>
                <w:b/>
              </w:rPr>
              <w:t>2、基本内容和技术方案</w:t>
            </w:r>
          </w:p>
          <w:p w14:paraId="59FD391D">
            <w:pPr>
              <w:ind w:firstLine="331" w:firstLineChars="157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设计（论文）的基本内容是：</w:t>
            </w:r>
          </w:p>
          <w:p w14:paraId="628504AB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研究智能医疗辅助问诊系统的业务流程、角色权限与核心功能边界，形成需求与用例模型。研究RAG核心链路，包括文档解析、分块、向量化、检索与生成，构建可追溯问答能力。</w:t>
            </w:r>
          </w:p>
          <w:p w14:paraId="24110CFC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研究多轮对话状态管理，完成预问诊关键信息采集与结构化摘要输出。</w:t>
            </w:r>
          </w:p>
          <w:p w14:paraId="3D2BD28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研究医疗安全护栏机制，实现敏感信息脱敏、风险分级、拒答策略与免责声明注入。</w:t>
            </w:r>
          </w:p>
          <w:p w14:paraId="55373FC1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研究医生排班引擎，支持按科室、班次、医生资质与公平性约束生成可执行排班方案。</w:t>
            </w:r>
          </w:p>
          <w:p w14:paraId="4395C55A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实现患者端、医生端、管理员端的最小功能闭环，并完成知识库管理与问答联调。</w:t>
            </w:r>
          </w:p>
          <w:p w14:paraId="63C0D94C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开展功能测试与性能评估，验证系统在回答相关性、响应时延、挂号流程一致性与排班可执行性方面的表现。</w:t>
            </w:r>
          </w:p>
          <w:p w14:paraId="785D1D03">
            <w:pPr>
              <w:ind w:firstLine="331" w:firstLineChars="157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设计（论文）需要重点解决的问题是：</w:t>
            </w:r>
          </w:p>
          <w:p w14:paraId="272EE537">
            <w:pPr>
              <w:numPr>
                <w:ilvl w:val="0"/>
                <w:numId w:val="2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大模型幻觉与医疗回答可信度问题：通过RAG与引用机制确保回答有来源、有依据。</w:t>
            </w:r>
          </w:p>
          <w:p w14:paraId="4D1C42D3">
            <w:pPr>
              <w:numPr>
                <w:ilvl w:val="0"/>
                <w:numId w:val="2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检索质量与召回准确率问题：优化分块策略、向量检索与阈值过滤，提高上下文相关性。</w:t>
            </w:r>
          </w:p>
          <w:p w14:paraId="503C7C4E">
            <w:pPr>
              <w:numPr>
                <w:ilvl w:val="0"/>
                <w:numId w:val="2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多轮问诊上下文一致性问题：确保会话状态稳定、信息不遗漏，并输出结构化预问诊结果。</w:t>
            </w:r>
          </w:p>
          <w:p w14:paraId="3B79AC81">
            <w:pPr>
              <w:numPr>
                <w:ilvl w:val="0"/>
                <w:numId w:val="2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隐私与合规问题：在模型调用链路中落实PII脱敏、风险控制和审计追踪。</w:t>
            </w:r>
          </w:p>
          <w:p w14:paraId="45DBA77B">
            <w:pPr>
              <w:ind w:firstLine="331" w:firstLineChars="157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设计（论文）拟采用的技术方案是：</w:t>
            </w:r>
          </w:p>
          <w:p w14:paraId="0A72576A">
            <w:pPr>
              <w:ind w:firstLine="420" w:firstLineChars="200"/>
              <w:rPr>
                <w:b/>
                <w:bCs/>
              </w:rPr>
            </w:pPr>
            <w:r>
              <w:rPr>
                <w:rFonts w:hint="eastAsia" w:ascii="宋体" w:hAnsi="宋体"/>
                <w:szCs w:val="21"/>
              </w:rPr>
              <w:t>后端采用</w:t>
            </w:r>
            <w:r>
              <w:rPr>
                <w:rFonts w:hint="default" w:ascii="Times New Roman Regular" w:hAnsi="Times New Roman Regular" w:cs="Times New Roman Regular"/>
                <w:szCs w:val="21"/>
              </w:rPr>
              <w:t>Java 21 + Spring Boot 3.x + MyBatis-Plus + MySQL + Redis + RocketMQ；</w:t>
            </w:r>
            <w:r>
              <w:rPr>
                <w:rFonts w:hint="eastAsia" w:ascii="宋体" w:hAnsi="宋体"/>
                <w:szCs w:val="21"/>
              </w:rPr>
              <w:t>AI侧采用</w:t>
            </w:r>
            <w:r>
              <w:rPr>
                <w:rFonts w:hint="default" w:ascii="Times New Roman Regular" w:hAnsi="Times New Roman Regular" w:cs="Times New Roman Regular"/>
                <w:szCs w:val="21"/>
              </w:rPr>
              <w:t>FastAPI + LangChain + LangGraph + Milvus + OpenAI</w:t>
            </w:r>
            <w:r>
              <w:rPr>
                <w:rFonts w:hint="eastAsia" w:ascii="宋体" w:hAnsi="宋体"/>
                <w:szCs w:val="21"/>
              </w:rPr>
              <w:t>兼容接口；前端采用</w:t>
            </w:r>
            <w:r>
              <w:rPr>
                <w:rFonts w:hint="default" w:ascii="Times New Roman Regular" w:hAnsi="Times New Roman Regular" w:cs="Times New Roman Regular"/>
                <w:szCs w:val="21"/>
              </w:rPr>
              <w:t>React + TypeScript + Vite；</w:t>
            </w:r>
            <w:r>
              <w:rPr>
                <w:rFonts w:hint="eastAsia" w:ascii="宋体" w:hAnsi="宋体"/>
                <w:szCs w:val="21"/>
              </w:rPr>
              <w:t>排班模块采用规则约束与优化求解结合的排班引擎，支持班次覆盖、资质匹配与公平性控制；并采用</w:t>
            </w:r>
            <w:r>
              <w:rPr>
                <w:rFonts w:hint="default" w:ascii="Times New Roman Regular" w:hAnsi="Times New Roman Regular" w:cs="Times New Roman Regular"/>
                <w:szCs w:val="21"/>
              </w:rPr>
              <w:t>DDD</w:t>
            </w:r>
            <w:r>
              <w:rPr>
                <w:rFonts w:hint="eastAsia" w:ascii="宋体" w:hAnsi="宋体"/>
                <w:szCs w:val="21"/>
              </w:rPr>
              <w:t>分层实践（领域层、应用层、基础设施层）管理预约、病历、处方等核心聚合；系统通过</w:t>
            </w:r>
            <w:r>
              <w:rPr>
                <w:rFonts w:hint="default" w:ascii="Times New Roman Regular" w:hAnsi="Times New Roman Regular" w:cs="Times New Roman Regular"/>
                <w:szCs w:val="21"/>
              </w:rPr>
              <w:t>SSE</w:t>
            </w:r>
            <w:r>
              <w:rPr>
                <w:rFonts w:hint="eastAsia" w:ascii="宋体" w:hAnsi="宋体"/>
                <w:szCs w:val="21"/>
              </w:rPr>
              <w:t>提供流式问答，并以RAG与安全护栏保障可追溯性与安全性。</w:t>
            </w:r>
          </w:p>
        </w:tc>
      </w:tr>
      <w:tr w14:paraId="103FD13B">
        <w:trPr>
          <w:trHeight w:val="613" w:hRule="atLeast"/>
          <w:jc w:val="center"/>
        </w:trPr>
        <w:tc>
          <w:tcPr>
            <w:tcW w:w="8411" w:type="dxa"/>
          </w:tcPr>
          <w:p w14:paraId="38AB911E">
            <w:pPr>
              <w:pStyle w:val="3"/>
              <w:snapToGrid w:val="0"/>
              <w:spacing w:before="156" w:beforeLines="50"/>
              <w:rPr>
                <w:rFonts w:hint="eastAsia" w:ascii="宋体-18030" w:hAnsi="宋体-18030" w:eastAsia="宋体-18030" w:cs="宋体-18030"/>
                <w:b/>
              </w:rPr>
            </w:pPr>
            <w:r>
              <w:rPr>
                <w:rFonts w:hint="eastAsia" w:ascii="宋体-18030" w:hAnsi="宋体-18030" w:eastAsia="宋体-18030" w:cs="宋体-18030"/>
                <w:b/>
              </w:rPr>
              <w:t>3、进度安排</w:t>
            </w:r>
          </w:p>
          <w:p w14:paraId="28EB00CB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 xml:space="preserve">2026/02/13—2026/02/28：完成文献研读、需求梳理与开题报告定稿； </w:t>
            </w:r>
          </w:p>
          <w:p w14:paraId="5A8A3DDE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 xml:space="preserve">2026/03/01—2026/03/20：完成系统架构设计、数据库设计与接口设计； </w:t>
            </w:r>
          </w:p>
          <w:p w14:paraId="04744A7D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 xml:space="preserve">2026/03/21—2026/04/20：完成用户权限、挂号预约、病历与处方等核心业务模块实现； </w:t>
            </w:r>
          </w:p>
          <w:p w14:paraId="7C5A52E8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2026/04/21—2026/05/15：完成AI微服务、RAG知识库、预问诊对话、安全护栏与排班引擎实现；</w:t>
            </w:r>
          </w:p>
          <w:p w14:paraId="302B82A5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2026/05/16—2026/06/10：完成联调测试、论文撰写修改与答辩准备。</w:t>
            </w:r>
          </w:p>
        </w:tc>
      </w:tr>
      <w:tr w14:paraId="0F41F562">
        <w:trPr>
          <w:trHeight w:val="2739" w:hRule="atLeast"/>
          <w:jc w:val="center"/>
        </w:trPr>
        <w:tc>
          <w:tcPr>
            <w:tcW w:w="8411" w:type="dxa"/>
          </w:tcPr>
          <w:p w14:paraId="7B4A7D60">
            <w:pPr>
              <w:pStyle w:val="3"/>
              <w:snapToGrid w:val="0"/>
              <w:spacing w:before="156" w:beforeLines="50"/>
              <w:rPr>
                <w:rFonts w:hint="eastAsia" w:ascii="宋体-18030" w:hAnsi="宋体-18030" w:eastAsia="宋体-18030" w:cs="宋体-18030"/>
                <w:b/>
              </w:rPr>
            </w:pPr>
            <w:r>
              <w:rPr>
                <w:rFonts w:hint="eastAsia" w:ascii="宋体-18030" w:hAnsi="宋体-18030" w:eastAsia="宋体-18030" w:cs="宋体-18030"/>
                <w:b/>
              </w:rPr>
              <w:t>4、指导教师意见</w:t>
            </w:r>
          </w:p>
          <w:p w14:paraId="73B8CDDF">
            <w:pPr>
              <w:pStyle w:val="3"/>
              <w:snapToGrid w:val="0"/>
              <w:ind w:firstLine="435"/>
              <w:rPr>
                <w:rFonts w:hint="eastAsia" w:ascii="宋体-18030" w:hAnsi="宋体-18030" w:eastAsia="宋体-18030" w:cs="宋体-18030"/>
                <w:bCs/>
              </w:rPr>
            </w:pPr>
          </w:p>
          <w:p w14:paraId="13BEE9E9">
            <w:pPr>
              <w:pStyle w:val="3"/>
              <w:snapToGrid w:val="0"/>
              <w:ind w:firstLine="435"/>
              <w:rPr>
                <w:rFonts w:hint="eastAsia" w:ascii="宋体-18030" w:hAnsi="宋体-18030" w:eastAsia="宋体-18030" w:cs="宋体-18030"/>
                <w:bCs/>
              </w:rPr>
            </w:pPr>
          </w:p>
          <w:p w14:paraId="1E2059E7">
            <w:pPr>
              <w:pStyle w:val="3"/>
              <w:snapToGrid w:val="0"/>
              <w:ind w:firstLine="435"/>
              <w:rPr>
                <w:rFonts w:hint="eastAsia" w:ascii="宋体-18030" w:hAnsi="宋体-18030" w:eastAsia="宋体-18030" w:cs="宋体-18030"/>
                <w:bCs/>
              </w:rPr>
            </w:pPr>
          </w:p>
          <w:p w14:paraId="5A25A69E">
            <w:pPr>
              <w:pStyle w:val="3"/>
              <w:snapToGrid w:val="0"/>
              <w:ind w:firstLine="435"/>
              <w:rPr>
                <w:rFonts w:hint="eastAsia" w:ascii="宋体-18030" w:hAnsi="宋体-18030" w:eastAsia="宋体-18030" w:cs="宋体-18030"/>
                <w:bCs/>
              </w:rPr>
            </w:pPr>
          </w:p>
          <w:p w14:paraId="7175E1F9">
            <w:pPr>
              <w:pStyle w:val="3"/>
              <w:snapToGrid w:val="0"/>
              <w:ind w:firstLine="435"/>
              <w:rPr>
                <w:rFonts w:hint="eastAsia" w:ascii="宋体-18030" w:hAnsi="宋体-18030" w:eastAsia="宋体-18030" w:cs="宋体-18030"/>
                <w:bCs/>
              </w:rPr>
            </w:pPr>
          </w:p>
          <w:p w14:paraId="526B00D9">
            <w:pPr>
              <w:pStyle w:val="3"/>
              <w:wordWrap w:val="0"/>
              <w:snapToGrid w:val="0"/>
              <w:ind w:right="420" w:firstLine="435"/>
              <w:jc w:val="center"/>
              <w:rPr>
                <w:rFonts w:hint="eastAsia" w:ascii="宋体-18030" w:hAnsi="宋体-18030" w:eastAsia="宋体-18030" w:cs="宋体-18030"/>
                <w:bCs/>
              </w:rPr>
            </w:pPr>
            <w:r>
              <w:rPr>
                <w:rFonts w:hint="eastAsia" w:ascii="宋体-18030" w:hAnsi="宋体-18030" w:eastAsia="宋体-18030" w:cs="宋体-18030"/>
                <w:bCs/>
              </w:rPr>
              <w:t>指导教师签名：</w:t>
            </w:r>
          </w:p>
          <w:p w14:paraId="6E0C542E">
            <w:pPr>
              <w:pStyle w:val="3"/>
              <w:snapToGrid w:val="0"/>
              <w:ind w:right="420" w:firstLine="5894" w:firstLineChars="2807"/>
              <w:rPr>
                <w:rFonts w:hint="eastAsia" w:ascii="宋体-18030" w:hAnsi="宋体-18030" w:eastAsia="宋体-18030" w:cs="宋体-18030"/>
                <w:bCs/>
              </w:rPr>
            </w:pPr>
            <w:r>
              <w:rPr>
                <w:rFonts w:hint="eastAsia" w:ascii="宋体-18030" w:hAnsi="宋体-18030" w:eastAsia="宋体-18030" w:cs="宋体-18030"/>
                <w:bCs/>
              </w:rPr>
              <w:t>年    月    日</w:t>
            </w:r>
          </w:p>
          <w:p w14:paraId="6A065042">
            <w:pPr>
              <w:pStyle w:val="3"/>
              <w:snapToGrid w:val="0"/>
              <w:ind w:firstLine="435"/>
              <w:rPr>
                <w:rFonts w:hint="eastAsia" w:ascii="宋体-18030" w:hAnsi="宋体-18030" w:eastAsia="宋体-18030" w:cs="宋体-18030"/>
                <w:bCs/>
              </w:rPr>
            </w:pPr>
          </w:p>
        </w:tc>
      </w:tr>
    </w:tbl>
    <w:p w14:paraId="706F58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18030">
    <w:altName w:val="Arial Unicode MS"/>
    <w:panose1 w:val="00000000000000000000"/>
    <w:charset w:val="86"/>
    <w:family w:val="modern"/>
    <w:pitch w:val="default"/>
    <w:sig w:usb0="00000000" w:usb1="00000000" w:usb2="0000001E" w:usb3="00000000" w:csb0="003C004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50081"/>
    <w:multiLevelType w:val="multilevel"/>
    <w:tmpl w:val="1A450081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E716D66"/>
    <w:multiLevelType w:val="multilevel"/>
    <w:tmpl w:val="5E716D66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4E32F2B"/>
    <w:multiLevelType w:val="multilevel"/>
    <w:tmpl w:val="64E32F2B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645"/>
    <w:rsid w:val="00006053"/>
    <w:rsid w:val="000F7576"/>
    <w:rsid w:val="001646B9"/>
    <w:rsid w:val="00224A55"/>
    <w:rsid w:val="00262EC8"/>
    <w:rsid w:val="00295FBA"/>
    <w:rsid w:val="002C6B49"/>
    <w:rsid w:val="00336DF1"/>
    <w:rsid w:val="00355F4C"/>
    <w:rsid w:val="003A15FA"/>
    <w:rsid w:val="003A70CA"/>
    <w:rsid w:val="004065DA"/>
    <w:rsid w:val="00474F43"/>
    <w:rsid w:val="004B5897"/>
    <w:rsid w:val="00505ECE"/>
    <w:rsid w:val="0060332A"/>
    <w:rsid w:val="006707F4"/>
    <w:rsid w:val="0067620C"/>
    <w:rsid w:val="007B2BED"/>
    <w:rsid w:val="00804645"/>
    <w:rsid w:val="008D631A"/>
    <w:rsid w:val="00926B35"/>
    <w:rsid w:val="009B2D72"/>
    <w:rsid w:val="00AC27C3"/>
    <w:rsid w:val="00AC6B8B"/>
    <w:rsid w:val="00AE04FF"/>
    <w:rsid w:val="00B17977"/>
    <w:rsid w:val="00B25496"/>
    <w:rsid w:val="00B552F6"/>
    <w:rsid w:val="00DA6BE0"/>
    <w:rsid w:val="00DE5858"/>
    <w:rsid w:val="00DF63C2"/>
    <w:rsid w:val="00E35186"/>
    <w:rsid w:val="00EB3CC4"/>
    <w:rsid w:val="00EC3E95"/>
    <w:rsid w:val="00EC52B7"/>
    <w:rsid w:val="1B7C28F2"/>
    <w:rsid w:val="28FE16AA"/>
    <w:rsid w:val="38E3270D"/>
    <w:rsid w:val="460E3AFC"/>
    <w:rsid w:val="55FA710D"/>
    <w:rsid w:val="691302BC"/>
    <w:rsid w:val="7297576A"/>
    <w:rsid w:val="72EF0CB5"/>
    <w:rsid w:val="CFFFA14D"/>
    <w:rsid w:val="F7F1C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qFormat/>
    <w:uiPriority w:val="99"/>
    <w:pPr>
      <w:jc w:val="left"/>
    </w:pPr>
  </w:style>
  <w:style w:type="paragraph" w:styleId="3">
    <w:name w:val="Plain Text"/>
    <w:basedOn w:val="1"/>
    <w:link w:val="10"/>
    <w:semiHidden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annotation reference"/>
    <w:semiHidden/>
    <w:unhideWhenUsed/>
    <w:uiPriority w:val="99"/>
    <w:rPr>
      <w:sz w:val="21"/>
      <w:szCs w:val="21"/>
    </w:rPr>
  </w:style>
  <w:style w:type="character" w:customStyle="1" w:styleId="10">
    <w:name w:val="纯文本 字符"/>
    <w:basedOn w:val="8"/>
    <w:link w:val="3"/>
    <w:semiHidden/>
    <w:uiPriority w:val="0"/>
    <w:rPr>
      <w:rFonts w:ascii="宋体" w:hAnsi="Courier New" w:eastAsia="宋体" w:cs="Courier New"/>
      <w:szCs w:val="21"/>
    </w:rPr>
  </w:style>
  <w:style w:type="character" w:customStyle="1" w:styleId="11">
    <w:name w:val="批注文字 字符"/>
    <w:basedOn w:val="8"/>
    <w:link w:val="2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2">
    <w:name w:val="页眉 字符"/>
    <w:basedOn w:val="8"/>
    <w:link w:val="5"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脚 字符"/>
    <w:basedOn w:val="8"/>
    <w:link w:val="4"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1677</Words>
  <Characters>1875</Characters>
  <Lines>68</Lines>
  <Paragraphs>34</Paragraphs>
  <TotalTime>4</TotalTime>
  <ScaleCrop>false</ScaleCrop>
  <LinksUpToDate>false</LinksUpToDate>
  <CharactersWithSpaces>1958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2025-02-18T19:29:00Z</dcterms:created>
  <dc:creator>徐 延治</dc:creator>
  <cp:lastModifiedBy>Eckert</cp:lastModifiedBy>
  <dcterms:modified xsi:type="dcterms:W3CDTF">2026-02-13T14:14:17Z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7EDB78DECAF44441926770A37BEE2D75</vt:lpwstr>
  </property>
  <property fmtid="{D5CDD505-2E9C-101B-9397-08002B2CF9AE}" pid="4" name="CWM7ca303f0f84711f0b2d793c032d793c0">
    <vt:lpwstr>CWMirGt8UHmG7xw58yUrX3cCv88TC7/9Ei6F9j8ilFxon7hjlHh5QcXuyG4840nfn1ok7968scvVlireAwlwnHTyw==</vt:lpwstr>
  </property>
</Properties>
</file>