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76700">
      <w:pPr>
        <w:jc w:val="center"/>
        <w:rPr>
          <w:rFonts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2025—20</w:t>
      </w:r>
      <w:r>
        <w:rPr>
          <w:rFonts w:ascii="宋体" w:hAnsi="宋体" w:eastAsia="宋体" w:cs="Times New Roman"/>
          <w:b/>
          <w:kern w:val="2"/>
          <w:sz w:val="32"/>
          <w:szCs w:val="24"/>
          <w:lang w:val="en-US" w:eastAsia="zh-CN" w:bidi="ar-SA"/>
        </w:rPr>
        <w:t>2</w:t>
      </w:r>
      <w:r>
        <w:rPr>
          <w:rFonts w:hint="eastAsia" w:ascii="宋体" w:hAnsi="宋体" w:eastAsia="宋体" w:cs="Times New Roman"/>
          <w:b/>
          <w:kern w:val="2"/>
          <w:sz w:val="32"/>
          <w:szCs w:val="24"/>
          <w:lang w:val="en-US" w:eastAsia="zh-CN" w:bidi="ar-SA"/>
        </w:rPr>
        <w:t>6年学年度第</w:t>
      </w:r>
      <w:r>
        <w:rPr>
          <w:rFonts w:hint="default" w:ascii="宋体" w:hAnsi="宋体" w:eastAsia="宋体" w:cs="Times New Roman"/>
          <w:b/>
          <w:kern w:val="2"/>
          <w:sz w:val="32"/>
          <w:szCs w:val="24"/>
          <w:lang w:val="en-US" w:eastAsia="zh-CN" w:bidi="ar-SA"/>
        </w:rPr>
        <w:t>2</w:t>
      </w:r>
      <w:r>
        <w:rPr>
          <w:rFonts w:hint="eastAsia" w:ascii="宋体" w:hAnsi="宋体" w:eastAsia="宋体" w:cs="Times New Roman"/>
          <w:b/>
          <w:kern w:val="2"/>
          <w:sz w:val="32"/>
          <w:szCs w:val="24"/>
          <w:lang w:val="en-US" w:eastAsia="zh-CN" w:bidi="ar-SA"/>
        </w:rPr>
        <w:t>学期</w:t>
      </w:r>
    </w:p>
    <w:p w14:paraId="537234A2">
      <w:pPr>
        <w:jc w:val="center"/>
        <w:rPr>
          <w:rFonts w:hint="eastAsia" w:ascii="宋体" w:hAnsi="宋体" w:eastAsia="宋体" w:cs="Times New Roman"/>
          <w:b/>
          <w:kern w:val="2"/>
          <w:sz w:val="32"/>
          <w:szCs w:val="24"/>
          <w:lang w:val="en-US" w:eastAsia="zh-CN" w:bidi="ar-SA"/>
        </w:rPr>
      </w:pPr>
    </w:p>
    <w:p w14:paraId="7CDBB5AD">
      <w:pPr>
        <w:jc w:val="center"/>
        <w:rPr>
          <w:rFonts w:hint="eastAsia"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 xml:space="preserve"> </w:t>
      </w:r>
    </w:p>
    <w:p w14:paraId="04991EEF">
      <w:pPr>
        <w:jc w:val="center"/>
        <w:rPr>
          <w:rFonts w:hint="eastAsia" w:ascii="宋体" w:hAnsi="宋体" w:eastAsia="宋体" w:cs="Times New Roman"/>
          <w:b/>
          <w:kern w:val="2"/>
          <w:sz w:val="36"/>
          <w:szCs w:val="36"/>
          <w:lang w:val="en-US" w:eastAsia="zh-CN" w:bidi="ar-SA"/>
        </w:rPr>
      </w:pPr>
      <w:r>
        <w:rPr>
          <w:rFonts w:hint="eastAsia" w:ascii="宋体" w:hAnsi="宋体" w:eastAsia="宋体" w:cs="Times New Roman"/>
          <w:b/>
          <w:kern w:val="2"/>
          <w:sz w:val="36"/>
          <w:szCs w:val="36"/>
          <w:lang w:val="en-US" w:eastAsia="zh-CN" w:bidi="ar-SA"/>
        </w:rPr>
        <w:t>毛泽东思想和中国特色社会主义理论体系概论实践</w:t>
      </w:r>
    </w:p>
    <w:p w14:paraId="2F5C0D9B">
      <w:pPr>
        <w:jc w:val="center"/>
        <w:rPr>
          <w:rFonts w:hint="eastAsia" w:ascii="宋体" w:hAnsi="宋体" w:eastAsia="宋体" w:cs="Times New Roman"/>
          <w:b/>
          <w:kern w:val="2"/>
          <w:sz w:val="36"/>
          <w:szCs w:val="36"/>
          <w:lang w:val="en-US" w:eastAsia="zh-CN" w:bidi="ar-SA"/>
        </w:rPr>
      </w:pPr>
      <w:r>
        <w:rPr>
          <w:rFonts w:hint="eastAsia" w:ascii="宋体" w:hAnsi="宋体" w:eastAsia="宋体" w:cs="Times New Roman"/>
          <w:b/>
          <w:kern w:val="2"/>
          <w:sz w:val="36"/>
          <w:szCs w:val="36"/>
          <w:lang w:val="en-US" w:eastAsia="zh-CN" w:bidi="ar-SA"/>
        </w:rPr>
        <w:t xml:space="preserve"> </w:t>
      </w:r>
    </w:p>
    <w:p w14:paraId="155582CB">
      <w:pPr>
        <w:jc w:val="center"/>
        <w:rPr>
          <w:rFonts w:hint="eastAsia" w:ascii="宋体" w:hAnsi="宋体" w:eastAsia="宋体" w:cs="Times New Roman"/>
          <w:b/>
          <w:kern w:val="2"/>
          <w:sz w:val="36"/>
          <w:szCs w:val="36"/>
          <w:lang w:val="en-US" w:eastAsia="zh-CN" w:bidi="ar-SA"/>
        </w:rPr>
      </w:pPr>
    </w:p>
    <w:p w14:paraId="31FF9261">
      <w:pPr>
        <w:jc w:val="center"/>
        <w:rPr>
          <w:rFonts w:hint="eastAsia" w:ascii="宋体" w:hAnsi="宋体" w:eastAsia="宋体" w:cs="Times New Roman"/>
          <w:b/>
          <w:kern w:val="2"/>
          <w:sz w:val="44"/>
          <w:szCs w:val="44"/>
          <w:lang w:val="en-US" w:eastAsia="zh-CN" w:bidi="ar-SA"/>
        </w:rPr>
      </w:pPr>
      <w:r>
        <w:rPr>
          <w:rFonts w:hint="eastAsia" w:ascii="宋体" w:hAnsi="宋体" w:eastAsia="宋体" w:cs="Times New Roman"/>
          <w:b/>
          <w:kern w:val="2"/>
          <w:sz w:val="44"/>
          <w:szCs w:val="44"/>
          <w:lang w:val="en-US" w:eastAsia="zh-CN" w:bidi="ar-SA"/>
        </w:rPr>
        <w:t>社会实践报告</w:t>
      </w:r>
    </w:p>
    <w:p w14:paraId="5B5A39A1">
      <w:pPr>
        <w:jc w:val="center"/>
        <w:rPr>
          <w:rFonts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 xml:space="preserve"> </w:t>
      </w:r>
    </w:p>
    <w:p w14:paraId="6647E5CF">
      <w:pPr>
        <w:rPr>
          <w:rFonts w:ascii="宋体" w:hAnsi="宋体" w:eastAsia="宋体" w:cs="Times New Roman"/>
          <w:b/>
          <w:kern w:val="2"/>
          <w:sz w:val="32"/>
          <w:szCs w:val="24"/>
          <w:lang w:val="en-US" w:eastAsia="zh-CN" w:bidi="ar-SA"/>
        </w:rPr>
      </w:pPr>
    </w:p>
    <w:p w14:paraId="5BC16B09">
      <w:pPr>
        <w:rPr>
          <w:rFonts w:ascii="宋体" w:hAnsi="宋体" w:eastAsia="宋体" w:cs="Times New Roman"/>
          <w:b/>
          <w:kern w:val="2"/>
          <w:sz w:val="32"/>
          <w:szCs w:val="24"/>
          <w:lang w:val="en-US" w:eastAsia="zh-CN" w:bidi="ar-SA"/>
        </w:rPr>
      </w:pPr>
    </w:p>
    <w:p w14:paraId="31CB3D67">
      <w:pPr>
        <w:rPr>
          <w:rFonts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题   目：</w:t>
      </w:r>
      <w:r>
        <w:rPr>
          <w:rFonts w:hint="eastAsia" w:ascii="宋体" w:hAnsi="宋体" w:eastAsia="宋体" w:cs="Times New Roman"/>
          <w:b/>
          <w:kern w:val="2"/>
          <w:sz w:val="32"/>
          <w:szCs w:val="24"/>
          <w:u w:val="single"/>
          <w:lang w:val="en-US" w:eastAsia="zh-CN" w:bidi="ar-SA"/>
        </w:rPr>
        <w:t>大学生就业难问题调查与思考</w:t>
      </w:r>
      <w:r>
        <w:rPr>
          <w:rFonts w:hint="eastAsia" w:ascii="宋体" w:hAnsi="宋体" w:eastAsia="宋体" w:cs="Times New Roman"/>
          <w:b/>
          <w:kern w:val="2"/>
          <w:sz w:val="32"/>
          <w:szCs w:val="24"/>
          <w:u w:val="none"/>
          <w:lang w:val="en-US" w:eastAsia="zh-CN" w:bidi="ar-SA"/>
        </w:rPr>
        <w:t xml:space="preserve">  </w:t>
      </w:r>
      <w:r>
        <w:rPr>
          <w:rFonts w:ascii="宋体" w:hAnsi="宋体" w:eastAsia="宋体" w:cs="Times New Roman"/>
          <w:b/>
          <w:kern w:val="2"/>
          <w:sz w:val="32"/>
          <w:szCs w:val="24"/>
          <w:u w:val="none"/>
          <w:lang w:val="en-US" w:eastAsia="zh-CN" w:bidi="ar-SA"/>
        </w:rPr>
        <w:t xml:space="preserve"> </w:t>
      </w:r>
      <w:r>
        <w:rPr>
          <w:rFonts w:hint="eastAsia" w:ascii="宋体" w:hAnsi="宋体" w:eastAsia="宋体" w:cs="Times New Roman"/>
          <w:b/>
          <w:kern w:val="2"/>
          <w:sz w:val="32"/>
          <w:szCs w:val="24"/>
          <w:u w:val="none"/>
          <w:lang w:val="en-US" w:eastAsia="zh-CN" w:bidi="ar-SA"/>
        </w:rPr>
        <w:t xml:space="preserve"> </w:t>
      </w:r>
      <w:r>
        <w:rPr>
          <w:rFonts w:ascii="宋体" w:hAnsi="宋体" w:eastAsia="宋体" w:cs="Times New Roman"/>
          <w:b/>
          <w:kern w:val="2"/>
          <w:sz w:val="32"/>
          <w:szCs w:val="24"/>
          <w:u w:val="none"/>
          <w:lang w:val="en-US" w:eastAsia="zh-CN" w:bidi="ar-SA"/>
        </w:rPr>
        <w:t xml:space="preserve"> </w:t>
      </w:r>
      <w:r>
        <w:rPr>
          <w:rFonts w:ascii="宋体" w:hAnsi="宋体" w:eastAsia="宋体" w:cs="Times New Roman"/>
          <w:b/>
          <w:kern w:val="2"/>
          <w:sz w:val="32"/>
          <w:szCs w:val="24"/>
          <w:u w:val="single"/>
          <w:lang w:val="en-US" w:eastAsia="zh-CN" w:bidi="ar-SA"/>
        </w:rPr>
        <w:t xml:space="preserve">                             </w:t>
      </w:r>
      <w:r>
        <w:rPr>
          <w:rFonts w:hint="eastAsia" w:ascii="宋体" w:hAnsi="宋体" w:eastAsia="宋体" w:cs="Times New Roman"/>
          <w:b/>
          <w:kern w:val="2"/>
          <w:sz w:val="32"/>
          <w:szCs w:val="24"/>
          <w:u w:val="single"/>
          <w:lang w:val="en-US" w:eastAsia="zh-CN" w:bidi="ar-SA"/>
        </w:rPr>
        <w:t xml:space="preserve"> </w:t>
      </w:r>
      <w:r>
        <w:rPr>
          <w:rFonts w:ascii="宋体" w:hAnsi="宋体" w:eastAsia="宋体" w:cs="Times New Roman"/>
          <w:b/>
          <w:kern w:val="2"/>
          <w:sz w:val="32"/>
          <w:szCs w:val="24"/>
          <w:u w:val="single"/>
          <w:lang w:val="en-US" w:eastAsia="zh-CN" w:bidi="ar-SA"/>
        </w:rPr>
        <w:t xml:space="preserve">          </w:t>
      </w:r>
    </w:p>
    <w:p w14:paraId="0ACB0E7C">
      <w:pPr>
        <w:jc w:val="center"/>
        <w:rPr>
          <w:rFonts w:ascii="宋体" w:hAnsi="宋体" w:eastAsia="宋体" w:cs="Times New Roman"/>
          <w:b/>
          <w:kern w:val="2"/>
          <w:sz w:val="32"/>
          <w:szCs w:val="24"/>
          <w:lang w:val="en-US" w:eastAsia="zh-CN" w:bidi="ar-SA"/>
        </w:rPr>
      </w:pPr>
    </w:p>
    <w:p w14:paraId="63BA8F98">
      <w:pPr>
        <w:jc w:val="center"/>
        <w:rPr>
          <w:rFonts w:ascii="宋体" w:hAnsi="宋体" w:eastAsia="宋体" w:cs="Times New Roman"/>
          <w:b/>
          <w:kern w:val="2"/>
          <w:sz w:val="32"/>
          <w:szCs w:val="24"/>
          <w:lang w:val="en-US" w:eastAsia="zh-CN" w:bidi="ar-SA"/>
        </w:rPr>
      </w:pPr>
    </w:p>
    <w:p w14:paraId="4BD8E3EF">
      <w:pPr>
        <w:jc w:val="center"/>
        <w:rPr>
          <w:rFonts w:hint="eastAsia" w:ascii="宋体" w:hAnsi="宋体" w:eastAsia="宋体" w:cs="Times New Roman"/>
          <w:b/>
          <w:kern w:val="2"/>
          <w:sz w:val="32"/>
          <w:szCs w:val="24"/>
          <w:lang w:val="en-US" w:eastAsia="zh-CN" w:bidi="ar-SA"/>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2974"/>
        <w:gridCol w:w="2412"/>
        <w:gridCol w:w="1497"/>
      </w:tblGrid>
      <w:tr w14:paraId="7AA7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tcPr>
          <w:p w14:paraId="3ACD6BBC">
            <w:pPr>
              <w:jc w:val="center"/>
              <w:rPr>
                <w:rFonts w:hint="eastAsia" w:ascii="宋体" w:hAnsi="宋体" w:eastAsia="宋体" w:cs="Times New Roman"/>
                <w:b/>
                <w:bCs/>
                <w:kern w:val="2"/>
                <w:sz w:val="32"/>
                <w:szCs w:val="24"/>
                <w:lang w:val="en-US" w:eastAsia="zh-CN" w:bidi="ar-SA"/>
              </w:rPr>
            </w:pPr>
            <w:r>
              <w:rPr>
                <w:rFonts w:hint="eastAsia" w:ascii="宋体" w:hAnsi="宋体" w:eastAsia="宋体" w:cs="Times New Roman"/>
                <w:b/>
                <w:bCs/>
                <w:kern w:val="2"/>
                <w:sz w:val="32"/>
                <w:szCs w:val="24"/>
                <w:lang w:val="en-US" w:eastAsia="zh-CN" w:bidi="ar-SA"/>
              </w:rPr>
              <w:t>学号</w:t>
            </w:r>
          </w:p>
        </w:tc>
        <w:tc>
          <w:tcPr>
            <w:tcW w:w="2974" w:type="dxa"/>
            <w:tcBorders>
              <w:top w:val="single" w:color="auto" w:sz="4" w:space="0"/>
              <w:left w:val="single" w:color="auto" w:sz="4" w:space="0"/>
              <w:bottom w:val="single" w:color="auto" w:sz="4" w:space="0"/>
              <w:right w:val="single" w:color="auto" w:sz="4" w:space="0"/>
            </w:tcBorders>
          </w:tcPr>
          <w:p w14:paraId="1951E38A">
            <w:pPr>
              <w:jc w:val="center"/>
              <w:rPr>
                <w:rFonts w:hint="eastAsia" w:ascii="宋体" w:hAnsi="宋体" w:eastAsia="宋体" w:cs="Times New Roman"/>
                <w:b/>
                <w:bCs/>
                <w:kern w:val="2"/>
                <w:sz w:val="32"/>
                <w:szCs w:val="24"/>
                <w:lang w:val="en-US" w:eastAsia="zh-CN" w:bidi="ar-SA"/>
              </w:rPr>
            </w:pPr>
            <w:r>
              <w:rPr>
                <w:rFonts w:hint="eastAsia" w:ascii="宋体" w:hAnsi="宋体" w:eastAsia="宋体" w:cs="Times New Roman"/>
                <w:b/>
                <w:bCs/>
                <w:kern w:val="2"/>
                <w:sz w:val="32"/>
                <w:szCs w:val="24"/>
                <w:lang w:val="en-US" w:eastAsia="zh-CN" w:bidi="ar-SA"/>
              </w:rPr>
              <w:t>姓名</w:t>
            </w:r>
          </w:p>
        </w:tc>
        <w:tc>
          <w:tcPr>
            <w:tcW w:w="2412" w:type="dxa"/>
            <w:tcBorders>
              <w:top w:val="single" w:color="auto" w:sz="4" w:space="0"/>
              <w:left w:val="single" w:color="auto" w:sz="4" w:space="0"/>
              <w:bottom w:val="single" w:color="auto" w:sz="4" w:space="0"/>
              <w:right w:val="single" w:color="auto" w:sz="4" w:space="0"/>
            </w:tcBorders>
          </w:tcPr>
          <w:p w14:paraId="2E9D1973">
            <w:pPr>
              <w:jc w:val="center"/>
              <w:rPr>
                <w:rFonts w:hint="eastAsia" w:ascii="宋体" w:hAnsi="宋体" w:eastAsia="宋体" w:cs="Times New Roman"/>
                <w:b/>
                <w:bCs/>
                <w:kern w:val="2"/>
                <w:sz w:val="32"/>
                <w:szCs w:val="24"/>
                <w:lang w:val="en-US" w:eastAsia="zh-CN" w:bidi="ar-SA"/>
              </w:rPr>
            </w:pPr>
            <w:r>
              <w:rPr>
                <w:rFonts w:hint="eastAsia" w:ascii="宋体" w:hAnsi="宋体" w:eastAsia="宋体" w:cs="Times New Roman"/>
                <w:b/>
                <w:bCs/>
                <w:kern w:val="2"/>
                <w:sz w:val="32"/>
                <w:szCs w:val="24"/>
                <w:lang w:val="en-US" w:eastAsia="zh-CN" w:bidi="ar-SA"/>
              </w:rPr>
              <w:t>行政班</w:t>
            </w:r>
          </w:p>
        </w:tc>
        <w:tc>
          <w:tcPr>
            <w:tcW w:w="1497" w:type="dxa"/>
            <w:tcBorders>
              <w:top w:val="single" w:color="auto" w:sz="4" w:space="0"/>
              <w:left w:val="single" w:color="auto" w:sz="4" w:space="0"/>
              <w:bottom w:val="single" w:color="auto" w:sz="4" w:space="0"/>
              <w:right w:val="single" w:color="auto" w:sz="4" w:space="0"/>
            </w:tcBorders>
          </w:tcPr>
          <w:p w14:paraId="57909A2E">
            <w:pPr>
              <w:jc w:val="center"/>
              <w:rPr>
                <w:rFonts w:hint="eastAsia" w:ascii="宋体" w:hAnsi="宋体" w:eastAsia="宋体" w:cs="Times New Roman"/>
                <w:b/>
                <w:bCs/>
                <w:kern w:val="2"/>
                <w:sz w:val="32"/>
                <w:szCs w:val="24"/>
                <w:lang w:val="en-US" w:eastAsia="zh-CN" w:bidi="ar-SA"/>
              </w:rPr>
            </w:pPr>
            <w:r>
              <w:rPr>
                <w:rFonts w:hint="eastAsia" w:ascii="宋体" w:hAnsi="宋体" w:eastAsia="宋体" w:cs="Times New Roman"/>
                <w:b/>
                <w:bCs/>
                <w:kern w:val="2"/>
                <w:sz w:val="32"/>
                <w:szCs w:val="24"/>
                <w:lang w:val="en-US" w:eastAsia="zh-CN" w:bidi="ar-SA"/>
              </w:rPr>
              <w:t>成绩</w:t>
            </w:r>
          </w:p>
        </w:tc>
      </w:tr>
      <w:tr w14:paraId="4223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508CE5CF">
            <w:pPr>
              <w:jc w:val="center"/>
              <w:rPr>
                <w:rFonts w:hint="default"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20241212</w:t>
            </w:r>
          </w:p>
        </w:tc>
        <w:tc>
          <w:tcPr>
            <w:tcW w:w="2974" w:type="dxa"/>
            <w:tcBorders>
              <w:top w:val="single" w:color="auto" w:sz="4" w:space="0"/>
              <w:left w:val="single" w:color="auto" w:sz="4" w:space="0"/>
              <w:bottom w:val="single" w:color="auto" w:sz="4" w:space="0"/>
              <w:right w:val="single" w:color="auto" w:sz="4" w:space="0"/>
            </w:tcBorders>
            <w:vAlign w:val="center"/>
          </w:tcPr>
          <w:p w14:paraId="0BC96B61">
            <w:pPr>
              <w:jc w:val="center"/>
              <w:rPr>
                <w:rFonts w:hint="default"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简沅晞</w:t>
            </w:r>
          </w:p>
        </w:tc>
        <w:tc>
          <w:tcPr>
            <w:tcW w:w="2412" w:type="dxa"/>
            <w:tcBorders>
              <w:top w:val="single" w:color="auto" w:sz="4" w:space="0"/>
              <w:left w:val="single" w:color="auto" w:sz="4" w:space="0"/>
              <w:bottom w:val="single" w:color="auto" w:sz="4" w:space="0"/>
              <w:right w:val="single" w:color="auto" w:sz="4" w:space="0"/>
            </w:tcBorders>
          </w:tcPr>
          <w:p w14:paraId="51149B4D">
            <w:pPr>
              <w:jc w:val="center"/>
              <w:rPr>
                <w:rFonts w:hint="eastAsia"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992336-030</w:t>
            </w:r>
          </w:p>
        </w:tc>
        <w:tc>
          <w:tcPr>
            <w:tcW w:w="1497" w:type="dxa"/>
            <w:tcBorders>
              <w:top w:val="single" w:color="auto" w:sz="4" w:space="0"/>
              <w:left w:val="single" w:color="auto" w:sz="4" w:space="0"/>
              <w:bottom w:val="single" w:color="auto" w:sz="4" w:space="0"/>
              <w:right w:val="single" w:color="auto" w:sz="4" w:space="0"/>
            </w:tcBorders>
          </w:tcPr>
          <w:p w14:paraId="4A5C4FDD">
            <w:pPr>
              <w:jc w:val="center"/>
              <w:rPr>
                <w:rFonts w:hint="eastAsia" w:ascii="宋体" w:hAnsi="宋体" w:eastAsia="宋体" w:cs="Times New Roman"/>
                <w:b/>
                <w:kern w:val="2"/>
                <w:sz w:val="32"/>
                <w:szCs w:val="24"/>
                <w:lang w:val="en-US" w:eastAsia="zh-CN" w:bidi="ar-SA"/>
              </w:rPr>
            </w:pPr>
          </w:p>
        </w:tc>
      </w:tr>
    </w:tbl>
    <w:p w14:paraId="3B93F6EE">
      <w:pPr>
        <w:jc w:val="center"/>
        <w:rPr>
          <w:rFonts w:hint="eastAsia"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 xml:space="preserve"> </w:t>
      </w:r>
    </w:p>
    <w:p w14:paraId="2C13D2EF">
      <w:pPr>
        <w:jc w:val="center"/>
        <w:rPr>
          <w:rFonts w:hint="eastAsia" w:ascii="宋体" w:hAnsi="宋体" w:eastAsia="宋体" w:cs="Times New Roman"/>
          <w:b/>
          <w:kern w:val="2"/>
          <w:sz w:val="32"/>
          <w:szCs w:val="24"/>
          <w:lang w:val="en-US" w:eastAsia="zh-CN" w:bidi="ar-SA"/>
        </w:rPr>
      </w:pPr>
      <w:r>
        <w:rPr>
          <w:rFonts w:hint="eastAsia" w:ascii="宋体" w:hAnsi="宋体" w:eastAsia="宋体" w:cs="Times New Roman"/>
          <w:b/>
          <w:kern w:val="2"/>
          <w:sz w:val="32"/>
          <w:szCs w:val="24"/>
          <w:lang w:val="en-US" w:eastAsia="zh-CN" w:bidi="ar-SA"/>
        </w:rPr>
        <w:t xml:space="preserve"> </w:t>
      </w:r>
    </w:p>
    <w:p w14:paraId="083C833A">
      <w:pPr>
        <w:jc w:val="center"/>
        <w:rPr>
          <w:rFonts w:ascii="宋体" w:hAnsi="宋体" w:eastAsia="宋体" w:cs="Times New Roman"/>
          <w:b/>
          <w:kern w:val="2"/>
          <w:sz w:val="32"/>
          <w:szCs w:val="24"/>
          <w:lang w:val="en-US" w:eastAsia="zh-CN" w:bidi="ar-SA"/>
        </w:rPr>
      </w:pPr>
    </w:p>
    <w:p w14:paraId="30CADC78">
      <w:pPr>
        <w:spacing w:before="480" w:after="240" w:line="360" w:lineRule="auto"/>
        <w:jc w:val="center"/>
        <w:rPr>
          <w:rFonts w:ascii="黑体" w:hAnsi="黑体" w:eastAsia="黑体" w:cs="黑体"/>
          <w:b/>
          <w:bCs/>
          <w:sz w:val="48"/>
          <w:szCs w:val="48"/>
        </w:rPr>
      </w:pPr>
    </w:p>
    <w:p w14:paraId="2944B57C">
      <w:pPr>
        <w:spacing w:before="480" w:after="240" w:line="360" w:lineRule="auto"/>
        <w:jc w:val="center"/>
        <w:rPr>
          <w:rFonts w:ascii="黑体" w:hAnsi="黑体" w:eastAsia="黑体" w:cs="黑体"/>
          <w:b/>
          <w:bCs/>
          <w:sz w:val="48"/>
          <w:szCs w:val="48"/>
        </w:rPr>
      </w:pPr>
    </w:p>
    <w:p w14:paraId="03442006">
      <w:pPr>
        <w:spacing w:before="480" w:after="240" w:line="360" w:lineRule="auto"/>
        <w:jc w:val="center"/>
        <w:rPr>
          <w:rFonts w:ascii="黑体" w:hAnsi="黑体" w:eastAsia="黑体" w:cs="黑体"/>
          <w:b/>
          <w:bCs/>
          <w:sz w:val="48"/>
          <w:szCs w:val="48"/>
        </w:rPr>
      </w:pPr>
    </w:p>
    <w:p w14:paraId="0930C169">
      <w:pPr>
        <w:sectPr>
          <w:footerReference r:id="rId4" w:type="default"/>
          <w:pgSz w:w="11906" w:h="16838"/>
          <w:pgMar w:top="1440" w:right="1800" w:bottom="1440" w:left="1800" w:header="708" w:footer="708" w:gutter="0"/>
          <w:cols w:space="720" w:num="1"/>
          <w:docGrid w:linePitch="360" w:charSpace="0"/>
        </w:sectPr>
      </w:pPr>
    </w:p>
    <w:p w14:paraId="095D2727">
      <w:pPr>
        <w:spacing w:before="480" w:after="240" w:line="360" w:lineRule="auto"/>
        <w:jc w:val="center"/>
      </w:pPr>
      <w:r>
        <w:rPr>
          <w:rFonts w:ascii="黑体" w:hAnsi="黑体" w:eastAsia="黑体" w:cs="黑体"/>
          <w:b/>
          <w:bCs/>
          <w:sz w:val="32"/>
          <w:szCs w:val="32"/>
        </w:rPr>
        <w:t>大学生就业难问题调查与思考</w:t>
      </w:r>
    </w:p>
    <w:p w14:paraId="54D37792">
      <w:pPr>
        <w:spacing w:before="0" w:after="0" w:line="360" w:lineRule="auto"/>
      </w:pPr>
      <w:r>
        <w:rPr>
          <w:rFonts w:ascii="楷体" w:hAnsi="楷体" w:eastAsia="楷体" w:cs="楷体"/>
          <w:sz w:val="21"/>
          <w:szCs w:val="21"/>
        </w:rPr>
        <w:t>【内容摘要】当前，大学生就业难问题已成为社会各界广泛关注的热点议题。本文通过对全国各地区32名在校大学生开展网络问卷调查，从就业压力感知、求职预期与规划、政策认知等维度，系统梳理了当代大学生在就业问题上的现实困境与心理状态。调查结果显示，超过六成受访者认为当前就业形势较为严峻，近半数存在明显就业焦虑，岗位与专业不匹配、经济环境不景气是主要</w:t>
      </w:r>
      <w:r>
        <w:rPr>
          <w:rFonts w:hint="eastAsia" w:ascii="楷体" w:hAnsi="楷体" w:eastAsia="楷体" w:cs="楷体"/>
          <w:sz w:val="21"/>
          <w:szCs w:val="21"/>
          <w:lang w:val="en-US" w:eastAsia="zh-CN"/>
        </w:rPr>
        <w:t>原因</w:t>
      </w:r>
      <w:r>
        <w:rPr>
          <w:rFonts w:ascii="楷体" w:hAnsi="楷体" w:eastAsia="楷体" w:cs="楷体"/>
          <w:sz w:val="21"/>
          <w:szCs w:val="21"/>
        </w:rPr>
        <w:t>。多数学生</w:t>
      </w:r>
      <w:r>
        <w:rPr>
          <w:rFonts w:hint="eastAsia" w:ascii="楷体" w:hAnsi="楷体" w:eastAsia="楷体" w:cs="楷体"/>
          <w:sz w:val="21"/>
          <w:szCs w:val="21"/>
          <w:lang w:eastAsia="zh-CN"/>
        </w:rPr>
        <w:t>倾向</w:t>
      </w:r>
      <w:r>
        <w:rPr>
          <w:rFonts w:ascii="楷体" w:hAnsi="楷体" w:eastAsia="楷体" w:cs="楷体"/>
          <w:sz w:val="21"/>
          <w:szCs w:val="21"/>
        </w:rPr>
        <w:t>于通过考研深造规避就业压力，对高校就业指导服务认可度偏低，对国家就业支持政策知晓率不足。本文结合习近平新时代中国特色社会主义思想，从政府、高校、学生三个层面提出对策建议，以期为破解大学生就业难提供参考。</w:t>
      </w:r>
    </w:p>
    <w:p w14:paraId="0B37FCF8">
      <w:pPr>
        <w:spacing w:before="0" w:after="0" w:line="360" w:lineRule="auto"/>
      </w:pPr>
      <w:r>
        <w:rPr>
          <w:rFonts w:ascii="楷体" w:hAnsi="楷体" w:eastAsia="楷体" w:cs="楷体"/>
          <w:sz w:val="21"/>
          <w:szCs w:val="21"/>
        </w:rPr>
        <w:t>【关键词】大学生；就业难；就业焦虑；考研热；对策建议</w:t>
      </w:r>
    </w:p>
    <w:p w14:paraId="2B029860"/>
    <w:p w14:paraId="08BC0CE5">
      <w:pPr>
        <w:spacing w:before="240" w:after="120" w:line="360" w:lineRule="auto"/>
        <w:ind w:firstLine="480"/>
      </w:pPr>
      <w:r>
        <w:rPr>
          <w:rFonts w:ascii="黑体" w:hAnsi="黑体" w:eastAsia="黑体" w:cs="黑体"/>
          <w:b/>
          <w:bCs/>
          <w:sz w:val="28"/>
          <w:szCs w:val="28"/>
        </w:rPr>
        <w:t>一、调查说明</w:t>
      </w:r>
    </w:p>
    <w:p w14:paraId="0AECE00A">
      <w:pPr>
        <w:spacing w:before="0" w:after="0" w:line="360" w:lineRule="auto"/>
        <w:ind w:firstLine="480"/>
      </w:pPr>
      <w:r>
        <w:rPr>
          <w:rFonts w:ascii="宋体" w:hAnsi="宋体" w:eastAsia="宋体" w:cs="宋体"/>
          <w:sz w:val="24"/>
          <w:szCs w:val="24"/>
        </w:rPr>
        <w:t>就业是最大的民生工程。党的二十大报告明确指出，要强化就业优先政策，健全就业促进机制，促进高质量充分就业。</w:t>
      </w:r>
      <w:r>
        <w:rPr>
          <w:rStyle w:val="15"/>
          <w:rFonts w:ascii="宋体" w:hAnsi="宋体" w:eastAsia="宋体" w:cs="宋体"/>
          <w:sz w:val="24"/>
          <w:szCs w:val="24"/>
        </w:rPr>
        <w:endnoteReference w:id="0"/>
      </w:r>
      <w:r>
        <w:rPr>
          <w:rFonts w:ascii="宋体" w:hAnsi="宋体" w:eastAsia="宋体" w:cs="宋体"/>
          <w:sz w:val="24"/>
          <w:szCs w:val="24"/>
        </w:rPr>
        <w:t>然而，近年来高校毕业生规模持续攀升，2025年全国高校毕业生人数预计突破1222万，再创历史新高，大学生就业压力日益凸显。这一问题不仅关乎广大青年的个人发展前途，更直接影响社会稳定与国家建设的人才供给。</w:t>
      </w:r>
    </w:p>
    <w:p w14:paraId="6822B541">
      <w:pPr>
        <w:spacing w:before="0" w:after="0" w:line="360" w:lineRule="auto"/>
        <w:ind w:firstLine="480"/>
      </w:pPr>
      <w:r>
        <w:rPr>
          <w:rFonts w:ascii="宋体" w:hAnsi="宋体" w:eastAsia="宋体" w:cs="宋体"/>
          <w:sz w:val="24"/>
          <w:szCs w:val="24"/>
        </w:rPr>
        <w:t>为深入了解当代大学生对就业问题的真实认知与态度，本次调查于2026</w:t>
      </w:r>
      <w:r>
        <w:rPr>
          <w:rFonts w:hint="eastAsia" w:ascii="宋体" w:hAnsi="宋体" w:eastAsia="宋体" w:cs="宋体"/>
          <w:sz w:val="24"/>
          <w:szCs w:val="24"/>
          <w:lang w:eastAsia="zh-CN"/>
        </w:rPr>
        <w:t>年</w:t>
      </w:r>
      <w:r>
        <w:rPr>
          <w:rFonts w:ascii="宋体" w:hAnsi="宋体" w:eastAsia="宋体" w:cs="宋体"/>
          <w:sz w:val="24"/>
          <w:szCs w:val="24"/>
        </w:rPr>
        <w:t>5月至6月间，以全国各地区在校大学生为对象，借助问卷星平台开展网络问卷调查，共回收有效问卷32份。被调查者以大二学生为主（占62.5%），理工类专业学生占绝大多数（90.63%），调查结果对了解当下大学生就业心态具有一定</w:t>
      </w:r>
      <w:r>
        <w:rPr>
          <w:rFonts w:hint="eastAsia" w:ascii="宋体" w:hAnsi="宋体" w:eastAsia="宋体" w:cs="宋体"/>
          <w:sz w:val="24"/>
          <w:szCs w:val="24"/>
          <w:lang w:eastAsia="zh-CN"/>
        </w:rPr>
        <w:t>参考价值</w:t>
      </w:r>
      <w:r>
        <w:rPr>
          <w:rFonts w:ascii="宋体" w:hAnsi="宋体" w:eastAsia="宋体" w:cs="宋体"/>
          <w:sz w:val="24"/>
          <w:szCs w:val="24"/>
        </w:rPr>
        <w:t>。</w:t>
      </w:r>
    </w:p>
    <w:p w14:paraId="3C5B1B83">
      <w:pPr>
        <w:spacing w:before="0" w:after="0" w:line="360" w:lineRule="auto"/>
        <w:ind w:firstLine="480"/>
      </w:pPr>
      <w:r>
        <w:rPr>
          <w:rFonts w:ascii="宋体" w:hAnsi="宋体" w:eastAsia="宋体" w:cs="宋体"/>
          <w:sz w:val="24"/>
          <w:szCs w:val="24"/>
        </w:rPr>
        <w:t>本文在</w:t>
      </w:r>
      <w:r>
        <w:rPr>
          <w:rFonts w:hint="eastAsia" w:ascii="宋体" w:hAnsi="宋体" w:eastAsia="宋体" w:cs="宋体"/>
          <w:sz w:val="24"/>
          <w:szCs w:val="24"/>
          <w:lang w:eastAsia="zh-CN"/>
        </w:rPr>
        <w:t>呈现</w:t>
      </w:r>
      <w:r>
        <w:rPr>
          <w:rFonts w:ascii="宋体" w:hAnsi="宋体" w:eastAsia="宋体" w:cs="宋体"/>
          <w:sz w:val="24"/>
          <w:szCs w:val="24"/>
        </w:rPr>
        <w:t>调查数据的基础上，结合马克思主义政治经济学及习近平新时代中国特色社会主义思想中关于就业、民生的相关论述，对大学生就业难问题进行理论分析，并提出有针对性的对策建议。</w:t>
      </w:r>
    </w:p>
    <w:p w14:paraId="50B91A84"/>
    <w:p w14:paraId="4E3E72C3">
      <w:pPr>
        <w:spacing w:before="240" w:after="120" w:line="360" w:lineRule="auto"/>
        <w:ind w:firstLine="480"/>
      </w:pPr>
      <w:r>
        <w:rPr>
          <w:rFonts w:ascii="黑体" w:hAnsi="黑体" w:eastAsia="黑体" w:cs="黑体"/>
          <w:b/>
          <w:bCs/>
          <w:sz w:val="28"/>
          <w:szCs w:val="28"/>
        </w:rPr>
        <w:t>二、理论背景</w:t>
      </w:r>
    </w:p>
    <w:p w14:paraId="248B06F3">
      <w:pPr>
        <w:spacing w:before="0" w:after="0" w:line="360" w:lineRule="auto"/>
        <w:ind w:firstLine="480"/>
      </w:pPr>
      <w:r>
        <w:rPr>
          <w:rFonts w:ascii="宋体" w:hAnsi="宋体" w:eastAsia="宋体" w:cs="宋体"/>
          <w:sz w:val="24"/>
          <w:szCs w:val="24"/>
        </w:rPr>
        <w:t>马克思主义</w:t>
      </w:r>
      <w:r>
        <w:rPr>
          <w:rFonts w:hint="eastAsia" w:ascii="宋体" w:hAnsi="宋体" w:eastAsia="宋体" w:cs="宋体"/>
          <w:sz w:val="24"/>
          <w:szCs w:val="24"/>
          <w:lang w:eastAsia="zh-CN"/>
        </w:rPr>
        <w:t>劳动价值论</w:t>
      </w:r>
      <w:r>
        <w:rPr>
          <w:rFonts w:ascii="宋体" w:hAnsi="宋体" w:eastAsia="宋体" w:cs="宋体"/>
          <w:sz w:val="24"/>
          <w:szCs w:val="24"/>
        </w:rPr>
        <w:t>认为，劳动力的供给与需求关系直接决定就业状况。当劳动力供给超过市场需求时，便会产生结构性失业或摩擦性失业。当前大学生就业难，既有供给侧扩张过快的因素，也有需求侧产业结构调整滞后的问题，是供需双侧矛盾在就业市场上的集中体现。具体而言，高校扩招后常年毕业生人数持续攀升，而新兴业态尚未形成足够大的就业载体，导致劳动力供给与需求之间的矛盾日益凸显。</w:t>
      </w:r>
    </w:p>
    <w:p w14:paraId="17EA025F">
      <w:pPr>
        <w:spacing w:before="0" w:after="0" w:line="360" w:lineRule="auto"/>
        <w:ind w:firstLine="480"/>
      </w:pPr>
      <w:r>
        <w:rPr>
          <w:rFonts w:ascii="宋体" w:hAnsi="宋体" w:eastAsia="宋体" w:cs="宋体"/>
          <w:sz w:val="24"/>
          <w:szCs w:val="24"/>
        </w:rPr>
        <w:t>习近平总书记在党的二十大报告中明确指出，就业是最大的民生，要强化就业优先政策，健全就业促进机制，促进高质量充分就业。</w:t>
      </w:r>
      <w:r>
        <w:rPr>
          <w:rStyle w:val="15"/>
          <w:rFonts w:ascii="宋体" w:hAnsi="宋体" w:eastAsia="宋体" w:cs="宋体"/>
          <w:sz w:val="24"/>
          <w:szCs w:val="24"/>
        </w:rPr>
        <w:endnoteReference w:id="1"/>
      </w:r>
      <w:r>
        <w:rPr>
          <w:rFonts w:ascii="宋体" w:hAnsi="宋体" w:eastAsia="宋体" w:cs="宋体"/>
          <w:sz w:val="24"/>
          <w:szCs w:val="24"/>
        </w:rPr>
        <w:t>党的二十届三中全会进一步就完善就业优先政策作出具体部署，提出健全高校毕业生等重点群体就业支持体系，加强职业技能培训，缩小人才供需结构性错配。这为理解和解决大学生就业难提供了根本遵循。</w:t>
      </w:r>
    </w:p>
    <w:p w14:paraId="584969F2">
      <w:pPr>
        <w:spacing w:before="0" w:after="0" w:line="360" w:lineRule="auto"/>
        <w:ind w:firstLine="480"/>
      </w:pPr>
      <w:r>
        <w:rPr>
          <w:rFonts w:ascii="宋体" w:hAnsi="宋体" w:eastAsia="宋体" w:cs="宋体"/>
          <w:sz w:val="24"/>
          <w:szCs w:val="24"/>
        </w:rPr>
        <w:t>从供给与需求的视角来看，大学生就业难并非单纯的数量问题，更是结构性问题。一方面，部分高校专业设置连续多年未能跟上产业变革的步伐，导致大量</w:t>
      </w:r>
      <w:r>
        <w:rPr>
          <w:rFonts w:hint="eastAsia" w:ascii="宋体" w:hAnsi="宋体" w:eastAsia="宋体" w:cs="宋体"/>
          <w:sz w:val="24"/>
          <w:szCs w:val="24"/>
          <w:lang w:eastAsia="zh-CN"/>
        </w:rPr>
        <w:t>传统专业</w:t>
      </w:r>
      <w:r>
        <w:rPr>
          <w:rFonts w:ascii="宋体" w:hAnsi="宋体" w:eastAsia="宋体" w:cs="宋体"/>
          <w:sz w:val="24"/>
          <w:szCs w:val="24"/>
        </w:rPr>
        <w:t>毕业生与市场需求脱节；另一方面，学生实践能力不足、就业观念偏差等，共同加剧了这一结构性矛盾。因此，</w:t>
      </w:r>
      <w:r>
        <w:rPr>
          <w:rFonts w:ascii="宋体" w:hAnsi="宋体" w:eastAsia="宋体" w:cs="宋体"/>
          <w:sz w:val="24"/>
          <w:szCs w:val="24"/>
          <w:lang w:val="en-US"/>
        </w:rPr>
        <w:t>解决</w:t>
      </w:r>
      <w:r>
        <w:rPr>
          <w:rFonts w:ascii="宋体" w:hAnsi="宋体" w:eastAsia="宋体" w:cs="宋体"/>
          <w:sz w:val="24"/>
          <w:szCs w:val="24"/>
        </w:rPr>
        <w:t>大学生就业难，需要政府、高校、学生多方协同，系统施策。</w:t>
      </w:r>
    </w:p>
    <w:p w14:paraId="695A8E2E"/>
    <w:p w14:paraId="5929BA5E">
      <w:pPr>
        <w:spacing w:before="240" w:after="120" w:line="360" w:lineRule="auto"/>
        <w:ind w:firstLine="480"/>
      </w:pPr>
      <w:r>
        <w:rPr>
          <w:rFonts w:ascii="黑体" w:hAnsi="黑体" w:eastAsia="黑体" w:cs="黑体"/>
          <w:b/>
          <w:bCs/>
          <w:sz w:val="28"/>
          <w:szCs w:val="28"/>
        </w:rPr>
        <w:t>三、调查结果与分析</w:t>
      </w:r>
    </w:p>
    <w:p w14:paraId="7B874255">
      <w:pPr>
        <w:spacing w:before="120" w:after="60" w:line="360" w:lineRule="auto"/>
        <w:ind w:firstLine="480"/>
      </w:pPr>
      <w:r>
        <w:rPr>
          <w:rFonts w:ascii="黑体" w:hAnsi="黑体" w:eastAsia="黑体" w:cs="黑体"/>
          <w:b/>
          <w:bCs/>
          <w:sz w:val="24"/>
          <w:szCs w:val="24"/>
        </w:rPr>
        <w:t>（一）就业压力感知：超六成认为形势严峻，焦虑情绪较为普遍</w:t>
      </w:r>
    </w:p>
    <w:p w14:paraId="055DE1E9">
      <w:pPr>
        <w:spacing w:before="0" w:after="0" w:line="360" w:lineRule="auto"/>
        <w:ind w:firstLine="480"/>
      </w:pPr>
      <w:r>
        <w:rPr>
          <w:rFonts w:ascii="宋体" w:hAnsi="宋体" w:eastAsia="宋体" w:cs="宋体"/>
          <w:sz w:val="24"/>
          <w:szCs w:val="24"/>
        </w:rPr>
        <w:t>调查显示，在当前大学生就业形势的评价中，认为比较严峻的受访者占46.88%，认为非常严峻的占15.63%，两者合计超过六成（62.51%），仅有15.63%的受访者持乐观态度。这说明，当代大学生对就业形势的整体判断趋于悲观，就业压力已成为在校生普遍感受的现实威胁。</w:t>
      </w:r>
    </w:p>
    <w:p w14:paraId="1712A1C3">
      <w:pPr>
        <w:spacing w:before="0" w:after="0" w:line="360" w:lineRule="auto"/>
        <w:ind w:firstLine="480"/>
      </w:pPr>
      <w:r>
        <w:rPr>
          <w:rFonts w:ascii="宋体" w:hAnsi="宋体" w:eastAsia="宋体" w:cs="宋体"/>
          <w:sz w:val="24"/>
          <w:szCs w:val="24"/>
        </w:rPr>
        <w:t>值得注意的是，就业形势悲观情绪在高年级学生中更为</w:t>
      </w:r>
      <w:r>
        <w:rPr>
          <w:rFonts w:hint="eastAsia" w:ascii="宋体" w:hAnsi="宋体" w:eastAsia="宋体" w:cs="宋体"/>
          <w:sz w:val="24"/>
          <w:szCs w:val="24"/>
          <w:lang w:eastAsia="zh-CN"/>
        </w:rPr>
        <w:t>明显</w:t>
      </w:r>
      <w:r>
        <w:rPr>
          <w:rFonts w:ascii="宋体" w:hAnsi="宋体" w:eastAsia="宋体" w:cs="宋体"/>
          <w:sz w:val="24"/>
          <w:szCs w:val="24"/>
        </w:rPr>
        <w:t>。大三及之上学生几乎全部已展开就业准备，而调查中的大二学生即便尚未面临就业，也已普遍产生明显焦虑。这说明就业压力已向低年级传导，大学生群体的就业焦虑正呈现一种常态化、早期化的趋势。</w:t>
      </w:r>
    </w:p>
    <w:p w14:paraId="7526B1A5">
      <w:pPr>
        <w:spacing w:before="0" w:after="0" w:line="360" w:lineRule="auto"/>
        <w:ind w:firstLine="480"/>
      </w:pPr>
      <w:r>
        <w:rPr>
          <w:rFonts w:ascii="宋体" w:hAnsi="宋体" w:eastAsia="宋体" w:cs="宋体"/>
          <w:sz w:val="24"/>
          <w:szCs w:val="24"/>
        </w:rPr>
        <w:t>与此相呼应，在个人就业前景的情绪评价上，43.75%的受访者表示比较焦虑或非常焦虑，仅34.38%表示有信心。与此同时，87.51%的受访者表示身边同学中有约一半乃至更多对就业感到焦虑，就业焦虑已不是个别现象，而是在大学生群体中具有相当普遍性。这与麦可思调查研究院发布的当年就业报告中的有关数据高度</w:t>
      </w:r>
      <w:r>
        <w:rPr>
          <w:rFonts w:hint="eastAsia" w:ascii="宋体" w:hAnsi="宋体" w:eastAsia="宋体" w:cs="宋体"/>
          <w:sz w:val="24"/>
          <w:szCs w:val="24"/>
          <w:lang w:eastAsia="zh-CN"/>
        </w:rPr>
        <w:t>吻合</w:t>
      </w:r>
      <w:r>
        <w:rPr>
          <w:rFonts w:ascii="宋体" w:hAnsi="宋体" w:eastAsia="宋体" w:cs="宋体"/>
          <w:sz w:val="24"/>
          <w:szCs w:val="24"/>
        </w:rPr>
        <w:t>，就业焦虑已成为当前高校毕业生面临的最常见心理应激之一。</w:t>
      </w:r>
      <w:r>
        <w:rPr>
          <w:rStyle w:val="15"/>
          <w:rFonts w:ascii="宋体" w:hAnsi="宋体" w:eastAsia="宋体" w:cs="宋体"/>
          <w:sz w:val="24"/>
          <w:szCs w:val="24"/>
        </w:rPr>
        <w:endnoteReference w:id="2"/>
      </w:r>
    </w:p>
    <w:p w14:paraId="4D967B35">
      <w:pPr>
        <w:spacing w:before="120" w:after="60" w:line="360" w:lineRule="auto"/>
        <w:ind w:firstLine="480"/>
      </w:pPr>
      <w:r>
        <w:rPr>
          <w:rFonts w:ascii="黑体" w:hAnsi="黑体" w:eastAsia="黑体" w:cs="黑体"/>
          <w:b/>
          <w:bCs/>
          <w:sz w:val="24"/>
          <w:szCs w:val="24"/>
        </w:rPr>
        <w:t>（二）就业难成因：岗位不匹配与经济环境是首要因素</w:t>
      </w:r>
    </w:p>
    <w:p w14:paraId="65D0F99D">
      <w:pPr>
        <w:spacing w:before="0" w:after="0" w:line="360" w:lineRule="auto"/>
        <w:ind w:firstLine="480"/>
      </w:pPr>
      <w:r>
        <w:rPr>
          <w:rFonts w:ascii="宋体" w:hAnsi="宋体" w:eastAsia="宋体" w:cs="宋体"/>
          <w:sz w:val="24"/>
          <w:szCs w:val="24"/>
        </w:rPr>
        <w:t>在就业难的最主要原因多选题中，岗位与专业不匹配（65.63%）和经济环境不好（65.63%）并列居首，其次是用人单位要求过高（59.38%）和自身能力不足（59.38%），毕业生数量太多也有56.25%的受访者选择。多个因素高比例并存，说明大学生对就业难的认知具有多元层次性——并非将原因归结于单一因素，而是同时</w:t>
      </w:r>
      <w:r>
        <w:rPr>
          <w:rFonts w:hint="eastAsia" w:ascii="宋体" w:hAnsi="宋体" w:eastAsia="宋体" w:cs="宋体"/>
          <w:sz w:val="24"/>
          <w:szCs w:val="24"/>
          <w:lang w:eastAsia="zh-CN"/>
        </w:rPr>
        <w:t>指向</w:t>
      </w:r>
      <w:r>
        <w:rPr>
          <w:rFonts w:ascii="宋体" w:hAnsi="宋体" w:eastAsia="宋体" w:cs="宋体"/>
          <w:sz w:val="24"/>
          <w:szCs w:val="24"/>
        </w:rPr>
        <w:t>宏观结构、组织行为、个人能力三个维度。</w:t>
      </w:r>
    </w:p>
    <w:p w14:paraId="12922335">
      <w:pPr>
        <w:spacing w:before="0" w:after="0" w:line="360" w:lineRule="auto"/>
        <w:ind w:firstLine="480"/>
      </w:pPr>
      <w:r>
        <w:rPr>
          <w:rFonts w:ascii="宋体" w:hAnsi="宋体" w:eastAsia="宋体" w:cs="宋体"/>
          <w:sz w:val="24"/>
          <w:szCs w:val="24"/>
        </w:rPr>
        <w:t>岗位与专业不匹配居首，这与高校专业设置的历史惯性问题密切相关。不少高校将扩招规模放在首位，将专业设置是否跟上产业需求置于次要位置，导致多个传统专业年年输入大量毕业生却与市场需求严重脱节。数据表明，大学生对自身就业难的归因是多维度的，既有宏观经济下行带来的外部冲击，也有高等教育培养模式与市场需求脱节的结构性问题，还有对个人能力局限的自我审视。这与马克思主义分析劳动力市场结构性矛盾的理论框架高度</w:t>
      </w:r>
      <w:r>
        <w:rPr>
          <w:rFonts w:hint="eastAsia" w:ascii="宋体" w:hAnsi="宋体" w:eastAsia="宋体" w:cs="宋体"/>
          <w:sz w:val="24"/>
          <w:szCs w:val="24"/>
          <w:lang w:eastAsia="zh-CN"/>
        </w:rPr>
        <w:t>契合</w:t>
      </w:r>
      <w:r>
        <w:rPr>
          <w:rFonts w:ascii="宋体" w:hAnsi="宋体" w:eastAsia="宋体" w:cs="宋体"/>
          <w:sz w:val="24"/>
          <w:szCs w:val="24"/>
        </w:rPr>
        <w:t>——供需双侧的错配是就业难的根本原因。</w:t>
      </w:r>
    </w:p>
    <w:p w14:paraId="3AD3E9D7">
      <w:pPr>
        <w:spacing w:before="120" w:after="60" w:line="360" w:lineRule="auto"/>
        <w:ind w:firstLine="480"/>
      </w:pPr>
      <w:r>
        <w:rPr>
          <w:rFonts w:ascii="黑体" w:hAnsi="黑体" w:eastAsia="黑体" w:cs="黑体"/>
          <w:b/>
          <w:bCs/>
          <w:sz w:val="24"/>
          <w:szCs w:val="24"/>
        </w:rPr>
        <w:t>（三）求职规划：考研是主要出路，直接就业意愿偏低</w:t>
      </w:r>
    </w:p>
    <w:p w14:paraId="6B5FE249">
      <w:pPr>
        <w:spacing w:before="0" w:after="0" w:line="360" w:lineRule="auto"/>
        <w:ind w:firstLine="480"/>
      </w:pPr>
      <w:r>
        <w:rPr>
          <w:rFonts w:ascii="宋体" w:hAnsi="宋体" w:eastAsia="宋体" w:cs="宋体"/>
          <w:sz w:val="24"/>
          <w:szCs w:val="24"/>
        </w:rPr>
        <w:t>在毕业出路选择上，考研/出国深造以50%的比例高居首位，国企/事业单位（25%）位居第二，互联网/私企（15.63%）排第三，而自主创业的选择比例为0%。这一结果鲜明地展示了当代青年就业选择的两大</w:t>
      </w:r>
      <w:r>
        <w:rPr>
          <w:rFonts w:hint="eastAsia" w:ascii="宋体" w:hAnsi="宋体" w:eastAsia="宋体" w:cs="宋体"/>
          <w:sz w:val="24"/>
          <w:szCs w:val="24"/>
          <w:lang w:eastAsia="zh-CN"/>
        </w:rPr>
        <w:t>导向：一是导向</w:t>
      </w:r>
      <w:r>
        <w:rPr>
          <w:rFonts w:ascii="宋体" w:hAnsi="宋体" w:eastAsia="宋体" w:cs="宋体"/>
          <w:sz w:val="24"/>
          <w:szCs w:val="24"/>
        </w:rPr>
        <w:t>体制内稳定岗位，二是</w:t>
      </w:r>
      <w:r>
        <w:rPr>
          <w:rFonts w:hint="eastAsia" w:ascii="宋体" w:hAnsi="宋体" w:eastAsia="宋体" w:cs="宋体"/>
          <w:sz w:val="24"/>
          <w:szCs w:val="24"/>
          <w:lang w:val="en-US" w:eastAsia="zh-CN"/>
        </w:rPr>
        <w:t>导</w:t>
      </w:r>
      <w:r>
        <w:rPr>
          <w:rFonts w:ascii="宋体" w:hAnsi="宋体" w:eastAsia="宋体" w:cs="宋体"/>
          <w:sz w:val="24"/>
          <w:szCs w:val="24"/>
        </w:rPr>
        <w:t>向通过提升学历来延缓就业压力。两者共同指向同一个核心逻辑：在不确定的就业环境中寻求可预期的确定性。</w:t>
      </w:r>
    </w:p>
    <w:p w14:paraId="57E5241D">
      <w:pPr>
        <w:spacing w:before="0" w:after="0" w:line="360" w:lineRule="auto"/>
        <w:ind w:firstLine="480"/>
      </w:pPr>
      <w:r>
        <w:rPr>
          <w:rFonts w:ascii="宋体" w:hAnsi="宋体" w:eastAsia="宋体" w:cs="宋体"/>
          <w:sz w:val="24"/>
          <w:szCs w:val="24"/>
        </w:rPr>
        <w:t>考研热的背后，折射出大学生面对严峻就业形势的普遍心理——通过学历升级来提升就业竞争力，或者以读研来</w:t>
      </w:r>
      <w:r>
        <w:rPr>
          <w:rFonts w:hint="eastAsia" w:ascii="宋体" w:hAnsi="宋体" w:eastAsia="宋体" w:cs="宋体"/>
          <w:sz w:val="24"/>
          <w:szCs w:val="24"/>
          <w:lang w:eastAsia="zh-CN"/>
        </w:rPr>
        <w:t>暂时</w:t>
      </w:r>
      <w:r>
        <w:rPr>
          <w:rFonts w:ascii="宋体" w:hAnsi="宋体" w:eastAsia="宋体" w:cs="宋体"/>
          <w:sz w:val="24"/>
          <w:szCs w:val="24"/>
        </w:rPr>
        <w:t>规避就业压力。然而，这一选择也可能带来就业压力的延后累积，并非根本性解决之道。就</w:t>
      </w:r>
      <w:r>
        <w:rPr>
          <w:rFonts w:hint="eastAsia" w:ascii="宋体" w:hAnsi="宋体" w:eastAsia="宋体" w:cs="宋体"/>
          <w:sz w:val="24"/>
          <w:szCs w:val="24"/>
          <w:lang w:eastAsia="zh-CN"/>
        </w:rPr>
        <w:t>薪资</w:t>
      </w:r>
      <w:r>
        <w:rPr>
          <w:rFonts w:ascii="宋体" w:hAnsi="宋体" w:eastAsia="宋体" w:cs="宋体"/>
          <w:sz w:val="24"/>
          <w:szCs w:val="24"/>
        </w:rPr>
        <w:t>预期而言，56.25%的受访者期望起薪在5000—8000元区间，28.13%期望8000—12000元。整体期望较为理性，与当前多数</w:t>
      </w:r>
      <w:r>
        <w:rPr>
          <w:rFonts w:hint="eastAsia" w:ascii="宋体" w:hAnsi="宋体" w:eastAsia="宋体" w:cs="宋体"/>
          <w:sz w:val="24"/>
          <w:szCs w:val="24"/>
          <w:lang w:eastAsia="zh-CN"/>
        </w:rPr>
        <w:t>一、二线城市</w:t>
      </w:r>
      <w:r>
        <w:rPr>
          <w:rFonts w:ascii="宋体" w:hAnsi="宋体" w:eastAsia="宋体" w:cs="宋体"/>
          <w:sz w:val="24"/>
          <w:szCs w:val="24"/>
        </w:rPr>
        <w:t>的应届毕业生起薪市场行情大致</w:t>
      </w:r>
      <w:r>
        <w:rPr>
          <w:rFonts w:hint="eastAsia" w:ascii="宋体" w:hAnsi="宋体" w:eastAsia="宋体" w:cs="宋体"/>
          <w:sz w:val="24"/>
          <w:szCs w:val="24"/>
          <w:lang w:eastAsia="zh-CN"/>
        </w:rPr>
        <w:t>持平</w:t>
      </w:r>
      <w:r>
        <w:rPr>
          <w:rFonts w:ascii="宋体" w:hAnsi="宋体" w:eastAsia="宋体" w:cs="宋体"/>
          <w:sz w:val="24"/>
          <w:szCs w:val="24"/>
        </w:rPr>
        <w:t>。</w:t>
      </w:r>
    </w:p>
    <w:p w14:paraId="4A5B0605">
      <w:pPr>
        <w:spacing w:before="120" w:after="60" w:line="360" w:lineRule="auto"/>
        <w:ind w:firstLine="480"/>
      </w:pPr>
      <w:r>
        <w:rPr>
          <w:rFonts w:ascii="黑体" w:hAnsi="黑体" w:eastAsia="黑体" w:cs="黑体"/>
          <w:b/>
          <w:bCs/>
          <w:sz w:val="24"/>
          <w:szCs w:val="24"/>
        </w:rPr>
        <w:t>（四）实习与能力准备：实践经验明显不足</w:t>
      </w:r>
    </w:p>
    <w:p w14:paraId="6F5576ED">
      <w:pPr>
        <w:spacing w:before="0" w:after="0" w:line="360" w:lineRule="auto"/>
        <w:ind w:firstLine="480"/>
      </w:pPr>
      <w:r>
        <w:rPr>
          <w:rFonts w:ascii="宋体" w:hAnsi="宋体" w:eastAsia="宋体" w:cs="宋体"/>
          <w:sz w:val="24"/>
          <w:szCs w:val="24"/>
        </w:rPr>
        <w:t>调查显示，仅18.75%的受访者有与专业相关的实习经历，25%有实习但与专业无关，43.75%表示还没有但计划参加，12.5%没有也没有计划。合计来看，超过五成受访者尚无任何实习经验。容易被忽视的是，就业相关实习的缺失并非单纯的个人</w:t>
      </w:r>
      <w:r>
        <w:rPr>
          <w:rFonts w:hint="eastAsia" w:ascii="宋体" w:hAnsi="宋体" w:eastAsia="宋体" w:cs="宋体"/>
          <w:sz w:val="24"/>
          <w:szCs w:val="24"/>
          <w:lang w:eastAsia="zh-CN"/>
        </w:rPr>
        <w:t>懈怠</w:t>
      </w:r>
      <w:r>
        <w:rPr>
          <w:rFonts w:ascii="宋体" w:hAnsi="宋体" w:eastAsia="宋体" w:cs="宋体"/>
          <w:sz w:val="24"/>
          <w:szCs w:val="24"/>
        </w:rPr>
        <w:t>问题——大学低年级课业压力大、</w:t>
      </w:r>
      <w:r>
        <w:rPr>
          <w:rFonts w:hint="eastAsia" w:ascii="宋体" w:hAnsi="宋体" w:eastAsia="宋体" w:cs="宋体"/>
          <w:sz w:val="24"/>
          <w:szCs w:val="24"/>
          <w:lang w:eastAsia="zh-CN"/>
        </w:rPr>
        <w:t>参与门槛</w:t>
      </w:r>
      <w:r>
        <w:rPr>
          <w:rFonts w:ascii="宋体" w:hAnsi="宋体" w:eastAsia="宋体" w:cs="宋体"/>
          <w:sz w:val="24"/>
          <w:szCs w:val="24"/>
        </w:rPr>
        <w:t>高、信息渠道不畅等客观因素同样不可忽视。</w:t>
      </w:r>
    </w:p>
    <w:p w14:paraId="640D7E88">
      <w:pPr>
        <w:spacing w:before="0" w:after="0" w:line="360" w:lineRule="auto"/>
        <w:ind w:firstLine="480"/>
      </w:pPr>
      <w:r>
        <w:rPr>
          <w:rFonts w:ascii="宋体" w:hAnsi="宋体" w:eastAsia="宋体" w:cs="宋体"/>
          <w:sz w:val="24"/>
          <w:szCs w:val="24"/>
        </w:rPr>
        <w:t>用人单位在招聘中日益重视实际工作经验与岗位适应能力，缺乏相关实习经历将直接削弱毕业生的市场竞争力。高校应将实习实践纳入人才培养体系，尽早为学生</w:t>
      </w:r>
      <w:r>
        <w:rPr>
          <w:rFonts w:hint="eastAsia" w:ascii="宋体" w:hAnsi="宋体" w:eastAsia="宋体" w:cs="宋体"/>
          <w:sz w:val="24"/>
          <w:szCs w:val="24"/>
          <w:lang w:eastAsia="zh-CN"/>
        </w:rPr>
        <w:t>排除</w:t>
      </w:r>
      <w:r>
        <w:rPr>
          <w:rFonts w:ascii="宋体" w:hAnsi="宋体" w:eastAsia="宋体" w:cs="宋体"/>
          <w:sz w:val="24"/>
          <w:szCs w:val="24"/>
        </w:rPr>
        <w:t>参与岗位实习的体制障碍，使实践经验</w:t>
      </w:r>
      <w:r>
        <w:rPr>
          <w:rFonts w:hint="eastAsia" w:ascii="宋体" w:hAnsi="宋体" w:eastAsia="宋体" w:cs="宋体"/>
          <w:sz w:val="24"/>
          <w:szCs w:val="24"/>
          <w:lang w:eastAsia="zh-CN"/>
        </w:rPr>
        <w:t>积累</w:t>
      </w:r>
      <w:r>
        <w:rPr>
          <w:rFonts w:ascii="宋体" w:hAnsi="宋体" w:eastAsia="宋体" w:cs="宋体"/>
          <w:sz w:val="24"/>
          <w:szCs w:val="24"/>
        </w:rPr>
        <w:t>程序化、</w:t>
      </w:r>
      <w:r>
        <w:rPr>
          <w:rFonts w:hint="eastAsia" w:ascii="宋体" w:hAnsi="宋体" w:eastAsia="宋体" w:cs="宋体"/>
          <w:sz w:val="24"/>
          <w:szCs w:val="24"/>
          <w:lang w:eastAsia="zh-CN"/>
        </w:rPr>
        <w:t>体系</w:t>
      </w:r>
      <w:r>
        <w:rPr>
          <w:rFonts w:ascii="宋体" w:hAnsi="宋体" w:eastAsia="宋体" w:cs="宋体"/>
          <w:sz w:val="24"/>
          <w:szCs w:val="24"/>
        </w:rPr>
        <w:t>化，而非只依靠学生自身的机缘与</w:t>
      </w:r>
      <w:r>
        <w:rPr>
          <w:rFonts w:hint="eastAsia" w:ascii="宋体" w:hAnsi="宋体" w:eastAsia="宋体" w:cs="宋体"/>
          <w:sz w:val="24"/>
          <w:szCs w:val="24"/>
          <w:lang w:eastAsia="zh-CN"/>
        </w:rPr>
        <w:t>摸索</w:t>
      </w:r>
      <w:r>
        <w:rPr>
          <w:rFonts w:ascii="宋体" w:hAnsi="宋体" w:eastAsia="宋体" w:cs="宋体"/>
          <w:sz w:val="24"/>
          <w:szCs w:val="24"/>
        </w:rPr>
        <w:t>。</w:t>
      </w:r>
    </w:p>
    <w:p w14:paraId="372A161E">
      <w:pPr>
        <w:spacing w:before="120" w:after="60" w:line="360" w:lineRule="auto"/>
        <w:ind w:firstLine="480"/>
      </w:pPr>
      <w:r>
        <w:rPr>
          <w:rFonts w:ascii="黑体" w:hAnsi="黑体" w:eastAsia="黑体" w:cs="黑体"/>
          <w:b/>
          <w:bCs/>
          <w:sz w:val="24"/>
          <w:szCs w:val="24"/>
        </w:rPr>
        <w:t>（五）高校就业指导：学生认可度低，功能发挥有限</w:t>
      </w:r>
    </w:p>
    <w:p w14:paraId="20617723">
      <w:pPr>
        <w:spacing w:before="0" w:after="0" w:line="360" w:lineRule="auto"/>
        <w:ind w:firstLine="480"/>
      </w:pPr>
      <w:r>
        <w:rPr>
          <w:rFonts w:ascii="宋体" w:hAnsi="宋体" w:eastAsia="宋体" w:cs="宋体"/>
          <w:sz w:val="24"/>
          <w:szCs w:val="24"/>
        </w:rPr>
        <w:t>在对高校就业指导课/服务的评价上，仅3.13%的受访者认为很有帮助，18.75%认为有一点帮助，25%认为一般，而34.38%认为基本没帮助，18.75%表示从没用过。也就是说，超过半数（53.13%）的受访者认为高校就业指导对自己帮助有限甚至毫无帮助。就业指导课内容陈旧、形式单一、缺乏针对性，是学生反映较为集中的问题。相当比例的学生选择从未使用过高校就业服务，这本身就是高校就业指导工作存在系统性缺位的有力佐证。</w:t>
      </w:r>
    </w:p>
    <w:p w14:paraId="28B658E9">
      <w:pPr>
        <w:spacing w:before="0" w:after="0" w:line="360" w:lineRule="auto"/>
        <w:ind w:firstLine="480"/>
      </w:pPr>
      <w:r>
        <w:rPr>
          <w:rFonts w:ascii="宋体" w:hAnsi="宋体" w:eastAsia="宋体" w:cs="宋体"/>
          <w:sz w:val="24"/>
          <w:szCs w:val="24"/>
        </w:rPr>
        <w:t>就业指导功能弱化的根源在于：当前高校就业指导主要停留在简历撰写、求职技巧等表层层面，而对于学生更关心的行业认知、职业规划、心理调节等深层需求涉及较少。如何提升就业指导的实效性，使其真正成为学生就业过程中的</w:t>
      </w:r>
      <w:r>
        <w:rPr>
          <w:rFonts w:hint="eastAsia" w:ascii="宋体" w:hAnsi="宋体" w:eastAsia="宋体" w:cs="宋体"/>
          <w:sz w:val="24"/>
          <w:szCs w:val="24"/>
          <w:lang w:eastAsia="zh-CN"/>
        </w:rPr>
        <w:t>有效</w:t>
      </w:r>
      <w:r>
        <w:rPr>
          <w:rFonts w:ascii="宋体" w:hAnsi="宋体" w:eastAsia="宋体" w:cs="宋体"/>
          <w:sz w:val="24"/>
          <w:szCs w:val="24"/>
        </w:rPr>
        <w:t>支撑，是高校</w:t>
      </w:r>
      <w:r>
        <w:rPr>
          <w:rFonts w:hint="eastAsia" w:ascii="宋体" w:hAnsi="宋体" w:eastAsia="宋体" w:cs="宋体"/>
          <w:sz w:val="24"/>
          <w:szCs w:val="24"/>
          <w:lang w:val="en-US" w:eastAsia="zh-CN"/>
        </w:rPr>
        <w:t>必须</w:t>
      </w:r>
      <w:r>
        <w:rPr>
          <w:rFonts w:ascii="宋体" w:hAnsi="宋体" w:eastAsia="宋体" w:cs="宋体"/>
          <w:sz w:val="24"/>
          <w:szCs w:val="24"/>
        </w:rPr>
        <w:t>正视</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问题</w:t>
      </w:r>
      <w:r>
        <w:rPr>
          <w:rFonts w:ascii="宋体" w:hAnsi="宋体" w:eastAsia="宋体" w:cs="宋体"/>
          <w:sz w:val="24"/>
          <w:szCs w:val="24"/>
        </w:rPr>
        <w:t>。</w:t>
      </w:r>
    </w:p>
    <w:p w14:paraId="60BAD141">
      <w:pPr>
        <w:spacing w:before="120" w:after="60" w:line="360" w:lineRule="auto"/>
        <w:ind w:firstLine="480"/>
      </w:pPr>
      <w:r>
        <w:rPr>
          <w:rFonts w:ascii="黑体" w:hAnsi="黑体" w:eastAsia="黑体" w:cs="黑体"/>
          <w:b/>
          <w:bCs/>
          <w:sz w:val="24"/>
          <w:szCs w:val="24"/>
        </w:rPr>
        <w:t>（六）政策认知：国家就业支持政策知晓率偏低</w:t>
      </w:r>
    </w:p>
    <w:p w14:paraId="0F659630">
      <w:pPr>
        <w:spacing w:before="0" w:after="0" w:line="360" w:lineRule="auto"/>
        <w:ind w:firstLine="480"/>
      </w:pPr>
      <w:r>
        <w:rPr>
          <w:rFonts w:ascii="宋体" w:hAnsi="宋体" w:eastAsia="宋体" w:cs="宋体"/>
          <w:sz w:val="24"/>
          <w:szCs w:val="24"/>
        </w:rPr>
        <w:t>在对国家就业支持政策的了解程度上，无人选择非常了解，有所了解占31.25%，听说过但不清楚占40.63%，完全不了解占28.13%。也就是说，</w:t>
      </w:r>
      <w:r>
        <w:rPr>
          <w:rFonts w:hint="eastAsia" w:ascii="宋体" w:hAnsi="宋体" w:cs="宋体"/>
          <w:sz w:val="24"/>
          <w:szCs w:val="24"/>
          <w:lang w:val="en-US" w:eastAsia="zh-CN"/>
        </w:rPr>
        <w:t>近</w:t>
      </w:r>
      <w:r>
        <w:rPr>
          <w:rFonts w:ascii="宋体" w:hAnsi="宋体" w:eastAsia="宋体" w:cs="宋体"/>
          <w:sz w:val="24"/>
          <w:szCs w:val="24"/>
        </w:rPr>
        <w:t>七成（68.76%）的受访者对国家就业政策处于模糊或完全不了解的状态。这一数据令人警醒，就业政策知晓率偏低的问题比想象中更为严峻。</w:t>
      </w:r>
    </w:p>
    <w:p w14:paraId="4C080223">
      <w:pPr>
        <w:spacing w:before="0" w:after="0" w:line="360" w:lineRule="auto"/>
        <w:ind w:firstLine="480"/>
      </w:pPr>
      <w:r>
        <w:rPr>
          <w:rFonts w:ascii="宋体" w:hAnsi="宋体" w:eastAsia="宋体" w:cs="宋体"/>
          <w:sz w:val="24"/>
          <w:szCs w:val="24"/>
        </w:rPr>
        <w:t>国家近</w:t>
      </w:r>
      <w:r>
        <w:rPr>
          <w:rFonts w:hint="eastAsia" w:ascii="宋体" w:hAnsi="宋体" w:eastAsia="宋体" w:cs="宋体"/>
          <w:sz w:val="24"/>
          <w:szCs w:val="24"/>
          <w:lang w:eastAsia="zh-CN"/>
        </w:rPr>
        <w:t>年来</w:t>
      </w:r>
      <w:r>
        <w:rPr>
          <w:rFonts w:ascii="宋体" w:hAnsi="宋体" w:eastAsia="宋体" w:cs="宋体"/>
          <w:sz w:val="24"/>
          <w:szCs w:val="24"/>
        </w:rPr>
        <w:t>持续出台诸多针对大学生的就业扶持政策，包括基层就业补贴、创业启动资金、西部计划志愿者项目、高校毕业生稳岗百日专项行动等。然而，政策宣传渠道不畅、学生主动获取信息意愿不强，导致政策红利未能有效传递至目标群体。这既是信息传递的失灵，也是高校政策宣导工作的系统性缺位。对此，高校应建立学生就业政策信息常态化发布机制，并将其纳入就业指导工作的标准动作。</w:t>
      </w:r>
    </w:p>
    <w:p w14:paraId="733E30B6">
      <w:pPr>
        <w:spacing w:before="120" w:after="60" w:line="360" w:lineRule="auto"/>
        <w:ind w:firstLine="480"/>
      </w:pPr>
      <w:r>
        <w:rPr>
          <w:rFonts w:ascii="黑体" w:hAnsi="黑体" w:eastAsia="黑体" w:cs="黑体"/>
          <w:b/>
          <w:bCs/>
          <w:sz w:val="24"/>
          <w:szCs w:val="24"/>
        </w:rPr>
        <w:t>（七）AI与就业：多数学生持积极态度</w:t>
      </w:r>
    </w:p>
    <w:p w14:paraId="7323FF12">
      <w:pPr>
        <w:spacing w:before="0" w:after="0" w:line="360" w:lineRule="auto"/>
        <w:ind w:firstLine="480"/>
      </w:pPr>
      <w:r>
        <w:rPr>
          <w:rFonts w:ascii="宋体" w:hAnsi="宋体" w:eastAsia="宋体" w:cs="宋体"/>
          <w:sz w:val="24"/>
          <w:szCs w:val="24"/>
        </w:rPr>
        <w:t>在AI/自动化技术对就业影响的评价上，62.5%的受访者认为机遇大于威胁，18.75%认为威胁大于机遇，15.63%认为影响不大。整体而言，受访者对人工智能的态度较为理性。这与受访群体以理工科学生为主有直接关联：接触过编程工具或AI辅助学习平台的学生，对技术的感知</w:t>
      </w:r>
      <w:r>
        <w:rPr>
          <w:rFonts w:ascii="宋体" w:hAnsi="宋体" w:eastAsia="宋体" w:cs="宋体"/>
          <w:sz w:val="24"/>
          <w:szCs w:val="24"/>
          <w:lang w:val="en-US"/>
        </w:rPr>
        <w:t>更多看待的视角更理性</w:t>
      </w:r>
      <w:r>
        <w:rPr>
          <w:rFonts w:ascii="宋体" w:hAnsi="宋体" w:eastAsia="宋体" w:cs="宋体"/>
          <w:sz w:val="24"/>
          <w:szCs w:val="24"/>
        </w:rPr>
        <w:t>。</w:t>
      </w:r>
      <w:r>
        <w:rPr>
          <w:rFonts w:hint="eastAsia" w:ascii="宋体" w:hAnsi="宋体" w:eastAsia="宋体" w:cs="宋体"/>
          <w:sz w:val="24"/>
          <w:szCs w:val="24"/>
          <w:lang w:eastAsia="zh-CN"/>
        </w:rPr>
        <w:t>从事计算</w:t>
      </w:r>
      <w:r>
        <w:rPr>
          <w:rFonts w:ascii="宋体" w:hAnsi="宋体" w:eastAsia="宋体" w:cs="宋体"/>
          <w:sz w:val="24"/>
          <w:szCs w:val="24"/>
        </w:rPr>
        <w:t>、数据处理、</w:t>
      </w:r>
      <w:r>
        <w:rPr>
          <w:rFonts w:hint="eastAsia" w:ascii="宋体" w:hAnsi="宋体" w:eastAsia="宋体" w:cs="宋体"/>
          <w:sz w:val="24"/>
          <w:szCs w:val="24"/>
          <w:lang w:eastAsia="zh-CN"/>
        </w:rPr>
        <w:t>内容</w:t>
      </w:r>
      <w:r>
        <w:rPr>
          <w:rFonts w:ascii="宋体" w:hAnsi="宋体" w:eastAsia="宋体" w:cs="宋体"/>
          <w:sz w:val="24"/>
          <w:szCs w:val="24"/>
        </w:rPr>
        <w:t>生产等领域确实面临AI的冲击，不过也同时</w:t>
      </w:r>
      <w:r>
        <w:rPr>
          <w:rFonts w:hint="eastAsia" w:ascii="宋体" w:hAnsi="宋体" w:eastAsia="宋体" w:cs="宋体"/>
          <w:sz w:val="24"/>
          <w:szCs w:val="24"/>
          <w:lang w:eastAsia="zh-CN"/>
        </w:rPr>
        <w:t>打开</w:t>
      </w:r>
      <w:r>
        <w:rPr>
          <w:rFonts w:ascii="宋体" w:hAnsi="宋体" w:eastAsia="宋体" w:cs="宋体"/>
          <w:sz w:val="24"/>
          <w:szCs w:val="24"/>
        </w:rPr>
        <w:t>广阔的新就业场景。如何将AI工具内化为自身竞争力，是当代大学生，尤其是理工科学生</w:t>
      </w:r>
      <w:r>
        <w:rPr>
          <w:rFonts w:hint="eastAsia" w:ascii="宋体" w:hAnsi="宋体" w:eastAsia="宋体" w:cs="宋体"/>
          <w:sz w:val="24"/>
          <w:szCs w:val="24"/>
          <w:lang w:eastAsia="zh-CN"/>
        </w:rPr>
        <w:t>能否</w:t>
      </w:r>
      <w:r>
        <w:rPr>
          <w:rFonts w:ascii="宋体" w:hAnsi="宋体" w:eastAsia="宋体" w:cs="宋体"/>
          <w:sz w:val="24"/>
          <w:szCs w:val="24"/>
        </w:rPr>
        <w:t>抓到的关键机遇。</w:t>
      </w:r>
    </w:p>
    <w:p w14:paraId="0AB10FF8"/>
    <w:p w14:paraId="1359A363">
      <w:pPr>
        <w:spacing w:before="240" w:after="120" w:line="360" w:lineRule="auto"/>
        <w:ind w:firstLine="480"/>
      </w:pPr>
      <w:r>
        <w:rPr>
          <w:rFonts w:ascii="黑体" w:hAnsi="黑体" w:eastAsia="黑体" w:cs="黑体"/>
          <w:b/>
          <w:bCs/>
          <w:sz w:val="28"/>
          <w:szCs w:val="28"/>
        </w:rPr>
        <w:t>四、对策建议</w:t>
      </w:r>
    </w:p>
    <w:p w14:paraId="7D47DFF4">
      <w:pPr>
        <w:spacing w:before="0" w:after="0" w:line="360" w:lineRule="auto"/>
        <w:ind w:firstLine="480"/>
      </w:pPr>
      <w:r>
        <w:rPr>
          <w:rFonts w:ascii="宋体" w:hAnsi="宋体" w:eastAsia="宋体" w:cs="宋体"/>
          <w:sz w:val="24"/>
          <w:szCs w:val="24"/>
        </w:rPr>
        <w:t>综合调查数据与理论分析，本文从政府、高校、学生三个层面提出以下对策建议：</w:t>
      </w:r>
    </w:p>
    <w:p w14:paraId="14F7B917">
      <w:pPr>
        <w:spacing w:before="120" w:after="60" w:line="360" w:lineRule="auto"/>
        <w:ind w:firstLine="480"/>
      </w:pPr>
      <w:r>
        <w:rPr>
          <w:rFonts w:ascii="黑体" w:hAnsi="黑体" w:eastAsia="黑体" w:cs="黑体"/>
          <w:b/>
          <w:bCs/>
          <w:sz w:val="24"/>
          <w:szCs w:val="24"/>
        </w:rPr>
        <w:t>（一）政府层面：强化政策供给，打通政策落地</w:t>
      </w:r>
      <w:r>
        <w:rPr>
          <w:rFonts w:hint="eastAsia" w:ascii="黑体" w:hAnsi="黑体" w:eastAsia="黑体" w:cs="黑体"/>
          <w:b/>
          <w:bCs/>
          <w:sz w:val="24"/>
          <w:szCs w:val="24"/>
          <w:lang w:eastAsia="zh-CN"/>
        </w:rPr>
        <w:t>“最后一公里”</w:t>
      </w:r>
    </w:p>
    <w:p w14:paraId="1217935B">
      <w:pPr>
        <w:spacing w:before="0" w:after="0" w:line="360" w:lineRule="auto"/>
        <w:ind w:firstLine="480"/>
      </w:pPr>
      <w:r>
        <w:rPr>
          <w:rFonts w:ascii="宋体" w:hAnsi="宋体" w:eastAsia="宋体" w:cs="宋体"/>
          <w:sz w:val="24"/>
          <w:szCs w:val="24"/>
        </w:rPr>
        <w:t>政府应持续完善大学生就业支持政策体系，加大基层就业岗位开发力度，落实好创业扶持补贴、社保减免等惠及毕业生的政策。尤其要关注市场需求与高校人才培养方向的定期</w:t>
      </w:r>
      <w:r>
        <w:rPr>
          <w:rFonts w:hint="eastAsia" w:ascii="宋体" w:hAnsi="宋体" w:eastAsia="宋体" w:cs="宋体"/>
          <w:sz w:val="24"/>
          <w:szCs w:val="24"/>
          <w:lang w:val="en-US" w:eastAsia="zh-CN"/>
        </w:rPr>
        <w:t>衔接</w:t>
      </w:r>
      <w:r>
        <w:rPr>
          <w:rFonts w:ascii="宋体" w:hAnsi="宋体" w:eastAsia="宋体" w:cs="宋体"/>
          <w:sz w:val="24"/>
          <w:szCs w:val="24"/>
        </w:rPr>
        <w:t>机制，将产业结构转型方向及时传导至高校，从源头引导人才培养方向。同时，要着力解决政策知晓率低的问题，依托高校、社交媒体、政务平台等渠道，开展有针对性的政策宣传，确保政策红利精准触达目标群体。此外，应鼓励和引导产业结构转型升级，创造更多与高校毕业生专业能力匹配的高质量就业岗位，从需求侧缓解结构性就业压力。</w:t>
      </w:r>
    </w:p>
    <w:p w14:paraId="7004E40E">
      <w:pPr>
        <w:spacing w:before="120" w:after="60" w:line="360" w:lineRule="auto"/>
        <w:ind w:firstLine="480"/>
      </w:pPr>
      <w:r>
        <w:rPr>
          <w:rFonts w:ascii="黑体" w:hAnsi="黑体" w:eastAsia="黑体" w:cs="黑体"/>
          <w:b/>
          <w:bCs/>
          <w:sz w:val="24"/>
          <w:szCs w:val="24"/>
        </w:rPr>
        <w:t>（二）高校层面：深化教育改革，提升就业服务实效</w:t>
      </w:r>
    </w:p>
    <w:p w14:paraId="6B7AD052">
      <w:pPr>
        <w:spacing w:before="0" w:after="0" w:line="360" w:lineRule="auto"/>
        <w:ind w:firstLine="480"/>
      </w:pPr>
      <w:r>
        <w:rPr>
          <w:rFonts w:ascii="宋体" w:hAnsi="宋体" w:eastAsia="宋体" w:cs="宋体"/>
          <w:sz w:val="24"/>
          <w:szCs w:val="24"/>
        </w:rPr>
        <w:t>高校应</w:t>
      </w:r>
      <w:r>
        <w:rPr>
          <w:rFonts w:hint="eastAsia" w:ascii="宋体" w:hAnsi="宋体" w:eastAsia="宋体" w:cs="宋体"/>
          <w:sz w:val="24"/>
          <w:szCs w:val="24"/>
          <w:lang w:eastAsia="zh-CN"/>
        </w:rPr>
        <w:t>建立</w:t>
      </w:r>
      <w:r>
        <w:rPr>
          <w:rFonts w:ascii="宋体" w:hAnsi="宋体" w:eastAsia="宋体" w:cs="宋体"/>
          <w:sz w:val="24"/>
          <w:szCs w:val="24"/>
        </w:rPr>
        <w:t>专业设置的动态调整机制，加强与行业企业的深度合作，推动产教融合，缩小人才培养与市场需求之间的结构性错配。在课程体系上，应加大实践教学比重，建立实习实践学分认定体系，鼓励学生尽早参与专业相关实习，积累工作经验。在就业指导服务上，要改革一刀切的授课模式，引入个性化就业</w:t>
      </w:r>
      <w:r>
        <w:rPr>
          <w:rFonts w:hint="eastAsia" w:ascii="宋体" w:hAnsi="宋体" w:eastAsia="宋体" w:cs="宋体"/>
          <w:sz w:val="24"/>
          <w:szCs w:val="24"/>
          <w:lang w:eastAsia="zh-CN"/>
        </w:rPr>
        <w:t>咨询</w:t>
      </w:r>
      <w:r>
        <w:rPr>
          <w:rFonts w:ascii="宋体" w:hAnsi="宋体" w:eastAsia="宋体" w:cs="宋体"/>
          <w:sz w:val="24"/>
          <w:szCs w:val="24"/>
        </w:rPr>
        <w:t>、行业导师指导、校友资源对接等多元服务形式，切实提升就业指导的针对性与实效性。此外，高校还应建立就业政策信息常态化发布机制，主动将国家就业扶持政策精准推送至每一名有需要的学生。</w:t>
      </w:r>
    </w:p>
    <w:p w14:paraId="5C68121C">
      <w:pPr>
        <w:spacing w:before="120" w:after="60" w:line="360" w:lineRule="auto"/>
        <w:ind w:firstLine="480"/>
      </w:pPr>
      <w:r>
        <w:rPr>
          <w:rFonts w:ascii="黑体" w:hAnsi="黑体" w:eastAsia="黑体" w:cs="黑体"/>
          <w:b/>
          <w:bCs/>
          <w:sz w:val="24"/>
          <w:szCs w:val="24"/>
        </w:rPr>
        <w:t>（三）学生层面：调整就业观念，主动提升核心竞争力</w:t>
      </w:r>
    </w:p>
    <w:p w14:paraId="40D2E419">
      <w:pPr>
        <w:spacing w:before="0" w:after="0" w:line="360" w:lineRule="auto"/>
        <w:ind w:firstLine="480"/>
      </w:pPr>
      <w:r>
        <w:rPr>
          <w:rFonts w:ascii="宋体" w:hAnsi="宋体" w:eastAsia="宋体" w:cs="宋体"/>
          <w:sz w:val="24"/>
          <w:szCs w:val="24"/>
        </w:rPr>
        <w:t>当代大学生应树立正确的就业观，既要正视当前就业形势的客观压力，也要避免</w:t>
      </w:r>
      <w:r>
        <w:rPr>
          <w:rFonts w:hint="eastAsia" w:ascii="宋体" w:hAnsi="宋体" w:eastAsia="宋体" w:cs="宋体"/>
          <w:sz w:val="24"/>
          <w:szCs w:val="24"/>
          <w:lang w:eastAsia="zh-CN"/>
        </w:rPr>
        <w:t>陷入</w:t>
      </w:r>
      <w:r>
        <w:rPr>
          <w:rFonts w:ascii="宋体" w:hAnsi="宋体" w:eastAsia="宋体" w:cs="宋体"/>
          <w:sz w:val="24"/>
          <w:szCs w:val="24"/>
        </w:rPr>
        <w:t>过度焦虑的消极情绪。应积极利用在校时间，有针对性地提升专业技能与综合素质，主动参加实习实践，拓展跨领域知识储备。同时，应打破“唯国企”“唯稳定”的就业偏见，以更开放的心态探索多元化的就业选择，包括中小企业、新兴行业以及基层岗位。就本次调查中发现的考研热现象而言，建议学生将考研与就业进行理性权衡，切勿以考研作为</w:t>
      </w:r>
      <w:r>
        <w:rPr>
          <w:rFonts w:hint="eastAsia" w:ascii="宋体" w:hAnsi="宋体" w:eastAsia="宋体" w:cs="宋体"/>
          <w:sz w:val="24"/>
          <w:szCs w:val="24"/>
          <w:lang w:eastAsia="zh-CN"/>
        </w:rPr>
        <w:t>逃避</w:t>
      </w:r>
      <w:r>
        <w:rPr>
          <w:rFonts w:ascii="宋体" w:hAnsi="宋体" w:eastAsia="宋体" w:cs="宋体"/>
          <w:sz w:val="24"/>
          <w:szCs w:val="24"/>
        </w:rPr>
        <w:t>就业的“</w:t>
      </w:r>
      <w:r>
        <w:rPr>
          <w:rFonts w:hint="eastAsia" w:ascii="宋体" w:hAnsi="宋体" w:eastAsia="宋体" w:cs="宋体"/>
          <w:sz w:val="24"/>
          <w:szCs w:val="24"/>
          <w:lang w:eastAsia="zh-CN"/>
        </w:rPr>
        <w:t>避风港</w:t>
      </w:r>
      <w:r>
        <w:rPr>
          <w:rFonts w:ascii="宋体" w:hAnsi="宋体" w:eastAsia="宋体" w:cs="宋体"/>
          <w:sz w:val="24"/>
          <w:szCs w:val="24"/>
        </w:rPr>
        <w:t>”，而应将其视为与直接就业</w:t>
      </w:r>
      <w:r>
        <w:rPr>
          <w:rFonts w:hint="eastAsia" w:ascii="宋体" w:hAnsi="宋体" w:eastAsia="宋体" w:cs="宋体"/>
          <w:sz w:val="24"/>
          <w:szCs w:val="24"/>
          <w:lang w:eastAsia="zh-CN"/>
        </w:rPr>
        <w:t>并行不悖</w:t>
      </w:r>
      <w:r>
        <w:rPr>
          <w:rFonts w:ascii="宋体" w:hAnsi="宋体" w:eastAsia="宋体" w:cs="宋体"/>
          <w:sz w:val="24"/>
          <w:szCs w:val="24"/>
        </w:rPr>
        <w:t>的另一种专业成长路径。</w:t>
      </w:r>
    </w:p>
    <w:p w14:paraId="1D9B4845"/>
    <w:p w14:paraId="26779CCB">
      <w:pPr>
        <w:spacing w:before="240" w:after="120" w:line="360" w:lineRule="auto"/>
        <w:ind w:firstLine="480"/>
      </w:pPr>
      <w:r>
        <w:rPr>
          <w:rFonts w:ascii="黑体" w:hAnsi="黑体" w:eastAsia="黑体" w:cs="黑体"/>
          <w:b/>
          <w:bCs/>
          <w:sz w:val="28"/>
          <w:szCs w:val="28"/>
        </w:rPr>
        <w:t>五、结语</w:t>
      </w:r>
    </w:p>
    <w:p w14:paraId="04CA3EC4">
      <w:pPr>
        <w:spacing w:before="0" w:after="0" w:line="360" w:lineRule="auto"/>
        <w:ind w:firstLine="480"/>
      </w:pPr>
      <w:r>
        <w:rPr>
          <w:rFonts w:ascii="宋体" w:hAnsi="宋体" w:eastAsia="宋体" w:cs="宋体"/>
          <w:sz w:val="24"/>
          <w:szCs w:val="24"/>
        </w:rPr>
        <w:t>本次调查以全国在校大学生为调查对象，从就业形势感知、就业难成因、求职规划、实习准备、高校服务评价、政策认知及对AI的看法等多个维度开展问卷调查，展示了当代大学生群体对就业问题的真实认知与态度。调查表明，就业形势悲观、焦虑情绪普遍、考研热持续升温、实践经验不足、高校就业指导效能低下、国家政策知晓率低等问题在大学生群体中具有一定的普遍性。这些问题的成因是复杂的，既有宏观经济环境变化的外部冲击，也有高等教育体制改革滞后的结构性根源，还有个体就业观念与能力准备的不足。</w:t>
      </w:r>
    </w:p>
    <w:p w14:paraId="5B37C097">
      <w:pPr>
        <w:spacing w:before="0" w:after="0" w:line="360" w:lineRule="auto"/>
        <w:ind w:firstLine="480"/>
      </w:pPr>
      <w:r>
        <w:rPr>
          <w:rFonts w:ascii="宋体" w:hAnsi="宋体" w:eastAsia="宋体" w:cs="宋体"/>
          <w:sz w:val="24"/>
          <w:szCs w:val="24"/>
        </w:rPr>
        <w:t>习近平总书记强调，青年兴，则国家兴；青年强，则国家强。</w:t>
      </w:r>
      <w:r>
        <w:rPr>
          <w:rStyle w:val="15"/>
          <w:rFonts w:ascii="宋体" w:hAnsi="宋体" w:eastAsia="宋体" w:cs="宋体"/>
          <w:sz w:val="24"/>
          <w:szCs w:val="24"/>
        </w:rPr>
        <w:endnoteReference w:id="3"/>
      </w:r>
      <w:r>
        <w:rPr>
          <w:rFonts w:ascii="宋体" w:hAnsi="宋体" w:eastAsia="宋体" w:cs="宋体"/>
          <w:sz w:val="24"/>
          <w:szCs w:val="24"/>
        </w:rPr>
        <w:t>大学生是国家发展的重要战略资源，解决好大学生就业问题，不仅是保障民生的现实需要，更是实现中华民族伟大复兴的战略支撑。</w:t>
      </w:r>
      <w:r>
        <w:rPr>
          <w:rFonts w:ascii="宋体" w:hAnsi="宋体" w:eastAsia="宋体" w:cs="宋体"/>
          <w:sz w:val="24"/>
          <w:szCs w:val="24"/>
          <w:lang w:val="en-US"/>
        </w:rPr>
        <w:t>解决</w:t>
      </w:r>
      <w:r>
        <w:rPr>
          <w:rFonts w:ascii="宋体" w:hAnsi="宋体" w:eastAsia="宋体" w:cs="宋体"/>
          <w:sz w:val="24"/>
          <w:szCs w:val="24"/>
        </w:rPr>
        <w:t>大学生就业难，需要政府、高校与学生三方协同发力，在政策供给、人才培养、观念引导等方面综合施策，久久为功。本次调查样本量有限，且受限于网络问卷的局限性，结论的深度与普遍性有待进一步研究验证，但仍希望能为相关部门和高校改进工作提供一定参考。</w:t>
      </w:r>
    </w:p>
    <w:p w14:paraId="51EBBDCE"/>
    <w:p w14:paraId="64DB808E">
      <w:pPr>
        <w:spacing w:before="0" w:after="0" w:line="360" w:lineRule="auto"/>
      </w:pPr>
      <w:r>
        <w:rPr>
          <w:rFonts w:ascii="宋体" w:hAnsi="宋体" w:eastAsia="宋体" w:cs="宋体"/>
          <w:sz w:val="24"/>
          <w:szCs w:val="24"/>
        </w:rPr>
        <w:t>参考文献</w:t>
      </w:r>
    </w:p>
    <w:p w14:paraId="33784300">
      <w:pPr>
        <w:spacing w:before="0" w:after="0" w:line="360" w:lineRule="auto"/>
      </w:pPr>
      <w:r>
        <w:rPr>
          <w:rFonts w:ascii="宋体" w:hAnsi="宋体" w:eastAsia="宋体" w:cs="宋体"/>
          <w:sz w:val="24"/>
          <w:szCs w:val="24"/>
        </w:rPr>
        <w:t xml:space="preserve">1. 习近平. </w:t>
      </w:r>
      <w:r>
        <w:rPr>
          <w:rFonts w:hint="eastAsia" w:ascii="宋体" w:hAnsi="宋体" w:eastAsia="宋体" w:cs="宋体"/>
          <w:sz w:val="24"/>
          <w:szCs w:val="24"/>
          <w:lang w:eastAsia="zh-CN"/>
        </w:rPr>
        <w:t>高举中国特色社会主义伟大旗帜</w:t>
      </w:r>
      <w:r>
        <w:rPr>
          <w:rFonts w:ascii="宋体" w:hAnsi="宋体" w:eastAsia="宋体" w:cs="宋体"/>
          <w:sz w:val="24"/>
          <w:szCs w:val="24"/>
        </w:rPr>
        <w:t xml:space="preserve"> 为全面建设社会主义现代化国家而</w:t>
      </w:r>
      <w:r>
        <w:rPr>
          <w:rFonts w:hint="eastAsia" w:ascii="宋体" w:hAnsi="宋体" w:eastAsia="宋体" w:cs="宋体"/>
          <w:sz w:val="24"/>
          <w:szCs w:val="24"/>
          <w:lang w:eastAsia="zh-CN"/>
        </w:rPr>
        <w:t>团结奋斗</w:t>
      </w:r>
      <w:r>
        <w:rPr>
          <w:rFonts w:ascii="宋体" w:hAnsi="宋体" w:eastAsia="宋体" w:cs="宋体"/>
          <w:sz w:val="24"/>
          <w:szCs w:val="24"/>
        </w:rPr>
        <w:t>——在中国共产党第二十次全国代表大会上的报告[M]. 北京：人民出版社，2022.</w:t>
      </w:r>
    </w:p>
    <w:p w14:paraId="7A6FCECB">
      <w:pPr>
        <w:spacing w:before="0" w:after="0" w:line="360" w:lineRule="auto"/>
      </w:pPr>
      <w:r>
        <w:rPr>
          <w:rFonts w:ascii="宋体" w:hAnsi="宋体" w:eastAsia="宋体" w:cs="宋体"/>
          <w:sz w:val="24"/>
          <w:szCs w:val="24"/>
        </w:rPr>
        <w:t>2. 中华人民共和国人力资源和社会保障部. 关于做好2025年高校毕业生就业创业工作的通知[EB/OL]. (2025-04-08)[2026-05-20]. https://www.mohrss.gov.cn.</w:t>
      </w:r>
    </w:p>
    <w:p w14:paraId="359309B8">
      <w:pPr>
        <w:spacing w:before="0" w:after="0" w:line="360" w:lineRule="auto"/>
      </w:pPr>
      <w:r>
        <w:rPr>
          <w:rFonts w:ascii="宋体" w:hAnsi="宋体" w:eastAsia="宋体" w:cs="宋体"/>
          <w:sz w:val="24"/>
          <w:szCs w:val="24"/>
        </w:rPr>
        <w:t>3. 麦可思研究院. 2024年中国大学生就业报告[R]. 成都：麦可思公司，2024.</w:t>
      </w:r>
    </w:p>
    <w:p w14:paraId="6E49F2D0">
      <w:pPr>
        <w:spacing w:before="0" w:after="0" w:line="360" w:lineRule="auto"/>
      </w:pPr>
      <w:r>
        <w:rPr>
          <w:rFonts w:ascii="宋体" w:hAnsi="宋体" w:eastAsia="宋体" w:cs="宋体"/>
          <w:sz w:val="24"/>
          <w:szCs w:val="24"/>
        </w:rPr>
        <w:t>4. 黄维民，吕康. 大学生就业压力影响因素与应对策略研究[J]. 高教探索，2023(8):84-90.</w:t>
      </w:r>
    </w:p>
    <w:p w14:paraId="47B54F77">
      <w:pPr>
        <w:spacing w:before="0" w:after="0" w:line="360" w:lineRule="auto"/>
      </w:pPr>
      <w:r>
        <w:rPr>
          <w:rFonts w:ascii="宋体" w:hAnsi="宋体" w:eastAsia="宋体" w:cs="宋体"/>
          <w:sz w:val="24"/>
          <w:szCs w:val="24"/>
        </w:rPr>
        <w:t>5. 赵媟婧，刘嘉. 结构性失业视角下的高校毕业生就业问题分析[J]. 中国劳动经济，2023(6):45-51.</w:t>
      </w:r>
    </w:p>
    <w:p w14:paraId="30942AC1"/>
    <w:p w14:paraId="09002622">
      <w:pPr>
        <w:spacing w:before="0" w:after="0" w:line="360" w:lineRule="auto"/>
        <w:rPr>
          <w:rFonts w:ascii="宋体" w:hAnsi="宋体" w:eastAsia="宋体" w:cs="宋体"/>
          <w:sz w:val="24"/>
          <w:szCs w:val="24"/>
        </w:rPr>
      </w:pPr>
    </w:p>
    <w:p w14:paraId="1D4F2D7A">
      <w:pPr>
        <w:spacing w:before="0" w:after="0" w:line="360" w:lineRule="auto"/>
        <w:rPr>
          <w:rFonts w:ascii="宋体" w:hAnsi="宋体" w:eastAsia="宋体" w:cs="宋体"/>
          <w:sz w:val="24"/>
          <w:szCs w:val="24"/>
        </w:rPr>
      </w:pPr>
    </w:p>
    <w:p w14:paraId="348C9F2E">
      <w:pPr>
        <w:spacing w:before="0" w:after="0" w:line="360" w:lineRule="auto"/>
        <w:rPr>
          <w:rFonts w:ascii="宋体" w:hAnsi="宋体" w:eastAsia="宋体" w:cs="宋体"/>
          <w:sz w:val="24"/>
          <w:szCs w:val="24"/>
        </w:rPr>
      </w:pPr>
    </w:p>
    <w:p w14:paraId="7418BE36">
      <w:pPr>
        <w:spacing w:before="0" w:after="0" w:line="360" w:lineRule="auto"/>
        <w:rPr>
          <w:rFonts w:ascii="宋体" w:hAnsi="宋体" w:eastAsia="宋体" w:cs="宋体"/>
          <w:sz w:val="24"/>
          <w:szCs w:val="24"/>
        </w:rPr>
      </w:pPr>
    </w:p>
    <w:p w14:paraId="495CCE3E">
      <w:pPr>
        <w:spacing w:before="0" w:after="0" w:line="360" w:lineRule="auto"/>
        <w:rPr>
          <w:rFonts w:ascii="宋体" w:hAnsi="宋体" w:eastAsia="宋体" w:cs="宋体"/>
          <w:sz w:val="24"/>
          <w:szCs w:val="24"/>
        </w:rPr>
      </w:pPr>
    </w:p>
    <w:p w14:paraId="6BB499A4">
      <w:pPr>
        <w:spacing w:before="0" w:after="0" w:line="360" w:lineRule="auto"/>
        <w:rPr>
          <w:rFonts w:ascii="宋体" w:hAnsi="宋体" w:eastAsia="宋体" w:cs="宋体"/>
          <w:sz w:val="24"/>
          <w:szCs w:val="24"/>
        </w:rPr>
      </w:pPr>
    </w:p>
    <w:p w14:paraId="3FD00ACC">
      <w:pPr>
        <w:spacing w:before="0" w:after="0" w:line="360" w:lineRule="auto"/>
        <w:rPr>
          <w:rFonts w:ascii="宋体" w:hAnsi="宋体" w:eastAsia="宋体" w:cs="宋体"/>
          <w:sz w:val="24"/>
          <w:szCs w:val="24"/>
        </w:rPr>
      </w:pPr>
    </w:p>
    <w:p w14:paraId="0E044137">
      <w:pPr>
        <w:spacing w:before="0" w:after="0" w:line="360" w:lineRule="auto"/>
        <w:rPr>
          <w:rFonts w:ascii="宋体" w:hAnsi="宋体" w:eastAsia="宋体" w:cs="宋体"/>
          <w:sz w:val="24"/>
          <w:szCs w:val="24"/>
        </w:rPr>
      </w:pPr>
    </w:p>
    <w:p w14:paraId="23FC4C76">
      <w:pPr>
        <w:spacing w:before="0" w:after="0" w:line="360" w:lineRule="auto"/>
        <w:rPr>
          <w:rFonts w:ascii="宋体" w:hAnsi="宋体" w:eastAsia="宋体" w:cs="宋体"/>
          <w:sz w:val="24"/>
          <w:szCs w:val="24"/>
        </w:rPr>
      </w:pPr>
    </w:p>
    <w:p w14:paraId="213875B3">
      <w:pPr>
        <w:spacing w:before="0" w:after="0" w:line="360" w:lineRule="auto"/>
        <w:rPr>
          <w:rFonts w:ascii="宋体" w:hAnsi="宋体" w:eastAsia="宋体" w:cs="宋体"/>
          <w:sz w:val="24"/>
          <w:szCs w:val="24"/>
        </w:rPr>
      </w:pPr>
    </w:p>
    <w:p w14:paraId="1EC609C7">
      <w:pPr>
        <w:spacing w:before="0" w:after="0" w:line="360" w:lineRule="auto"/>
        <w:rPr>
          <w:rFonts w:ascii="宋体" w:hAnsi="宋体" w:eastAsia="宋体" w:cs="宋体"/>
          <w:sz w:val="24"/>
          <w:szCs w:val="24"/>
        </w:rPr>
      </w:pPr>
    </w:p>
    <w:p w14:paraId="480F53EC">
      <w:pPr>
        <w:spacing w:before="0" w:after="0" w:line="360" w:lineRule="auto"/>
        <w:rPr>
          <w:rFonts w:hint="eastAsia" w:ascii="宋体" w:hAnsi="宋体" w:eastAsia="宋体" w:cs="宋体"/>
          <w:sz w:val="24"/>
          <w:szCs w:val="24"/>
          <w:lang w:val="en-US" w:eastAsia="zh-CN"/>
        </w:rPr>
      </w:pPr>
    </w:p>
    <w:p w14:paraId="49D73978">
      <w:pPr>
        <w:spacing w:before="0" w:after="0" w:line="360" w:lineRule="auto"/>
        <w:rPr>
          <w:rFonts w:hint="eastAsia" w:ascii="宋体" w:hAnsi="宋体" w:eastAsia="宋体" w:cs="宋体"/>
          <w:sz w:val="24"/>
          <w:szCs w:val="24"/>
          <w:lang w:val="en-US" w:eastAsia="zh-CN"/>
        </w:rPr>
      </w:pPr>
    </w:p>
    <w:p w14:paraId="599E67B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03420C1E">
      <w:pPr>
        <w:spacing w:before="0" w:after="0"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【附录】调查问卷</w:t>
      </w:r>
    </w:p>
    <w:p w14:paraId="987C01C2">
      <w:pPr>
        <w:keepLines w:val="0"/>
        <w:spacing w:after="400"/>
        <w:ind w:firstLine="160"/>
        <w:jc w:val="center"/>
        <w:rPr>
          <w:b/>
          <w:sz w:val="32"/>
        </w:rPr>
      </w:pPr>
      <w:r>
        <w:rPr>
          <w:b/>
          <w:sz w:val="32"/>
        </w:rPr>
        <w:t>大学生就业难问题调查</w:t>
      </w:r>
    </w:p>
    <w:p w14:paraId="6E86E5A8">
      <w:pPr>
        <w:rPr>
          <w:b w:val="0"/>
          <w:color w:val="0066FF"/>
          <w:sz w:val="24"/>
        </w:rPr>
      </w:pPr>
      <w:r>
        <w:rPr>
          <w:b w:val="0"/>
          <w:color w:val="000000"/>
          <w:sz w:val="24"/>
        </w:rPr>
        <w:t xml:space="preserve">第1题   你的年级？      </w:t>
      </w:r>
      <w:r>
        <w:rPr>
          <w:b w:val="0"/>
          <w:color w:val="0066FF"/>
          <w:sz w:val="24"/>
        </w:rPr>
        <w:t>[单选题]</w:t>
      </w:r>
    </w:p>
    <w:p w14:paraId="F500BF5A"/>
    <w:p w14:paraId="24B2D1FC"/>
    <w:p w14:paraId="19DC108A">
      <w:pPr>
        <w:jc w:val="center"/>
      </w:pPr>
      <w:r>
        <w:drawing>
          <wp:inline distT="0" distB="0" distL="0" distR="0">
            <wp:extent cx="3143250" cy="3238500"/>
            <wp:effectExtent l="0" t="0" r="6350" b="0"/>
            <wp:docPr id="1034" name="图片 1034"/>
            <wp:cNvGraphicFramePr/>
            <a:graphic xmlns:a="http://schemas.openxmlformats.org/drawingml/2006/main">
              <a:graphicData uri="http://schemas.openxmlformats.org/drawingml/2006/picture">
                <pic:pic xmlns:pic="http://schemas.openxmlformats.org/drawingml/2006/picture">
                  <pic:nvPicPr>
                    <pic:cNvPr id="1034" name="图片 1034"/>
                    <pic:cNvPicPr/>
                  </pic:nvPicPr>
                  <pic:blipFill>
                    <a:blip r:embed="rId7" cstate="print"/>
                    <a:srcRect/>
                    <a:stretch>
                      <a:fillRect/>
                    </a:stretch>
                  </pic:blipFill>
                  <pic:spPr>
                    <a:xfrm>
                      <a:off x="0" y="0"/>
                      <a:ext cx="3143689" cy="3238952"/>
                    </a:xfrm>
                    <a:prstGeom prst="rect">
                      <a:avLst/>
                    </a:prstGeom>
                  </pic:spPr>
                </pic:pic>
              </a:graphicData>
            </a:graphic>
          </wp:inline>
        </w:drawing>
      </w:r>
    </w:p>
    <w:p w14:paraId="4E05055B">
      <w:pPr>
        <w:jc w:val="left"/>
      </w:pPr>
    </w:p>
    <w:p w14:paraId="F5A2704C">
      <w:pPr>
        <w:jc w:val="left"/>
      </w:pPr>
    </w:p>
    <w:p w14:paraId="11CFB2E9">
      <w:pPr>
        <w:jc w:val="left"/>
        <w:rPr>
          <w:b w:val="0"/>
          <w:color w:val="0066FF"/>
          <w:sz w:val="24"/>
        </w:rPr>
      </w:pPr>
      <w:r>
        <w:rPr>
          <w:b w:val="0"/>
          <w:color w:val="000000"/>
          <w:sz w:val="24"/>
        </w:rPr>
        <w:t xml:space="preserve">第2题   你的专业类别？      </w:t>
      </w:r>
      <w:r>
        <w:rPr>
          <w:b w:val="0"/>
          <w:color w:val="0066FF"/>
          <w:sz w:val="24"/>
        </w:rPr>
        <w:t>[单选题]</w:t>
      </w:r>
    </w:p>
    <w:p w14:paraId="89938652">
      <w:pPr>
        <w:jc w:val="left"/>
      </w:pPr>
    </w:p>
    <w:p w14:paraId="AB1F1FE8">
      <w:pPr>
        <w:jc w:val="left"/>
      </w:pPr>
    </w:p>
    <w:p w14:paraId="1E18B699">
      <w:pPr>
        <w:jc w:val="center"/>
      </w:pPr>
      <w:r>
        <w:drawing>
          <wp:inline distT="0" distB="0" distL="0" distR="0">
            <wp:extent cx="3143250" cy="3238500"/>
            <wp:effectExtent l="0" t="0" r="6350" b="0"/>
            <wp:docPr id="1042" name="图片 1042"/>
            <wp:cNvGraphicFramePr/>
            <a:graphic xmlns:a="http://schemas.openxmlformats.org/drawingml/2006/main">
              <a:graphicData uri="http://schemas.openxmlformats.org/drawingml/2006/picture">
                <pic:pic xmlns:pic="http://schemas.openxmlformats.org/drawingml/2006/picture">
                  <pic:nvPicPr>
                    <pic:cNvPr id="1042" name="图片 1042"/>
                    <pic:cNvPicPr/>
                  </pic:nvPicPr>
                  <pic:blipFill>
                    <a:blip r:embed="rId8" cstate="print"/>
                    <a:srcRect/>
                    <a:stretch>
                      <a:fillRect/>
                    </a:stretch>
                  </pic:blipFill>
                  <pic:spPr>
                    <a:xfrm>
                      <a:off x="0" y="0"/>
                      <a:ext cx="3143689" cy="3238952"/>
                    </a:xfrm>
                    <a:prstGeom prst="rect">
                      <a:avLst/>
                    </a:prstGeom>
                  </pic:spPr>
                </pic:pic>
              </a:graphicData>
            </a:graphic>
          </wp:inline>
        </w:drawing>
      </w:r>
    </w:p>
    <w:p w14:paraId="91A72933">
      <w:pPr>
        <w:jc w:val="left"/>
      </w:pPr>
    </w:p>
    <w:p w14:paraId="6467C289">
      <w:pPr>
        <w:jc w:val="left"/>
      </w:pPr>
    </w:p>
    <w:p w14:paraId="DB160348">
      <w:pPr>
        <w:jc w:val="left"/>
        <w:rPr>
          <w:b w:val="0"/>
          <w:color w:val="0066FF"/>
          <w:sz w:val="24"/>
        </w:rPr>
      </w:pPr>
      <w:r>
        <w:rPr>
          <w:b w:val="0"/>
          <w:color w:val="000000"/>
          <w:sz w:val="24"/>
        </w:rPr>
        <w:t xml:space="preserve">第3题   你是否已经开始考虑就业问题？      </w:t>
      </w:r>
      <w:r>
        <w:rPr>
          <w:b w:val="0"/>
          <w:color w:val="0066FF"/>
          <w:sz w:val="24"/>
        </w:rPr>
        <w:t>[单选题]</w:t>
      </w:r>
    </w:p>
    <w:p w14:paraId="C7DCDA1A">
      <w:pPr>
        <w:jc w:val="left"/>
      </w:pPr>
    </w:p>
    <w:p w14:paraId="FBFF9426">
      <w:pPr>
        <w:jc w:val="left"/>
      </w:pPr>
    </w:p>
    <w:p w14:paraId="9708AE7E">
      <w:pPr>
        <w:jc w:val="center"/>
      </w:pPr>
      <w:r>
        <w:drawing>
          <wp:inline distT="0" distB="0" distL="0" distR="0">
            <wp:extent cx="3143250" cy="3238500"/>
            <wp:effectExtent l="0" t="0" r="6350" b="0"/>
            <wp:docPr id="1049" name="图片 1049"/>
            <wp:cNvGraphicFramePr/>
            <a:graphic xmlns:a="http://schemas.openxmlformats.org/drawingml/2006/main">
              <a:graphicData uri="http://schemas.openxmlformats.org/drawingml/2006/picture">
                <pic:pic xmlns:pic="http://schemas.openxmlformats.org/drawingml/2006/picture">
                  <pic:nvPicPr>
                    <pic:cNvPr id="1049" name="图片 1049"/>
                    <pic:cNvPicPr/>
                  </pic:nvPicPr>
                  <pic:blipFill>
                    <a:blip r:embed="rId9" cstate="print"/>
                    <a:srcRect/>
                    <a:stretch>
                      <a:fillRect/>
                    </a:stretch>
                  </pic:blipFill>
                  <pic:spPr>
                    <a:xfrm>
                      <a:off x="0" y="0"/>
                      <a:ext cx="3143689" cy="3238952"/>
                    </a:xfrm>
                    <a:prstGeom prst="rect">
                      <a:avLst/>
                    </a:prstGeom>
                  </pic:spPr>
                </pic:pic>
              </a:graphicData>
            </a:graphic>
          </wp:inline>
        </w:drawing>
      </w:r>
    </w:p>
    <w:p w14:paraId="D5758E17">
      <w:pPr>
        <w:jc w:val="left"/>
      </w:pPr>
    </w:p>
    <w:p w14:paraId="AA79A32D">
      <w:pPr>
        <w:jc w:val="left"/>
      </w:pPr>
    </w:p>
    <w:p w14:paraId="54750409">
      <w:pPr>
        <w:jc w:val="left"/>
        <w:rPr>
          <w:b w:val="0"/>
          <w:color w:val="0066FF"/>
          <w:sz w:val="24"/>
        </w:rPr>
      </w:pPr>
      <w:r>
        <w:rPr>
          <w:b w:val="0"/>
          <w:color w:val="000000"/>
          <w:sz w:val="24"/>
        </w:rPr>
        <w:t xml:space="preserve">第4题   你认为当前大学生就业形势如何？      </w:t>
      </w:r>
      <w:r>
        <w:rPr>
          <w:b w:val="0"/>
          <w:color w:val="0066FF"/>
          <w:sz w:val="24"/>
        </w:rPr>
        <w:t>[单选题]</w:t>
      </w:r>
    </w:p>
    <w:p w14:paraId="EAFF3941">
      <w:pPr>
        <w:jc w:val="left"/>
      </w:pPr>
    </w:p>
    <w:p w14:paraId="DB312C68">
      <w:pPr>
        <w:jc w:val="left"/>
      </w:pPr>
    </w:p>
    <w:p w14:paraId="851A5BAA">
      <w:pPr>
        <w:jc w:val="center"/>
      </w:pPr>
      <w:r>
        <w:drawing>
          <wp:inline distT="0" distB="0" distL="0" distR="0">
            <wp:extent cx="3143250" cy="3238500"/>
            <wp:effectExtent l="0" t="0" r="6350" b="0"/>
            <wp:docPr id="1060" name="图片 1060"/>
            <wp:cNvGraphicFramePr/>
            <a:graphic xmlns:a="http://schemas.openxmlformats.org/drawingml/2006/main">
              <a:graphicData uri="http://schemas.openxmlformats.org/drawingml/2006/picture">
                <pic:pic xmlns:pic="http://schemas.openxmlformats.org/drawingml/2006/picture">
                  <pic:nvPicPr>
                    <pic:cNvPr id="1060" name="图片 1060"/>
                    <pic:cNvPicPr/>
                  </pic:nvPicPr>
                  <pic:blipFill>
                    <a:blip r:embed="rId10" cstate="print"/>
                    <a:srcRect/>
                    <a:stretch>
                      <a:fillRect/>
                    </a:stretch>
                  </pic:blipFill>
                  <pic:spPr>
                    <a:xfrm>
                      <a:off x="0" y="0"/>
                      <a:ext cx="3143689" cy="3238952"/>
                    </a:xfrm>
                    <a:prstGeom prst="rect">
                      <a:avLst/>
                    </a:prstGeom>
                  </pic:spPr>
                </pic:pic>
              </a:graphicData>
            </a:graphic>
          </wp:inline>
        </w:drawing>
      </w:r>
    </w:p>
    <w:p w14:paraId="AF09D816">
      <w:pPr>
        <w:jc w:val="left"/>
      </w:pPr>
    </w:p>
    <w:p w14:paraId="2A09104A">
      <w:pPr>
        <w:jc w:val="left"/>
      </w:pPr>
    </w:p>
    <w:p w14:paraId="6AFD17FA">
      <w:pPr>
        <w:jc w:val="left"/>
        <w:rPr>
          <w:b w:val="0"/>
          <w:color w:val="0066FF"/>
          <w:sz w:val="24"/>
        </w:rPr>
      </w:pPr>
      <w:r>
        <w:rPr>
          <w:b w:val="0"/>
          <w:color w:val="000000"/>
          <w:sz w:val="24"/>
        </w:rPr>
        <w:t xml:space="preserve">第5题   你对自己毕业后的就业前景感到？      </w:t>
      </w:r>
      <w:r>
        <w:rPr>
          <w:b w:val="0"/>
          <w:color w:val="0066FF"/>
          <w:sz w:val="24"/>
        </w:rPr>
        <w:t>[单选题]</w:t>
      </w:r>
    </w:p>
    <w:p w14:paraId="1E3E09EF">
      <w:pPr>
        <w:jc w:val="left"/>
      </w:pPr>
    </w:p>
    <w:p w14:paraId="58676836">
      <w:pPr>
        <w:jc w:val="left"/>
      </w:pPr>
    </w:p>
    <w:p w14:paraId="9C9E5CF3">
      <w:pPr>
        <w:jc w:val="center"/>
      </w:pPr>
      <w:r>
        <w:drawing>
          <wp:inline distT="0" distB="0" distL="0" distR="0">
            <wp:extent cx="3143250" cy="3238500"/>
            <wp:effectExtent l="0" t="0" r="6350" b="0"/>
            <wp:docPr id="1071" name="图片 1071"/>
            <wp:cNvGraphicFramePr/>
            <a:graphic xmlns:a="http://schemas.openxmlformats.org/drawingml/2006/main">
              <a:graphicData uri="http://schemas.openxmlformats.org/drawingml/2006/picture">
                <pic:pic xmlns:pic="http://schemas.openxmlformats.org/drawingml/2006/picture">
                  <pic:nvPicPr>
                    <pic:cNvPr id="1071" name="图片 1071"/>
                    <pic:cNvPicPr/>
                  </pic:nvPicPr>
                  <pic:blipFill>
                    <a:blip r:embed="rId11" cstate="print"/>
                    <a:srcRect/>
                    <a:stretch>
                      <a:fillRect/>
                    </a:stretch>
                  </pic:blipFill>
                  <pic:spPr>
                    <a:xfrm>
                      <a:off x="0" y="0"/>
                      <a:ext cx="3143689" cy="3238952"/>
                    </a:xfrm>
                    <a:prstGeom prst="rect">
                      <a:avLst/>
                    </a:prstGeom>
                  </pic:spPr>
                </pic:pic>
              </a:graphicData>
            </a:graphic>
          </wp:inline>
        </w:drawing>
      </w:r>
    </w:p>
    <w:p w14:paraId="CBC3F7E9">
      <w:pPr>
        <w:jc w:val="left"/>
      </w:pPr>
    </w:p>
    <w:p w14:paraId="DED4B2F6">
      <w:pPr>
        <w:jc w:val="left"/>
      </w:pPr>
    </w:p>
    <w:p w14:paraId="A675FAA1">
      <w:pPr>
        <w:jc w:val="left"/>
        <w:rPr>
          <w:b w:val="0"/>
          <w:color w:val="0066FF"/>
          <w:sz w:val="24"/>
        </w:rPr>
      </w:pPr>
      <w:r>
        <w:rPr>
          <w:b w:val="0"/>
          <w:color w:val="000000"/>
          <w:sz w:val="24"/>
        </w:rPr>
        <w:t xml:space="preserve">第6题   你认为就业难的最主要原因是什么？      </w:t>
      </w:r>
      <w:r>
        <w:rPr>
          <w:b w:val="0"/>
          <w:color w:val="0066FF"/>
          <w:sz w:val="24"/>
        </w:rPr>
        <w:t>[多选题]</w:t>
      </w:r>
    </w:p>
    <w:p w14:paraId="4ECD7259">
      <w:pPr>
        <w:jc w:val="left"/>
      </w:pPr>
    </w:p>
    <w:p w14:paraId="C2D036D9">
      <w:pPr>
        <w:jc w:val="left"/>
      </w:pPr>
    </w:p>
    <w:p w14:paraId="43A738A6">
      <w:pPr>
        <w:jc w:val="center"/>
      </w:pPr>
      <w:r>
        <w:drawing>
          <wp:inline distT="0" distB="0" distL="0" distR="0">
            <wp:extent cx="3143250" cy="3238500"/>
            <wp:effectExtent l="0" t="0" r="6350" b="0"/>
            <wp:docPr id="1084" name="图片 1084"/>
            <wp:cNvGraphicFramePr/>
            <a:graphic xmlns:a="http://schemas.openxmlformats.org/drawingml/2006/main">
              <a:graphicData uri="http://schemas.openxmlformats.org/drawingml/2006/picture">
                <pic:pic xmlns:pic="http://schemas.openxmlformats.org/drawingml/2006/picture">
                  <pic:nvPicPr>
                    <pic:cNvPr id="1084" name="图片 1084"/>
                    <pic:cNvPicPr/>
                  </pic:nvPicPr>
                  <pic:blipFill>
                    <a:blip r:embed="rId12" cstate="print"/>
                    <a:srcRect/>
                    <a:stretch>
                      <a:fillRect/>
                    </a:stretch>
                  </pic:blipFill>
                  <pic:spPr>
                    <a:xfrm>
                      <a:off x="0" y="0"/>
                      <a:ext cx="3143689" cy="3238952"/>
                    </a:xfrm>
                    <a:prstGeom prst="rect">
                      <a:avLst/>
                    </a:prstGeom>
                  </pic:spPr>
                </pic:pic>
              </a:graphicData>
            </a:graphic>
          </wp:inline>
        </w:drawing>
      </w:r>
    </w:p>
    <w:p w14:paraId="2047ABCF">
      <w:pPr>
        <w:jc w:val="left"/>
      </w:pPr>
    </w:p>
    <w:p w14:paraId="14580911">
      <w:pPr>
        <w:jc w:val="left"/>
      </w:pPr>
    </w:p>
    <w:p w14:paraId="CBAB03F5">
      <w:pPr>
        <w:jc w:val="left"/>
        <w:rPr>
          <w:b w:val="0"/>
          <w:color w:val="0066FF"/>
          <w:sz w:val="24"/>
        </w:rPr>
      </w:pPr>
      <w:r>
        <w:rPr>
          <w:b w:val="0"/>
          <w:color w:val="000000"/>
          <w:sz w:val="24"/>
        </w:rPr>
        <w:t xml:space="preserve">第7题   你身边有多少同学表示对就业感到焦虑？      </w:t>
      </w:r>
      <w:r>
        <w:rPr>
          <w:b w:val="0"/>
          <w:color w:val="0066FF"/>
          <w:sz w:val="24"/>
        </w:rPr>
        <w:t>[单选题]</w:t>
      </w:r>
    </w:p>
    <w:p w14:paraId="D58D9CEF">
      <w:pPr>
        <w:jc w:val="left"/>
      </w:pPr>
    </w:p>
    <w:p w14:paraId="A9246BB4">
      <w:pPr>
        <w:jc w:val="left"/>
      </w:pPr>
    </w:p>
    <w:p w14:paraId="B4319C18">
      <w:pPr>
        <w:jc w:val="center"/>
      </w:pPr>
      <w:r>
        <w:drawing>
          <wp:inline distT="0" distB="0" distL="0" distR="0">
            <wp:extent cx="3143250" cy="3238500"/>
            <wp:effectExtent l="0" t="0" r="6350" b="0"/>
            <wp:docPr id="1094" name="图片 1094"/>
            <wp:cNvGraphicFramePr/>
            <a:graphic xmlns:a="http://schemas.openxmlformats.org/drawingml/2006/main">
              <a:graphicData uri="http://schemas.openxmlformats.org/drawingml/2006/picture">
                <pic:pic xmlns:pic="http://schemas.openxmlformats.org/drawingml/2006/picture">
                  <pic:nvPicPr>
                    <pic:cNvPr id="1094" name="图片 1094"/>
                    <pic:cNvPicPr/>
                  </pic:nvPicPr>
                  <pic:blipFill>
                    <a:blip r:embed="rId13" cstate="print"/>
                    <a:srcRect/>
                    <a:stretch>
                      <a:fillRect/>
                    </a:stretch>
                  </pic:blipFill>
                  <pic:spPr>
                    <a:xfrm>
                      <a:off x="0" y="0"/>
                      <a:ext cx="3143689" cy="3238952"/>
                    </a:xfrm>
                    <a:prstGeom prst="rect">
                      <a:avLst/>
                    </a:prstGeom>
                  </pic:spPr>
                </pic:pic>
              </a:graphicData>
            </a:graphic>
          </wp:inline>
        </w:drawing>
      </w:r>
    </w:p>
    <w:p w14:paraId="25F05E86">
      <w:pPr>
        <w:jc w:val="left"/>
      </w:pPr>
    </w:p>
    <w:p w14:paraId="642C5900">
      <w:pPr>
        <w:jc w:val="left"/>
      </w:pPr>
    </w:p>
    <w:p w14:paraId="40B11653">
      <w:pPr>
        <w:jc w:val="left"/>
        <w:rPr>
          <w:b w:val="0"/>
          <w:color w:val="0066FF"/>
          <w:sz w:val="24"/>
        </w:rPr>
      </w:pPr>
      <w:r>
        <w:rPr>
          <w:b w:val="0"/>
          <w:color w:val="000000"/>
          <w:sz w:val="24"/>
        </w:rPr>
        <w:t xml:space="preserve">第8题   毕业后你最倾向于哪种出路？      </w:t>
      </w:r>
      <w:r>
        <w:rPr>
          <w:b w:val="0"/>
          <w:color w:val="0066FF"/>
          <w:sz w:val="24"/>
        </w:rPr>
        <w:t>[单选题]</w:t>
      </w:r>
    </w:p>
    <w:p w14:paraId="618FC7B3">
      <w:pPr>
        <w:jc w:val="left"/>
      </w:pPr>
    </w:p>
    <w:p w14:paraId="A8E49DD7">
      <w:pPr>
        <w:jc w:val="left"/>
      </w:pPr>
    </w:p>
    <w:p w14:paraId="8224D20D">
      <w:pPr>
        <w:jc w:val="center"/>
      </w:pPr>
      <w:r>
        <w:drawing>
          <wp:inline distT="0" distB="0" distL="0" distR="0">
            <wp:extent cx="3143250" cy="3238500"/>
            <wp:effectExtent l="0" t="0" r="6350" b="0"/>
            <wp:docPr id="1104" name="图片 1104"/>
            <wp:cNvGraphicFramePr/>
            <a:graphic xmlns:a="http://schemas.openxmlformats.org/drawingml/2006/main">
              <a:graphicData uri="http://schemas.openxmlformats.org/drawingml/2006/picture">
                <pic:pic xmlns:pic="http://schemas.openxmlformats.org/drawingml/2006/picture">
                  <pic:nvPicPr>
                    <pic:cNvPr id="1104" name="图片 1104"/>
                    <pic:cNvPicPr/>
                  </pic:nvPicPr>
                  <pic:blipFill>
                    <a:blip r:embed="rId14" cstate="print"/>
                    <a:srcRect/>
                    <a:stretch>
                      <a:fillRect/>
                    </a:stretch>
                  </pic:blipFill>
                  <pic:spPr>
                    <a:xfrm>
                      <a:off x="0" y="0"/>
                      <a:ext cx="3143689" cy="3238952"/>
                    </a:xfrm>
                    <a:prstGeom prst="rect">
                      <a:avLst/>
                    </a:prstGeom>
                  </pic:spPr>
                </pic:pic>
              </a:graphicData>
            </a:graphic>
          </wp:inline>
        </w:drawing>
      </w:r>
    </w:p>
    <w:p w14:paraId="77592599">
      <w:pPr>
        <w:jc w:val="left"/>
      </w:pPr>
    </w:p>
    <w:p w14:paraId="5D06DAAD">
      <w:pPr>
        <w:jc w:val="left"/>
      </w:pPr>
    </w:p>
    <w:p w14:paraId="70457A1E">
      <w:pPr>
        <w:jc w:val="left"/>
        <w:rPr>
          <w:b w:val="0"/>
          <w:color w:val="0066FF"/>
          <w:sz w:val="24"/>
        </w:rPr>
      </w:pPr>
      <w:r>
        <w:rPr>
          <w:b w:val="0"/>
          <w:color w:val="000000"/>
          <w:sz w:val="24"/>
        </w:rPr>
        <w:t xml:space="preserve">第9题   你期望的起薪是多少？      </w:t>
      </w:r>
      <w:r>
        <w:rPr>
          <w:b w:val="0"/>
          <w:color w:val="0066FF"/>
          <w:sz w:val="24"/>
        </w:rPr>
        <w:t>[单选题]</w:t>
      </w:r>
    </w:p>
    <w:p w14:paraId="F1027360">
      <w:pPr>
        <w:jc w:val="left"/>
      </w:pPr>
    </w:p>
    <w:p w14:paraId="0B71F599">
      <w:pPr>
        <w:jc w:val="left"/>
      </w:pPr>
    </w:p>
    <w:p w14:paraId="37CB7228">
      <w:pPr>
        <w:jc w:val="center"/>
      </w:pPr>
      <w:r>
        <w:drawing>
          <wp:inline distT="0" distB="0" distL="0" distR="0">
            <wp:extent cx="3143250" cy="3238500"/>
            <wp:effectExtent l="0" t="0" r="6350" b="0"/>
            <wp:docPr id="1115" name="图片 1115"/>
            <wp:cNvGraphicFramePr/>
            <a:graphic xmlns:a="http://schemas.openxmlformats.org/drawingml/2006/main">
              <a:graphicData uri="http://schemas.openxmlformats.org/drawingml/2006/picture">
                <pic:pic xmlns:pic="http://schemas.openxmlformats.org/drawingml/2006/picture">
                  <pic:nvPicPr>
                    <pic:cNvPr id="1115" name="图片 1115"/>
                    <pic:cNvPicPr/>
                  </pic:nvPicPr>
                  <pic:blipFill>
                    <a:blip r:embed="rId15" cstate="print"/>
                    <a:srcRect/>
                    <a:stretch>
                      <a:fillRect/>
                    </a:stretch>
                  </pic:blipFill>
                  <pic:spPr>
                    <a:xfrm>
                      <a:off x="0" y="0"/>
                      <a:ext cx="3143689" cy="3238952"/>
                    </a:xfrm>
                    <a:prstGeom prst="rect">
                      <a:avLst/>
                    </a:prstGeom>
                  </pic:spPr>
                </pic:pic>
              </a:graphicData>
            </a:graphic>
          </wp:inline>
        </w:drawing>
      </w:r>
    </w:p>
    <w:p w14:paraId="22E207A3">
      <w:pPr>
        <w:jc w:val="left"/>
      </w:pPr>
    </w:p>
    <w:p w14:paraId="5B1B1E02">
      <w:pPr>
        <w:jc w:val="left"/>
      </w:pPr>
    </w:p>
    <w:p w14:paraId="E57615BA">
      <w:pPr>
        <w:jc w:val="left"/>
        <w:rPr>
          <w:b w:val="0"/>
          <w:color w:val="0066FF"/>
          <w:sz w:val="24"/>
        </w:rPr>
      </w:pPr>
      <w:r>
        <w:rPr>
          <w:b w:val="0"/>
          <w:color w:val="000000"/>
          <w:sz w:val="24"/>
        </w:rPr>
        <w:t xml:space="preserve">第10题   你认为当前高校的就业指导课/服务对你有帮助吗？      </w:t>
      </w:r>
      <w:r>
        <w:rPr>
          <w:b w:val="0"/>
          <w:color w:val="0066FF"/>
          <w:sz w:val="24"/>
        </w:rPr>
        <w:t>[单选题]</w:t>
      </w:r>
    </w:p>
    <w:p w14:paraId="18AC4488">
      <w:pPr>
        <w:jc w:val="left"/>
      </w:pPr>
    </w:p>
    <w:p w14:paraId="A54A19AA">
      <w:pPr>
        <w:jc w:val="left"/>
      </w:pPr>
    </w:p>
    <w:p w14:paraId="1D4AF50A">
      <w:pPr>
        <w:jc w:val="center"/>
      </w:pPr>
      <w:r>
        <w:drawing>
          <wp:inline distT="0" distB="0" distL="0" distR="0">
            <wp:extent cx="3143250" cy="3238500"/>
            <wp:effectExtent l="0" t="0" r="6350" b="0"/>
            <wp:docPr id="1126" name="图片 1126"/>
            <wp:cNvGraphicFramePr/>
            <a:graphic xmlns:a="http://schemas.openxmlformats.org/drawingml/2006/main">
              <a:graphicData uri="http://schemas.openxmlformats.org/drawingml/2006/picture">
                <pic:pic xmlns:pic="http://schemas.openxmlformats.org/drawingml/2006/picture">
                  <pic:nvPicPr>
                    <pic:cNvPr id="1126" name="图片 1126"/>
                    <pic:cNvPicPr/>
                  </pic:nvPicPr>
                  <pic:blipFill>
                    <a:blip r:embed="rId16" cstate="print"/>
                    <a:srcRect/>
                    <a:stretch>
                      <a:fillRect/>
                    </a:stretch>
                  </pic:blipFill>
                  <pic:spPr>
                    <a:xfrm>
                      <a:off x="0" y="0"/>
                      <a:ext cx="3143689" cy="3238952"/>
                    </a:xfrm>
                    <a:prstGeom prst="rect">
                      <a:avLst/>
                    </a:prstGeom>
                  </pic:spPr>
                </pic:pic>
              </a:graphicData>
            </a:graphic>
          </wp:inline>
        </w:drawing>
      </w:r>
    </w:p>
    <w:p w14:paraId="BC3F004F">
      <w:pPr>
        <w:jc w:val="left"/>
      </w:pPr>
    </w:p>
    <w:p w14:paraId="8F80978D">
      <w:pPr>
        <w:jc w:val="left"/>
      </w:pPr>
    </w:p>
    <w:p w14:paraId="057365EC">
      <w:pPr>
        <w:jc w:val="left"/>
        <w:rPr>
          <w:b w:val="0"/>
          <w:color w:val="0066FF"/>
          <w:sz w:val="24"/>
        </w:rPr>
      </w:pPr>
      <w:r>
        <w:rPr>
          <w:b w:val="0"/>
          <w:color w:val="000000"/>
          <w:sz w:val="24"/>
        </w:rPr>
        <w:t xml:space="preserve">第11题   你是否参加过实习？      </w:t>
      </w:r>
      <w:r>
        <w:rPr>
          <w:b w:val="0"/>
          <w:color w:val="0066FF"/>
          <w:sz w:val="24"/>
        </w:rPr>
        <w:t>[单选题]</w:t>
      </w:r>
    </w:p>
    <w:p w14:paraId="C464BDC9">
      <w:pPr>
        <w:jc w:val="left"/>
      </w:pPr>
    </w:p>
    <w:p w14:paraId="065DA3D4">
      <w:pPr>
        <w:jc w:val="left"/>
      </w:pPr>
    </w:p>
    <w:p w14:paraId="01D59871">
      <w:pPr>
        <w:jc w:val="center"/>
      </w:pPr>
      <w:r>
        <w:drawing>
          <wp:inline distT="0" distB="0" distL="0" distR="0">
            <wp:extent cx="3143250" cy="3238500"/>
            <wp:effectExtent l="0" t="0" r="6350" b="0"/>
            <wp:docPr id="1135" name="图片 1135"/>
            <wp:cNvGraphicFramePr/>
            <a:graphic xmlns:a="http://schemas.openxmlformats.org/drawingml/2006/main">
              <a:graphicData uri="http://schemas.openxmlformats.org/drawingml/2006/picture">
                <pic:pic xmlns:pic="http://schemas.openxmlformats.org/drawingml/2006/picture">
                  <pic:nvPicPr>
                    <pic:cNvPr id="1135" name="图片 1135"/>
                    <pic:cNvPicPr/>
                  </pic:nvPicPr>
                  <pic:blipFill>
                    <a:blip r:embed="rId17" cstate="print"/>
                    <a:srcRect/>
                    <a:stretch>
                      <a:fillRect/>
                    </a:stretch>
                  </pic:blipFill>
                  <pic:spPr>
                    <a:xfrm>
                      <a:off x="0" y="0"/>
                      <a:ext cx="3143689" cy="3238952"/>
                    </a:xfrm>
                    <a:prstGeom prst="rect">
                      <a:avLst/>
                    </a:prstGeom>
                  </pic:spPr>
                </pic:pic>
              </a:graphicData>
            </a:graphic>
          </wp:inline>
        </w:drawing>
      </w:r>
    </w:p>
    <w:p w14:paraId="1933F5B8">
      <w:pPr>
        <w:jc w:val="left"/>
      </w:pPr>
    </w:p>
    <w:p w14:paraId="4B444FA4">
      <w:pPr>
        <w:jc w:val="left"/>
      </w:pPr>
    </w:p>
    <w:p w14:paraId="402FBDE1">
      <w:pPr>
        <w:jc w:val="left"/>
        <w:rPr>
          <w:b w:val="0"/>
          <w:color w:val="0066FF"/>
          <w:sz w:val="24"/>
        </w:rPr>
      </w:pPr>
      <w:r>
        <w:rPr>
          <w:b w:val="0"/>
          <w:color w:val="000000"/>
          <w:sz w:val="24"/>
        </w:rPr>
        <w:t xml:space="preserve">第12题   你是否了解国家出台的大学生就业支持政策（如基层就业补贴、创业扶持等）？      </w:t>
      </w:r>
      <w:r>
        <w:rPr>
          <w:b w:val="0"/>
          <w:color w:val="0066FF"/>
          <w:sz w:val="24"/>
        </w:rPr>
        <w:t>[单选题]</w:t>
      </w:r>
    </w:p>
    <w:p w14:paraId="34161783">
      <w:pPr>
        <w:jc w:val="left"/>
      </w:pPr>
    </w:p>
    <w:p w14:paraId="F7FED383">
      <w:pPr>
        <w:jc w:val="left"/>
      </w:pPr>
    </w:p>
    <w:p w14:paraId="81085BDF">
      <w:pPr>
        <w:jc w:val="center"/>
      </w:pPr>
      <w:r>
        <w:drawing>
          <wp:inline distT="0" distB="0" distL="0" distR="0">
            <wp:extent cx="3143250" cy="3238500"/>
            <wp:effectExtent l="0" t="0" r="6350" b="0"/>
            <wp:docPr id="1143" name="图片 1143"/>
            <wp:cNvGraphicFramePr/>
            <a:graphic xmlns:a="http://schemas.openxmlformats.org/drawingml/2006/main">
              <a:graphicData uri="http://schemas.openxmlformats.org/drawingml/2006/picture">
                <pic:pic xmlns:pic="http://schemas.openxmlformats.org/drawingml/2006/picture">
                  <pic:nvPicPr>
                    <pic:cNvPr id="1143" name="图片 1143"/>
                    <pic:cNvPicPr/>
                  </pic:nvPicPr>
                  <pic:blipFill>
                    <a:blip r:embed="rId18" cstate="print"/>
                    <a:srcRect/>
                    <a:stretch>
                      <a:fillRect/>
                    </a:stretch>
                  </pic:blipFill>
                  <pic:spPr>
                    <a:xfrm>
                      <a:off x="0" y="0"/>
                      <a:ext cx="3143689" cy="3238952"/>
                    </a:xfrm>
                    <a:prstGeom prst="rect">
                      <a:avLst/>
                    </a:prstGeom>
                  </pic:spPr>
                </pic:pic>
              </a:graphicData>
            </a:graphic>
          </wp:inline>
        </w:drawing>
      </w:r>
    </w:p>
    <w:p w14:paraId="CE4D8039">
      <w:pPr>
        <w:jc w:val="left"/>
      </w:pPr>
    </w:p>
    <w:p w14:paraId="4CBF7BAB">
      <w:pPr>
        <w:jc w:val="left"/>
      </w:pPr>
    </w:p>
    <w:p w14:paraId="C8607D50">
      <w:pPr>
        <w:jc w:val="left"/>
        <w:rPr>
          <w:b w:val="0"/>
          <w:color w:val="0066FF"/>
          <w:sz w:val="24"/>
        </w:rPr>
      </w:pPr>
      <w:r>
        <w:rPr>
          <w:b w:val="0"/>
          <w:color w:val="000000"/>
          <w:sz w:val="24"/>
        </w:rPr>
        <w:t xml:space="preserve">第13题   你认为解决就业难问题最应该发力的是？      </w:t>
      </w:r>
      <w:r>
        <w:rPr>
          <w:b w:val="0"/>
          <w:color w:val="0066FF"/>
          <w:sz w:val="24"/>
        </w:rPr>
        <w:t>[单选题]</w:t>
      </w:r>
    </w:p>
    <w:p w14:paraId="C9055E96">
      <w:pPr>
        <w:jc w:val="left"/>
      </w:pPr>
    </w:p>
    <w:p w14:paraId="FBB1F76B">
      <w:pPr>
        <w:jc w:val="left"/>
      </w:pPr>
    </w:p>
    <w:p w14:paraId="8F87A3AE">
      <w:pPr>
        <w:jc w:val="center"/>
      </w:pPr>
      <w:r>
        <w:drawing>
          <wp:inline distT="0" distB="0" distL="0" distR="0">
            <wp:extent cx="3143250" cy="3238500"/>
            <wp:effectExtent l="0" t="0" r="6350" b="0"/>
            <wp:docPr id="1154" name="图片 1154"/>
            <wp:cNvGraphicFramePr/>
            <a:graphic xmlns:a="http://schemas.openxmlformats.org/drawingml/2006/main">
              <a:graphicData uri="http://schemas.openxmlformats.org/drawingml/2006/picture">
                <pic:pic xmlns:pic="http://schemas.openxmlformats.org/drawingml/2006/picture">
                  <pic:nvPicPr>
                    <pic:cNvPr id="1154" name="图片 1154"/>
                    <pic:cNvPicPr/>
                  </pic:nvPicPr>
                  <pic:blipFill>
                    <a:blip r:embed="rId19" cstate="print"/>
                    <a:srcRect/>
                    <a:stretch>
                      <a:fillRect/>
                    </a:stretch>
                  </pic:blipFill>
                  <pic:spPr>
                    <a:xfrm>
                      <a:off x="0" y="0"/>
                      <a:ext cx="3143689" cy="3238952"/>
                    </a:xfrm>
                    <a:prstGeom prst="rect">
                      <a:avLst/>
                    </a:prstGeom>
                  </pic:spPr>
                </pic:pic>
              </a:graphicData>
            </a:graphic>
          </wp:inline>
        </w:drawing>
      </w:r>
    </w:p>
    <w:p w14:paraId="9E945AB7">
      <w:pPr>
        <w:jc w:val="left"/>
      </w:pPr>
    </w:p>
    <w:p w14:paraId="487A3DDA">
      <w:pPr>
        <w:jc w:val="left"/>
      </w:pPr>
    </w:p>
    <w:p w14:paraId="E7C1E917">
      <w:pPr>
        <w:jc w:val="left"/>
        <w:rPr>
          <w:b w:val="0"/>
          <w:color w:val="0066FF"/>
          <w:sz w:val="24"/>
        </w:rPr>
      </w:pPr>
      <w:r>
        <w:rPr>
          <w:b w:val="0"/>
          <w:color w:val="000000"/>
          <w:sz w:val="24"/>
        </w:rPr>
        <w:t xml:space="preserve">第14题   你认为AI/自动化技术对大学生就业的影响是？      </w:t>
      </w:r>
      <w:r>
        <w:rPr>
          <w:b w:val="0"/>
          <w:color w:val="0066FF"/>
          <w:sz w:val="24"/>
        </w:rPr>
        <w:t>[单选题]</w:t>
      </w:r>
    </w:p>
    <w:p w14:paraId="07EB33C4">
      <w:pPr>
        <w:jc w:val="left"/>
      </w:pPr>
    </w:p>
    <w:p w14:paraId="9AEA0172">
      <w:pPr>
        <w:jc w:val="left"/>
      </w:pPr>
    </w:p>
    <w:p w14:paraId="7EF6D494">
      <w:pPr>
        <w:jc w:val="center"/>
      </w:pPr>
      <w:r>
        <w:drawing>
          <wp:inline distT="0" distB="0" distL="0" distR="0">
            <wp:extent cx="3143250" cy="3238500"/>
            <wp:effectExtent l="0" t="0" r="6350" b="0"/>
            <wp:docPr id="1163" name="图片 1163"/>
            <wp:cNvGraphicFramePr/>
            <a:graphic xmlns:a="http://schemas.openxmlformats.org/drawingml/2006/main">
              <a:graphicData uri="http://schemas.openxmlformats.org/drawingml/2006/picture">
                <pic:pic xmlns:pic="http://schemas.openxmlformats.org/drawingml/2006/picture">
                  <pic:nvPicPr>
                    <pic:cNvPr id="1163" name="图片 1163"/>
                    <pic:cNvPicPr/>
                  </pic:nvPicPr>
                  <pic:blipFill>
                    <a:blip r:embed="rId20" cstate="print"/>
                    <a:srcRect/>
                    <a:stretch>
                      <a:fillRect/>
                    </a:stretch>
                  </pic:blipFill>
                  <pic:spPr>
                    <a:xfrm>
                      <a:off x="0" y="0"/>
                      <a:ext cx="3143689" cy="3238952"/>
                    </a:xfrm>
                    <a:prstGeom prst="rect">
                      <a:avLst/>
                    </a:prstGeom>
                  </pic:spPr>
                </pic:pic>
              </a:graphicData>
            </a:graphic>
          </wp:inline>
        </w:drawing>
      </w:r>
    </w:p>
    <w:p w14:paraId="C6B8721B">
      <w:pPr>
        <w:jc w:val="both"/>
      </w:pPr>
    </w:p>
    <w:p w14:paraId="262BC93F">
      <w:pPr>
        <w:jc w:val="left"/>
        <w:rPr>
          <w:rFonts w:hint="eastAsia"/>
          <w:lang w:val="en-US" w:eastAsia="zh-CN"/>
        </w:rPr>
      </w:pPr>
    </w:p>
    <w:sectPr>
      <w:footerReference r:id="rId5" w:type="default"/>
      <w:endnotePr>
        <w:numFmt w:val="decimalEnclosedCircleChinese"/>
      </w:endnotePr>
      <w:pgSz w:w="11906" w:h="16838"/>
      <w:pgMar w:top="1440" w:right="180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8">
    <w:p>
      <w:r>
        <w:separator/>
      </w:r>
    </w:p>
  </w:endnote>
  <w:endnote w:type="continuationSeparator" w:id="9">
    <w:p>
      <w:r>
        <w:continuationSeparator/>
      </w:r>
    </w:p>
  </w:endnote>
  <w:endnote w:id="0">
    <w:p w14:paraId="0927CB9E">
      <w:pPr>
        <w:pStyle w:val="8"/>
        <w:snapToGrid w:val="0"/>
      </w:pPr>
      <w:r>
        <w:rPr>
          <w:rStyle w:val="15"/>
        </w:rPr>
        <w:endnoteRef/>
      </w:r>
      <w:r>
        <w:t xml:space="preserve"> 习近平. 高举中国特色社会主义伟大旗帜 为全面建设社会主义现代化国家而团结奋斗——在中国共产党第二十次全国代表大会上的报告[M]. 北京：人民出版社，2022.</w:t>
      </w:r>
    </w:p>
  </w:endnote>
  <w:endnote w:id="1">
    <w:p w14:paraId="764AD850">
      <w:pPr>
        <w:pStyle w:val="8"/>
        <w:snapToGrid w:val="0"/>
      </w:pPr>
      <w:r>
        <w:rPr>
          <w:rStyle w:val="15"/>
        </w:rPr>
        <w:endnoteRef/>
      </w:r>
      <w:r>
        <w:t xml:space="preserve"> 习近平. 高举中国特色社会主义伟大旗帜 为全面建设社会主义现代化国家而团结奋斗——在中国共产党第二十次全国代表大会上的报告[M]. 北京：人民出版社，2022.</w:t>
      </w:r>
    </w:p>
  </w:endnote>
  <w:endnote w:id="2">
    <w:p w14:paraId="1A80668D">
      <w:pPr>
        <w:pStyle w:val="8"/>
        <w:snapToGrid w:val="0"/>
      </w:pPr>
      <w:r>
        <w:rPr>
          <w:rStyle w:val="15"/>
        </w:rPr>
        <w:endnoteRef/>
      </w:r>
      <w:r>
        <w:t xml:space="preserve"> 麦可思研究院. 2024年中国大学生就业报告[R]. 成都：麦可思公司，2024.</w:t>
      </w:r>
    </w:p>
  </w:endnote>
  <w:endnote w:id="3">
    <w:p w14:paraId="516120BF">
      <w:pPr>
        <w:keepNext w:val="0"/>
        <w:keepLines w:val="0"/>
        <w:pageBreakBefore w:val="0"/>
        <w:widowControl w:val="0"/>
        <w:kinsoku/>
        <w:wordWrap/>
        <w:overflowPunct/>
        <w:topLinePunct w:val="0"/>
        <w:bidi w:val="0"/>
        <w:adjustRightInd/>
        <w:snapToGrid/>
        <w:spacing w:line="240" w:lineRule="auto"/>
        <w:textAlignment w:val="auto"/>
        <w:rPr>
          <w:rFonts w:hint="default" w:eastAsia="宋体"/>
          <w:lang w:val="en-US" w:eastAsia="zh-CN"/>
        </w:rPr>
      </w:pPr>
      <w:r>
        <w:rPr>
          <w:rStyle w:val="15"/>
        </w:rPr>
        <w:endnoteRef/>
      </w:r>
      <w:r>
        <w:t xml:space="preserve"> </w:t>
      </w:r>
      <w:r>
        <w:rPr>
          <w:rFonts w:hint="eastAsia"/>
          <w:lang w:val="en-US" w:eastAsia="zh-CN"/>
        </w:rPr>
        <w:t>同①</w:t>
      </w:r>
      <w:bookmarkStart w:id="0" w:name="_GoBack"/>
      <w:bookmarkEnd w:id="0"/>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35265">
    <w:pPr>
      <w:pStyle w:val="9"/>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BB1B42B">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14:paraId="4BB1B42B">
                    <w:pPr>
                      <w:pStyle w:val="9"/>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13893">
    <w:pPr>
      <w:jc w:val="center"/>
    </w:pPr>
    <w:r>
      <w:rPr>
        <w:sz w:val="21"/>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文本框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E8A34AA">
                          <w:pPr>
                            <w:jc w:val="center"/>
                          </w:pPr>
                          <w:r>
                            <w:rPr>
                              <w:rFonts w:ascii="宋体" w:hAnsi="宋体" w:eastAsia="宋体" w:cs="宋体"/>
                              <w:sz w:val="21"/>
                              <w:szCs w:val="21"/>
                            </w:rPr>
                            <w:fldChar w:fldCharType="begin"/>
                          </w:r>
                          <w:r>
                            <w:rPr>
                              <w:rFonts w:ascii="宋体" w:hAnsi="宋体" w:eastAsia="宋体" w:cs="宋体"/>
                              <w:sz w:val="21"/>
                              <w:szCs w:val="21"/>
                            </w:rPr>
                            <w:instrText xml:space="preserve">PAGE</w:instrText>
                          </w:r>
                          <w:r>
                            <w:rPr>
                              <w:rFonts w:ascii="宋体" w:hAnsi="宋体" w:eastAsia="宋体" w:cs="宋体"/>
                              <w:sz w:val="21"/>
                              <w:szCs w:val="21"/>
                            </w:rPr>
                            <w:fldChar w:fldCharType="separate"/>
                          </w:r>
                          <w:r>
                            <w:rPr>
                              <w:rFonts w:ascii="宋体" w:hAnsi="宋体" w:eastAsia="宋体" w:cs="宋体"/>
                              <w:sz w:val="21"/>
                              <w:szCs w:val="21"/>
                            </w:rPr>
                            <w:fldChar w:fldCharType="end"/>
                          </w:r>
                        </w:p>
                      </w:txbxContent>
                    </wps:txbx>
                    <wps:bodyPr vert="horz" wrap="none" lIns="0" tIns="0" rIns="0" bIns="0" anchor="t" upright="0">
                      <a:spAutoFit/>
                    </wps:bodyPr>
                  </wps:wsp>
                </a:graphicData>
              </a:graphic>
            </wp:anchor>
          </w:drawing>
        </mc:Choice>
        <mc:Fallback>
          <w:pict>
            <v:rect id="文本框 2"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l1uVLQAAAABQEAAA8AAAAAAAAAAQAgAAAAIgAAAGRycy9k&#10;b3ducmV2LnhtbFBLAQIUABQAAAAIAIdO4kBY5VNZ0QEAAJ4DAAAOAAAAAAAAAAEAIAAAAB8BAABk&#10;cnMvZTJvRG9jLnhtbFBLBQYAAAAABgAGAFkBAABiBQAAAAA=&#10;">
              <v:fill on="f" focussize="0,0"/>
              <v:stroke on="f"/>
              <v:imagedata o:title=""/>
              <o:lock v:ext="edit" aspectratio="f"/>
              <v:textbox inset="0mm,0mm,0mm,0mm" style="mso-fit-shape-to-text:t;">
                <w:txbxContent>
                  <w:p w14:paraId="2E8A34AA">
                    <w:pPr>
                      <w:jc w:val="center"/>
                    </w:pPr>
                    <w:r>
                      <w:rPr>
                        <w:rFonts w:ascii="宋体" w:hAnsi="宋体" w:eastAsia="宋体" w:cs="宋体"/>
                        <w:sz w:val="21"/>
                        <w:szCs w:val="21"/>
                      </w:rPr>
                      <w:fldChar w:fldCharType="begin"/>
                    </w:r>
                    <w:r>
                      <w:rPr>
                        <w:rFonts w:ascii="宋体" w:hAnsi="宋体" w:eastAsia="宋体" w:cs="宋体"/>
                        <w:sz w:val="21"/>
                        <w:szCs w:val="21"/>
                      </w:rPr>
                      <w:instrText xml:space="preserve">PAGE</w:instrText>
                    </w:r>
                    <w:r>
                      <w:rPr>
                        <w:rFonts w:ascii="宋体" w:hAnsi="宋体" w:eastAsia="宋体" w:cs="宋体"/>
                        <w:sz w:val="21"/>
                        <w:szCs w:val="21"/>
                      </w:rPr>
                      <w:fldChar w:fldCharType="separate"/>
                    </w:r>
                    <w:r>
                      <w:rPr>
                        <w:rFonts w:ascii="宋体" w:hAnsi="宋体" w:eastAsia="宋体" w:cs="宋体"/>
                        <w:sz w:val="21"/>
                        <w:szCs w:val="21"/>
                      </w:rP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endnotePr>
    <w:endnote w:id="8"/>
    <w:endnote w:id="9"/>
  </w:endnotePr>
  <w:compat>
    <w:doNotExpandShiftReturn/>
    <w:doNotWrapTextWithPunct/>
    <w:doNotUseEastAsianBreakRules/>
    <w:useFELayout/>
    <w:compatSetting w:name="compatibilityMode" w:uri="http://schemas.microsoft.com/office/word" w:val="15"/>
  </w:compat>
  <w:rsids>
    <w:rsidRoot w:val="00000000"/>
    <w:rsid w:val="0CAC0566"/>
    <w:rsid w:val="302A70AD"/>
    <w:rsid w:val="361B458C"/>
    <w:rsid w:val="391766FF"/>
    <w:rsid w:val="584B1C26"/>
    <w:rsid w:val="60B225DB"/>
    <w:rsid w:val="65690B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semiHidden/>
    <w:unhideWhenUsed/>
    <w:qFormat/>
    <w:uiPriority w:val="0"/>
    <w:rPr>
      <w:rFonts w:ascii="Times New Roman" w:hAnsi="Times New Roman" w:eastAsia="宋体" w:cs="Times New Roman"/>
      <w:color w:val="2E74B5"/>
      <w:sz w:val="26"/>
      <w:szCs w:val="26"/>
    </w:rPr>
  </w:style>
  <w:style w:type="paragraph" w:styleId="4">
    <w:name w:val="heading 3"/>
    <w:next w:val="1"/>
    <w:semiHidden/>
    <w:unhideWhenUsed/>
    <w:qFormat/>
    <w:uiPriority w:val="0"/>
    <w:rPr>
      <w:rFonts w:ascii="Times New Roman" w:hAnsi="Times New Roman" w:eastAsia="宋体" w:cs="Times New Roman"/>
      <w:color w:val="1F4D78"/>
      <w:sz w:val="24"/>
      <w:szCs w:val="24"/>
    </w:rPr>
  </w:style>
  <w:style w:type="paragraph" w:styleId="5">
    <w:name w:val="heading 4"/>
    <w:next w:val="1"/>
    <w:semiHidden/>
    <w:unhideWhenUsed/>
    <w:qFormat/>
    <w:uiPriority w:val="0"/>
    <w:rPr>
      <w:rFonts w:ascii="Times New Roman" w:hAnsi="Times New Roman" w:eastAsia="宋体" w:cs="Times New Roman"/>
      <w:i/>
      <w:iCs/>
      <w:color w:val="2E74B5"/>
      <w:sz w:val="21"/>
      <w:szCs w:val="22"/>
    </w:rPr>
  </w:style>
  <w:style w:type="paragraph" w:styleId="6">
    <w:name w:val="heading 5"/>
    <w:next w:val="1"/>
    <w:semiHidden/>
    <w:unhideWhenUsed/>
    <w:qFormat/>
    <w:uiPriority w:val="0"/>
    <w:rPr>
      <w:rFonts w:ascii="Times New Roman" w:hAnsi="Times New Roman" w:eastAsia="宋体" w:cs="Times New Roman"/>
      <w:color w:val="2E74B5"/>
      <w:sz w:val="21"/>
      <w:szCs w:val="22"/>
    </w:rPr>
  </w:style>
  <w:style w:type="paragraph" w:styleId="7">
    <w:name w:val="heading 6"/>
    <w:next w:val="1"/>
    <w:semiHidden/>
    <w:unhideWhenUsed/>
    <w:qFormat/>
    <w:uiPriority w:val="0"/>
    <w:rPr>
      <w:rFonts w:ascii="Times New Roman" w:hAnsi="Times New Roman" w:eastAsia="宋体" w:cs="Times New Roman"/>
      <w:color w:val="1F4D78"/>
      <w:sz w:val="21"/>
      <w:szCs w:val="22"/>
    </w:rPr>
  </w:style>
  <w:style w:type="character" w:default="1" w:styleId="14">
    <w:name w:val="Default Paragraph Font"/>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8">
    <w:name w:val="endnote text"/>
    <w:link w:val="20"/>
    <w:qFormat/>
    <w:uiPriority w:val="0"/>
    <w:pPr>
      <w:spacing w:after="0" w:line="240" w:lineRule="auto"/>
    </w:pPr>
    <w:rPr>
      <w:rFonts w:ascii="Times New Roman" w:hAnsi="Times New Roman" w:eastAsia="宋体" w:cs="Times New Roman"/>
      <w:sz w:val="20"/>
      <w:szCs w:val="20"/>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uiPriority w:val="0"/>
    <w:pPr>
      <w:spacing w:after="0" w:line="240" w:lineRule="auto"/>
    </w:pPr>
    <w:rPr>
      <w:rFonts w:ascii="Times New Roman" w:hAnsi="Times New Roman" w:eastAsia="宋体" w:cs="Times New Roman"/>
      <w:sz w:val="20"/>
      <w:szCs w:val="20"/>
    </w:rPr>
  </w:style>
  <w:style w:type="paragraph" w:styleId="12">
    <w:name w:val="Title"/>
    <w:qFormat/>
    <w:uiPriority w:val="0"/>
    <w:rPr>
      <w:rFonts w:ascii="Times New Roman" w:hAnsi="Times New Roman" w:eastAsia="宋体" w:cs="Times New Roman"/>
      <w:sz w:val="56"/>
      <w:szCs w:val="56"/>
    </w:rPr>
  </w:style>
  <w:style w:type="character" w:styleId="15">
    <w:name w:val="endnote reference"/>
    <w:qFormat/>
    <w:uiPriority w:val="0"/>
    <w:rPr>
      <w:vertAlign w:val="superscript"/>
    </w:rPr>
  </w:style>
  <w:style w:type="character" w:styleId="16">
    <w:name w:val="Hyperlink"/>
    <w:uiPriority w:val="0"/>
    <w:rPr>
      <w:color w:val="0563C1"/>
      <w:u w:val="single"/>
    </w:rPr>
  </w:style>
  <w:style w:type="character" w:styleId="17">
    <w:name w:val="footnote reference"/>
    <w:qFormat/>
    <w:uiPriority w:val="0"/>
    <w:rPr>
      <w:vertAlign w:val="superscript"/>
    </w:rPr>
  </w:style>
  <w:style w:type="paragraph" w:styleId="18">
    <w:name w:val="List Paragraph"/>
    <w:qFormat/>
    <w:uiPriority w:val="0"/>
    <w:rPr>
      <w:rFonts w:ascii="Times New Roman" w:hAnsi="Times New Roman" w:eastAsia="宋体" w:cs="Times New Roman"/>
      <w:sz w:val="21"/>
      <w:szCs w:val="22"/>
    </w:rPr>
  </w:style>
  <w:style w:type="character" w:customStyle="1" w:styleId="19">
    <w:name w:val="Footnote Text Char"/>
    <w:link w:val="11"/>
    <w:qFormat/>
    <w:uiPriority w:val="99"/>
    <w:rPr>
      <w:sz w:val="20"/>
      <w:szCs w:val="20"/>
    </w:rPr>
  </w:style>
  <w:style w:type="character" w:customStyle="1" w:styleId="20">
    <w:name w:val="Endnote Text Char"/>
    <w:link w:val="8"/>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endnotes" Target="end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855b7a07-c2ec-47a8-b9c5-a901eb1a4ec9</errorID>
      <errorWord>没有但</errorWord>
      <group>L1_Word</group>
      <groupName>字词问题</groupName>
      <ability>L2_Typo</ability>
      <abilityName>字词错误</abilityName>
      <candidateList>
        <item>没有</item>
      </candidateList>
      <explain>〈副〉❶表示“已然”的否定：他还～回来｜天还～黑呢。❷表示“曾经”的否定：老张上个星期～回来过｜银行昨天～开门。</explain>
      <paraID>6F5576ED</paraID>
      <start>50</start>
      <end>53</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dbfb21-117f-41f9-be93-470b97d79dd3}">
  <ds:schemaRefs/>
</ds:datastoreItem>
</file>

<file path=docProps/app.xml><?xml version="1.0" encoding="utf-8"?>
<Properties xmlns="http://schemas.openxmlformats.org/officeDocument/2006/extended-properties" xmlns:vt="http://schemas.openxmlformats.org/officeDocument/2006/docPropsVTypes">
  <Pages>15</Pages>
  <Words>5350</Words>
  <Characters>5688</Characters>
  <Paragraphs>115</Paragraphs>
  <TotalTime>1</TotalTime>
  <ScaleCrop>false</ScaleCrop>
  <LinksUpToDate>false</LinksUpToDate>
  <CharactersWithSpaces>5884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2026-06-01T16:00:00Z</dcterms:created>
  <dc:creator>Un-named</dc:creator>
  <cp:lastModifiedBy>爱编辑的小缘</cp:lastModifiedBy>
  <dcterms:modified xsi:type="dcterms:W3CDTF">2026-06-02T02:47:36Z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eyJoZGlkIjoiMzU5ZWE1ZjM2N2RkN2RhY2ZlNmZhOTIyMzZiZDBmNzEiLCJ1c2VySWQiOiIzNjYxNjY2NjcifQ==</vt:lpwstr>
  </property>
  <property fmtid="{D5CDD505-2E9C-101B-9397-08002B2CF9AE}" pid="3" name="KSOProductBuildVer">
    <vt:lpwstr>2052-12.1.0.24657</vt:lpwstr>
  </property>
  <property fmtid="{D5CDD505-2E9C-101B-9397-08002B2CF9AE}" pid="4" name="ICV">
    <vt:lpwstr>F7BB9420711E47B4A69AE3AB40346217_13</vt:lpwstr>
  </property>
</Properties>
</file>