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F253" w14:textId="5175A691" w:rsidR="00903E11" w:rsidRPr="00AE0360" w:rsidRDefault="00903E11" w:rsidP="00AE0360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>Materials:</w:t>
      </w:r>
    </w:p>
    <w:p w14:paraId="43031A39" w14:textId="77777777" w:rsidR="00903E11" w:rsidRPr="00AE0360" w:rsidRDefault="00903E11" w:rsidP="00AE0360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69AF492" w14:textId="1E552F29" w:rsidR="00903E11" w:rsidRPr="00AE0360" w:rsidRDefault="00903E11" w:rsidP="00AE036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1: </w:t>
      </w:r>
      <w:r w:rsidRPr="00AE0360">
        <w:rPr>
          <w:rFonts w:ascii="Times New Roman" w:hAnsi="Times New Roman" w:cs="Times New Roman"/>
          <w:sz w:val="24"/>
          <w:szCs w:val="24"/>
        </w:rPr>
        <w:t>Those forced to exercise their smiling muscles reacted enthusiastically to funny cartoons.</w:t>
      </w:r>
    </w:p>
    <w:p w14:paraId="01A53572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0016EE" w14:textId="56DFF3D4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2</w:t>
      </w:r>
      <w:r w:rsidRPr="00AE0360">
        <w:rPr>
          <w:rFonts w:ascii="Times New Roman" w:hAnsi="Times New Roman" w:cs="Times New Roman"/>
          <w:sz w:val="24"/>
          <w:szCs w:val="24"/>
        </w:rPr>
        <w:t>:</w:t>
      </w:r>
      <w:r w:rsidRPr="00AE0360">
        <w:rPr>
          <w:rFonts w:ascii="Times New Roman" w:hAnsi="Times New Roman" w:cs="Times New Roman"/>
          <w:sz w:val="24"/>
          <w:szCs w:val="24"/>
        </w:rPr>
        <w:t xml:space="preserve"> </w:t>
      </w:r>
      <w:r w:rsidRPr="00AE0360">
        <w:rPr>
          <w:rFonts w:ascii="Times New Roman" w:hAnsi="Times New Roman" w:cs="Times New Roman"/>
          <w:sz w:val="24"/>
          <w:szCs w:val="24"/>
        </w:rPr>
        <w:t>The earthquake left the people trapped and injured in several areas in the country.</w:t>
      </w:r>
    </w:p>
    <w:p w14:paraId="307C6B00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021A955" w14:textId="166E8347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3</w:t>
      </w:r>
      <w:r w:rsidRPr="00AE0360">
        <w:rPr>
          <w:rFonts w:ascii="Times New Roman" w:hAnsi="Times New Roman" w:cs="Times New Roman"/>
          <w:sz w:val="24"/>
          <w:szCs w:val="24"/>
        </w:rPr>
        <w:t>: The viewpoint he had proposed yesterday helped us solve the problem she had asked me.</w:t>
      </w:r>
    </w:p>
    <w:p w14:paraId="1669DC8D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3EC950" w14:textId="79004814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4</w:t>
      </w:r>
      <w:r w:rsidRPr="00AE0360">
        <w:rPr>
          <w:rFonts w:ascii="Times New Roman" w:hAnsi="Times New Roman" w:cs="Times New Roman"/>
          <w:sz w:val="24"/>
          <w:szCs w:val="24"/>
        </w:rPr>
        <w:t>: Unable to tell whether someone really objects to behavioral ads or whether they are sticking with Microsoft’s default, some may ignore a DNT signal.</w:t>
      </w:r>
    </w:p>
    <w:p w14:paraId="61BDF5D3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F8C91EB" w14:textId="570B086E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5</w:t>
      </w:r>
      <w:r w:rsidRPr="00AE0360">
        <w:rPr>
          <w:rFonts w:ascii="Times New Roman" w:hAnsi="Times New Roman" w:cs="Times New Roman"/>
          <w:sz w:val="24"/>
          <w:szCs w:val="24"/>
        </w:rPr>
        <w:t>: We have identified enough of the long-term patterns shaping the history of the planet to make evidence-based forecasts about the situations in which our descendants will find themselves.</w:t>
      </w:r>
    </w:p>
    <w:p w14:paraId="5EC6BE49" w14:textId="77777777" w:rsidR="00903E11" w:rsidRPr="00AE0360" w:rsidRDefault="00903E11" w:rsidP="00AE0360">
      <w:pPr>
        <w:pStyle w:val="1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97ECF2A" w14:textId="041602BA" w:rsidR="00903E11" w:rsidRPr="00AE0360" w:rsidRDefault="00903E11" w:rsidP="00AE036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6</w:t>
      </w:r>
      <w:r w:rsidRPr="00AE0360">
        <w:rPr>
          <w:rFonts w:ascii="Times New Roman" w:hAnsi="Times New Roman" w:cs="Times New Roman"/>
          <w:sz w:val="24"/>
          <w:szCs w:val="24"/>
        </w:rPr>
        <w:t>: To filter out what is unique from what is shared might enable us to understand how complex cultural behavior arose and what guides it in evolutionary or cognitive terms.</w:t>
      </w:r>
    </w:p>
    <w:p w14:paraId="60DE2D29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102FEA2" w14:textId="0567DFC4" w:rsidR="00903E11" w:rsidRPr="00AE0360" w:rsidRDefault="00903E11" w:rsidP="00AE036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7</w:t>
      </w:r>
      <w:r w:rsidRPr="00AE0360">
        <w:rPr>
          <w:rFonts w:ascii="Times New Roman" w:hAnsi="Times New Roman" w:cs="Times New Roman"/>
          <w:sz w:val="24"/>
          <w:szCs w:val="24"/>
        </w:rPr>
        <w:t xml:space="preserve">: pron. asked to v. adj. adj. n. failed adv. prep. adj. n. </w:t>
      </w:r>
    </w:p>
    <w:p w14:paraId="6AEF4412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Hlk128423502"/>
    </w:p>
    <w:p w14:paraId="781361B8" w14:textId="4DC8A03F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8</w:t>
      </w:r>
      <w:r w:rsidRPr="00AE0360">
        <w:rPr>
          <w:rFonts w:ascii="Times New Roman" w:hAnsi="Times New Roman" w:cs="Times New Roman"/>
          <w:sz w:val="24"/>
          <w:szCs w:val="24"/>
        </w:rPr>
        <w:t xml:space="preserve">: </w:t>
      </w:r>
      <w:r w:rsidRPr="00AE0360">
        <w:rPr>
          <w:rFonts w:ascii="Times New Roman" w:hAnsi="Times New Roman" w:cs="Times New Roman"/>
          <w:kern w:val="0"/>
          <w:sz w:val="24"/>
          <w:szCs w:val="24"/>
        </w:rPr>
        <w:t>adj. n. left adj. n. attacked conj. hurt prep. adj. n. prep. adj. n.</w:t>
      </w:r>
    </w:p>
    <w:p w14:paraId="1A98CCE7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2F97389" w14:textId="73067285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9</w:t>
      </w:r>
      <w:r w:rsidRPr="00AE0360">
        <w:rPr>
          <w:rFonts w:ascii="Times New Roman" w:hAnsi="Times New Roman" w:cs="Times New Roman"/>
          <w:sz w:val="24"/>
          <w:szCs w:val="24"/>
        </w:rPr>
        <w:t>: adj. n. pron. had suggested adv. made pron. understand adj. n. pron. had told pron.</w:t>
      </w:r>
      <w:bookmarkEnd w:id="0"/>
    </w:p>
    <w:p w14:paraId="66D242C2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B57ED36" w14:textId="627E8FC4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10</w:t>
      </w:r>
      <w:r w:rsidRPr="00AE0360">
        <w:rPr>
          <w:rFonts w:ascii="Times New Roman" w:hAnsi="Times New Roman" w:cs="Times New Roman"/>
          <w:sz w:val="24"/>
          <w:szCs w:val="24"/>
        </w:rPr>
        <w:t xml:space="preserve">: adj. to know whether pron. adv. objects prep. adj. n. conj. whether they </w:t>
      </w:r>
      <w:r w:rsidRPr="00AE0360">
        <w:rPr>
          <w:rFonts w:ascii="Times New Roman" w:hAnsi="Times New Roman" w:cs="Times New Roman"/>
          <w:sz w:val="24"/>
          <w:szCs w:val="24"/>
        </w:rPr>
        <w:lastRenderedPageBreak/>
        <w:t>are sticking prep. adj. n., pron. might neglect adj. adj. n.</w:t>
      </w:r>
    </w:p>
    <w:p w14:paraId="6733F733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F9F3D69" w14:textId="79F36A70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>Sentence</w:t>
      </w:r>
      <w:r w:rsidRPr="00AE0360">
        <w:rPr>
          <w:rFonts w:ascii="Times New Roman" w:hAnsi="Times New Roman" w:cs="Times New Roman"/>
          <w:sz w:val="24"/>
          <w:szCs w:val="24"/>
        </w:rPr>
        <w:t xml:space="preserve"> 11</w:t>
      </w:r>
      <w:r w:rsidRPr="00AE0360">
        <w:rPr>
          <w:rFonts w:ascii="Times New Roman" w:hAnsi="Times New Roman" w:cs="Times New Roman"/>
          <w:sz w:val="24"/>
          <w:szCs w:val="24"/>
        </w:rPr>
        <w:t>: pron. have found adj. prep. adj. adj. n. forming adj. n. prep. adj. n. to build adj. n. prep. adj. n. prep. which adj. n. will see pron.</w:t>
      </w:r>
    </w:p>
    <w:p w14:paraId="2B03D5D7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D2F53C6" w14:textId="15647A2F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AE0360">
        <w:rPr>
          <w:rFonts w:ascii="Times New Roman" w:hAnsi="Times New Roman" w:cs="Times New Roman"/>
          <w:sz w:val="24"/>
          <w:szCs w:val="24"/>
        </w:rPr>
        <w:t>12</w:t>
      </w:r>
      <w:r w:rsidRPr="00AE0360">
        <w:rPr>
          <w:rFonts w:ascii="Times New Roman" w:hAnsi="Times New Roman" w:cs="Times New Roman"/>
          <w:sz w:val="24"/>
          <w:szCs w:val="24"/>
        </w:rPr>
        <w:t xml:space="preserve">: To v. adv. who is adj. prep. who is adj. can </w:t>
      </w:r>
      <w:r w:rsidRPr="00AE0360">
        <w:rPr>
          <w:rFonts w:ascii="Times New Roman" w:hAnsi="Times New Roman" w:cs="Times New Roman"/>
          <w:kern w:val="0"/>
          <w:sz w:val="24"/>
          <w:szCs w:val="24"/>
        </w:rPr>
        <w:t xml:space="preserve">cause </w:t>
      </w:r>
      <w:r w:rsidRPr="00AE0360">
        <w:rPr>
          <w:rFonts w:ascii="Times New Roman" w:hAnsi="Times New Roman" w:cs="Times New Roman"/>
          <w:sz w:val="24"/>
          <w:szCs w:val="24"/>
        </w:rPr>
        <w:t xml:space="preserve">pron. to v. how adj. adj. </w:t>
      </w:r>
      <w:r w:rsidRPr="00AE0360">
        <w:rPr>
          <w:rFonts w:ascii="Times New Roman" w:hAnsi="Times New Roman" w:cs="Times New Roman"/>
          <w:kern w:val="0"/>
          <w:sz w:val="24"/>
          <w:szCs w:val="24"/>
        </w:rPr>
        <w:t xml:space="preserve">n. appears and which leads n. prep. adj. conj. adj. n. </w:t>
      </w:r>
    </w:p>
    <w:p w14:paraId="79F35F45" w14:textId="77777777" w:rsidR="007A2DB3" w:rsidRPr="00AE0360" w:rsidRDefault="007A2DB3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6707B" w14:textId="77777777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>Unrelated Sentence 1: Although prep. adj. changes that v. n. n. informed n. prep. adj. changes adj. n. needed adv. needed adv. adj. informed n. (unrelated questions)</w:t>
      </w:r>
    </w:p>
    <w:p w14:paraId="2AA610A7" w14:textId="77777777" w:rsidR="00903E11" w:rsidRPr="00AE0360" w:rsidRDefault="00903E11" w:rsidP="00AE036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bookmarkStart w:id="1" w:name="_Hlk128436453"/>
    </w:p>
    <w:p w14:paraId="3FD994B5" w14:textId="77777777" w:rsidR="00903E11" w:rsidRPr="00AE0360" w:rsidRDefault="00903E11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>Unrelated Sentence 2: adj n. n. v. adv. adv. v. pron. v. adj. n. (unrelated questions)</w:t>
      </w:r>
    </w:p>
    <w:bookmarkEnd w:id="1"/>
    <w:p w14:paraId="192ACCE2" w14:textId="77777777" w:rsidR="00903E11" w:rsidRPr="00AE0360" w:rsidRDefault="00903E11" w:rsidP="00AE0360">
      <w:pPr>
        <w:pStyle w:val="1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B9614C" w14:textId="6574AFAF" w:rsidR="00903E11" w:rsidRDefault="00F24F72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360">
        <w:rPr>
          <w:rFonts w:ascii="Times New Roman" w:hAnsi="Times New Roman" w:cs="Times New Roman"/>
          <w:sz w:val="24"/>
          <w:szCs w:val="24"/>
        </w:rPr>
        <w:t>Stimuli:</w:t>
      </w:r>
    </w:p>
    <w:p w14:paraId="55E038B6" w14:textId="77777777" w:rsidR="000F2586" w:rsidRPr="00AE0360" w:rsidRDefault="000F2586" w:rsidP="00AE0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5C71E" w14:textId="77777777" w:rsidR="009D15B9" w:rsidRDefault="00AE0360" w:rsidP="00AE0360">
      <w:pPr>
        <w:snapToGrid w:val="0"/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In the empirical experiment, three types of stimuli were presented to identify the main verbs within sentences: syntactic stimuli, semantic stimuli, and obvious syntactic clue stimuli. </w:t>
      </w:r>
    </w:p>
    <w:p w14:paraId="0DCEBD06" w14:textId="77777777" w:rsidR="009D15B9" w:rsidRDefault="009D15B9" w:rsidP="00AE0360">
      <w:pPr>
        <w:snapToGrid w:val="0"/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397DD28A" w14:textId="77777777" w:rsidR="009D15B9" w:rsidRDefault="00AE0360" w:rsidP="002203F6">
      <w:pPr>
        <w:snapToGrid w:val="0"/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Syntactic stimuli were associated with the part of speech, which could be derived from either the words presented in the sentences (e.g., “muscles”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“exercise”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funny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cartoons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those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) or explicitly provided part-of-speech labels (e.g., “adj.”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adv.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n.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v.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242EB8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prep.</w:t>
      </w:r>
      <w:r w:rsidR="00242EB8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). </w:t>
      </w:r>
    </w:p>
    <w:p w14:paraId="717F637E" w14:textId="77777777" w:rsidR="009D15B9" w:rsidRDefault="009D15B9" w:rsidP="009D15B9">
      <w:pPr>
        <w:snapToGrid w:val="0"/>
        <w:spacing w:line="360" w:lineRule="auto"/>
        <w:ind w:firstLine="4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247223D3" w14:textId="77777777" w:rsidR="009D15B9" w:rsidRDefault="00AE0360" w:rsidP="002203F6">
      <w:pPr>
        <w:snapToGrid w:val="0"/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Semantic stimuli pertained to the lexical meaning, which could be gleaned from the words presented in the sentences. </w:t>
      </w:r>
    </w:p>
    <w:p w14:paraId="33AB2A36" w14:textId="77777777" w:rsidR="009D15B9" w:rsidRDefault="009D15B9" w:rsidP="009D15B9">
      <w:pPr>
        <w:snapToGrid w:val="0"/>
        <w:spacing w:line="360" w:lineRule="auto"/>
        <w:ind w:firstLine="4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8E0968C" w14:textId="11674118" w:rsidR="00AE0360" w:rsidRPr="002203F6" w:rsidRDefault="00AE0360" w:rsidP="002203F6">
      <w:pPr>
        <w:snapToGrid w:val="0"/>
        <w:spacing w:line="360" w:lineRule="auto"/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</w:pP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Obvious syntactic clue stimuli encompassed indicators explicitly facilitating the identification of the main verb, such as subordinate clause markers like “because”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if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“although”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since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while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that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what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when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where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how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why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who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which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 xml:space="preserve">, 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“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whether</w:t>
      </w:r>
      <w:r w:rsidR="000F258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”</w:t>
      </w:r>
      <w:r w:rsidR="000F2586">
        <w:rPr>
          <w:rFonts w:ascii="Times New Roman" w:hAnsi="Times New Roman" w:cs="Times New Roman" w:hint="eastAsia"/>
          <w:color w:val="374151"/>
          <w:sz w:val="24"/>
          <w:szCs w:val="24"/>
          <w:shd w:val="clear" w:color="auto" w:fill="F7F7F8"/>
        </w:rPr>
        <w:t>, etc.,</w:t>
      </w:r>
      <w:r w:rsidRPr="00AE0360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and verb forms like “to do” and “doing”.</w:t>
      </w:r>
    </w:p>
    <w:sectPr w:rsidR="00AE0360" w:rsidRPr="0022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42570" w14:textId="77777777" w:rsidR="00D823F5" w:rsidRDefault="00D823F5" w:rsidP="00903E11">
      <w:r>
        <w:separator/>
      </w:r>
    </w:p>
  </w:endnote>
  <w:endnote w:type="continuationSeparator" w:id="0">
    <w:p w14:paraId="49C8DAB7" w14:textId="77777777" w:rsidR="00D823F5" w:rsidRDefault="00D823F5" w:rsidP="0090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88B75" w14:textId="77777777" w:rsidR="00D823F5" w:rsidRDefault="00D823F5" w:rsidP="00903E11">
      <w:r>
        <w:separator/>
      </w:r>
    </w:p>
  </w:footnote>
  <w:footnote w:type="continuationSeparator" w:id="0">
    <w:p w14:paraId="52FC2416" w14:textId="77777777" w:rsidR="00D823F5" w:rsidRDefault="00D823F5" w:rsidP="0090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0033B"/>
    <w:multiLevelType w:val="multilevel"/>
    <w:tmpl w:val="418003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17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2"/>
    <w:rsid w:val="000A758C"/>
    <w:rsid w:val="000C5038"/>
    <w:rsid w:val="000F2586"/>
    <w:rsid w:val="002203F6"/>
    <w:rsid w:val="00242EB8"/>
    <w:rsid w:val="00271457"/>
    <w:rsid w:val="00374EF4"/>
    <w:rsid w:val="00384BD5"/>
    <w:rsid w:val="003A0F2D"/>
    <w:rsid w:val="00557765"/>
    <w:rsid w:val="005D441B"/>
    <w:rsid w:val="00697C7D"/>
    <w:rsid w:val="00725E7F"/>
    <w:rsid w:val="007A2DB3"/>
    <w:rsid w:val="0082537B"/>
    <w:rsid w:val="00851AFA"/>
    <w:rsid w:val="00865E14"/>
    <w:rsid w:val="00894005"/>
    <w:rsid w:val="00903E11"/>
    <w:rsid w:val="009A3402"/>
    <w:rsid w:val="009D15B9"/>
    <w:rsid w:val="00A35031"/>
    <w:rsid w:val="00AE0360"/>
    <w:rsid w:val="00BF292F"/>
    <w:rsid w:val="00CA619F"/>
    <w:rsid w:val="00CC0AA8"/>
    <w:rsid w:val="00D823F5"/>
    <w:rsid w:val="00E27155"/>
    <w:rsid w:val="00E45580"/>
    <w:rsid w:val="00F2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83B8A"/>
  <w15:chartTrackingRefBased/>
  <w15:docId w15:val="{71D24EB7-AD47-4CA8-A086-0859C544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E11"/>
    <w:rPr>
      <w:sz w:val="18"/>
      <w:szCs w:val="18"/>
    </w:rPr>
  </w:style>
  <w:style w:type="paragraph" w:styleId="a7">
    <w:name w:val="List Paragraph"/>
    <w:basedOn w:val="a"/>
    <w:uiPriority w:val="34"/>
    <w:qFormat/>
    <w:rsid w:val="00903E11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903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pengpeng20042004@aliyun.com</dc:creator>
  <cp:keywords/>
  <dc:description/>
  <cp:lastModifiedBy>pengpeng20042004@aliyun.com</cp:lastModifiedBy>
  <cp:revision>7</cp:revision>
  <dcterms:created xsi:type="dcterms:W3CDTF">2024-05-02T02:43:00Z</dcterms:created>
  <dcterms:modified xsi:type="dcterms:W3CDTF">2024-05-02T03:02:00Z</dcterms:modified>
</cp:coreProperties>
</file>