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rFonts w:ascii="Arial Unicode MS" w:hAnsi="Arial Unicode MS" w:eastAsia="Arial Unicode MS"/>
          <w:b/>
          <w:color w:val="000000"/>
          <w:sz w:val="48"/>
        </w:rPr>
        <w:t>磁探测专利技术续研交接要点</w:t>
      </w:r>
    </w:p>
    <w:p>
      <w:pPr>
        <w:spacing w:after="600"/>
        <w:jc w:val="center"/>
      </w:pPr>
      <w:r>
        <w:rPr>
          <w:rFonts w:ascii="Arial Unicode MS" w:hAnsi="Arial Unicode MS" w:eastAsia="Arial Unicode MS"/>
          <w:color w:val="595959"/>
          <w:sz w:val="26"/>
        </w:rPr>
        <w:t>跨账号继续研究与专利代理审核准备</w:t>
      </w:r>
    </w:p>
    <w:tbl>
      <w:tblPr>
        <w:tblW w:type="auto" w:w="0"/>
        <w:jc w:val="center"/>
        <w:tblLayout w:type="fixed"/>
        <w:tblLook w:firstColumn="1" w:firstRow="1" w:lastColumn="0" w:lastRow="0" w:noHBand="0" w:noVBand="1" w:val="04A0"/>
      </w:tblPr>
      <w:tblGrid>
        <w:gridCol w:w="4997"/>
        <w:gridCol w:w="4997"/>
      </w:tblGrid>
      <w:tr>
        <w:tc>
          <w:tcPr>
            <w:tcW w:type="dxa" w:w="1800"/>
            <w:tcMar>
              <w:top w:w="110" w:type="dxa"/>
              <w:start w:w="110" w:type="dxa"/>
              <w:bottom w:w="110" w:type="dxa"/>
              <w:end w:w="110" w:type="dxa"/>
            </w:tcMar>
            <w:vAlign w:val="center"/>
            <w:shd w:fill="D9EAF7"/>
          </w:tcPr>
          <w:p>
            <w:r>
              <w:rPr>
                <w:rFonts w:ascii="Arial Unicode MS" w:hAnsi="Arial Unicode MS" w:eastAsia="Arial Unicode MS"/>
                <w:b/>
                <w:color w:val="17365D"/>
                <w:sz w:val="19"/>
              </w:rPr>
              <w:t>专利主题</w:t>
            </w:r>
          </w:p>
        </w:tc>
        <w:tc>
          <w:tcPr>
            <w:tcW w:type="dxa" w:w="7848"/>
            <w:tcMar>
              <w:top w:w="110" w:type="dxa"/>
              <w:start w:w="110" w:type="dxa"/>
              <w:bottom w:w="110" w:type="dxa"/>
              <w:end w:w="110" w:type="dxa"/>
            </w:tcMar>
            <w:vAlign w:val="center"/>
          </w:tcPr>
          <w:p>
            <w:r>
              <w:rPr>
                <w:rFonts w:ascii="Arial Unicode MS" w:hAnsi="Arial Unicode MS" w:eastAsia="Arial Unicode MS"/>
                <w:sz w:val="19"/>
              </w:rPr>
              <w:t>自主水下磁探测的源感知式目标保护型测前自磁场—梯度联合补偿</w:t>
            </w:r>
          </w:p>
        </w:tc>
      </w:tr>
      <w:tr>
        <w:tc>
          <w:tcPr>
            <w:tcW w:type="dxa" w:w="1800"/>
            <w:tcMar>
              <w:top w:w="110" w:type="dxa"/>
              <w:start w:w="110" w:type="dxa"/>
              <w:bottom w:w="110" w:type="dxa"/>
              <w:end w:w="110" w:type="dxa"/>
            </w:tcMar>
            <w:vAlign w:val="center"/>
            <w:shd w:fill="D9EAF7"/>
          </w:tcPr>
          <w:p>
            <w:r>
              <w:rPr>
                <w:rFonts w:ascii="Arial Unicode MS" w:hAnsi="Arial Unicode MS" w:eastAsia="Arial Unicode MS"/>
                <w:b/>
                <w:color w:val="17365D"/>
                <w:sz w:val="19"/>
              </w:rPr>
              <w:t>来源会话</w:t>
            </w:r>
          </w:p>
        </w:tc>
        <w:tc>
          <w:tcPr>
            <w:tcW w:type="dxa" w:w="7848"/>
            <w:tcMar>
              <w:top w:w="110" w:type="dxa"/>
              <w:start w:w="110" w:type="dxa"/>
              <w:bottom w:w="110" w:type="dxa"/>
              <w:end w:w="110" w:type="dxa"/>
            </w:tcMar>
            <w:vAlign w:val="center"/>
          </w:tcPr>
          <w:p>
            <w:r>
              <w:rPr>
                <w:rFonts w:ascii="Arial Unicode MS" w:hAnsi="Arial Unicode MS" w:eastAsia="Arial Unicode MS"/>
                <w:sz w:val="19"/>
              </w:rPr>
              <w:t>磁力仪硬件开发</w:t>
            </w:r>
          </w:p>
        </w:tc>
      </w:tr>
      <w:tr>
        <w:tc>
          <w:tcPr>
            <w:tcW w:type="dxa" w:w="1800"/>
            <w:tcMar>
              <w:top w:w="110" w:type="dxa"/>
              <w:start w:w="110" w:type="dxa"/>
              <w:bottom w:w="110" w:type="dxa"/>
              <w:end w:w="110" w:type="dxa"/>
            </w:tcMar>
            <w:vAlign w:val="center"/>
            <w:shd w:fill="D9EAF7"/>
          </w:tcPr>
          <w:p>
            <w:r>
              <w:rPr>
                <w:rFonts w:ascii="Arial Unicode MS" w:hAnsi="Arial Unicode MS" w:eastAsia="Arial Unicode MS"/>
                <w:b/>
                <w:color w:val="17365D"/>
                <w:sz w:val="19"/>
              </w:rPr>
              <w:t>会话标识</w:t>
            </w:r>
          </w:p>
        </w:tc>
        <w:tc>
          <w:tcPr>
            <w:tcW w:type="dxa" w:w="7848"/>
            <w:tcMar>
              <w:top w:w="110" w:type="dxa"/>
              <w:start w:w="110" w:type="dxa"/>
              <w:bottom w:w="110" w:type="dxa"/>
              <w:end w:w="110" w:type="dxa"/>
            </w:tcMar>
            <w:vAlign w:val="center"/>
          </w:tcPr>
          <w:p>
            <w:r>
              <w:rPr>
                <w:rFonts w:ascii="Arial Unicode MS" w:hAnsi="Arial Unicode MS" w:eastAsia="Arial Unicode MS"/>
                <w:sz w:val="19"/>
              </w:rPr>
              <w:t>6a50ab75-c96c-83ea-a80c-1acd7d89f25d</w:t>
            </w:r>
          </w:p>
        </w:tc>
      </w:tr>
      <w:tr>
        <w:tc>
          <w:tcPr>
            <w:tcW w:type="dxa" w:w="1800"/>
            <w:tcMar>
              <w:top w:w="110" w:type="dxa"/>
              <w:start w:w="110" w:type="dxa"/>
              <w:bottom w:w="110" w:type="dxa"/>
              <w:end w:w="110" w:type="dxa"/>
            </w:tcMar>
            <w:vAlign w:val="center"/>
            <w:shd w:fill="D9EAF7"/>
          </w:tcPr>
          <w:p>
            <w:r>
              <w:rPr>
                <w:rFonts w:ascii="Arial Unicode MS" w:hAnsi="Arial Unicode MS" w:eastAsia="Arial Unicode MS"/>
                <w:b/>
                <w:color w:val="17365D"/>
                <w:sz w:val="19"/>
              </w:rPr>
              <w:t>配套手稿</w:t>
            </w:r>
          </w:p>
        </w:tc>
        <w:tc>
          <w:tcPr>
            <w:tcW w:type="dxa" w:w="7848"/>
            <w:tcMar>
              <w:top w:w="110" w:type="dxa"/>
              <w:start w:w="110" w:type="dxa"/>
              <w:bottom w:w="110" w:type="dxa"/>
              <w:end w:w="110" w:type="dxa"/>
            </w:tcMar>
            <w:vAlign w:val="center"/>
          </w:tcPr>
          <w:p>
            <w:r>
              <w:rPr>
                <w:rFonts w:ascii="Arial Unicode MS" w:hAnsi="Arial Unicode MS" w:eastAsia="Arial Unicode MS"/>
                <w:sz w:val="19"/>
              </w:rPr>
              <w:t>完整发明专利申请手稿_审校版.docx</w:t>
            </w:r>
          </w:p>
        </w:tc>
      </w:tr>
      <w:tr>
        <w:tc>
          <w:tcPr>
            <w:tcW w:type="dxa" w:w="1800"/>
            <w:tcMar>
              <w:top w:w="110" w:type="dxa"/>
              <w:start w:w="110" w:type="dxa"/>
              <w:bottom w:w="110" w:type="dxa"/>
              <w:end w:w="110" w:type="dxa"/>
            </w:tcMar>
            <w:vAlign w:val="center"/>
            <w:shd w:fill="D9EAF7"/>
          </w:tcPr>
          <w:p>
            <w:r>
              <w:rPr>
                <w:rFonts w:ascii="Arial Unicode MS" w:hAnsi="Arial Unicode MS" w:eastAsia="Arial Unicode MS"/>
                <w:b/>
                <w:color w:val="17365D"/>
                <w:sz w:val="19"/>
              </w:rPr>
              <w:t>整理日期</w:t>
            </w:r>
          </w:p>
        </w:tc>
        <w:tc>
          <w:tcPr>
            <w:tcW w:type="dxa" w:w="7848"/>
            <w:tcMar>
              <w:top w:w="110" w:type="dxa"/>
              <w:start w:w="110" w:type="dxa"/>
              <w:bottom w:w="110" w:type="dxa"/>
              <w:end w:w="110" w:type="dxa"/>
            </w:tcMar>
            <w:vAlign w:val="center"/>
          </w:tcPr>
          <w:p>
            <w:r>
              <w:rPr>
                <w:rFonts w:ascii="Arial Unicode MS" w:hAnsi="Arial Unicode MS" w:eastAsia="Arial Unicode MS"/>
                <w:sz w:val="19"/>
              </w:rPr>
              <w:t>2026年9月21日</w:t>
            </w:r>
          </w:p>
        </w:tc>
      </w:tr>
    </w:tbl>
    <w:p>
      <w:pPr>
        <w:spacing w:before="720"/>
        <w:jc w:val="center"/>
      </w:pPr>
      <w:r>
        <w:rPr>
          <w:rFonts w:ascii="Arial Unicode MS" w:hAnsi="Arial Unicode MS" w:eastAsia="Arial Unicode MS"/>
          <w:color w:val="595959"/>
          <w:sz w:val="19"/>
        </w:rPr>
        <w:t>本文件用于减少新会话中的重复检索、重复判断和技术路线漂移，不替代专利代理人的法律意见。</w:t>
      </w:r>
    </w:p>
    <w:p>
      <w:r>
        <w:br w:type="page"/>
      </w:r>
    </w:p>
    <w:p>
      <w:pPr>
        <w:pStyle w:val="Heading1"/>
        <w:keepNext w:val="true"/>
      </w:pPr>
      <w:r>
        <w:t>一  使用说明</w:t>
      </w:r>
    </w:p>
    <w:p>
      <w:r>
        <w:rPr>
          <w:rFonts w:ascii="Arial Unicode MS" w:hAnsi="Arial Unicode MS" w:eastAsia="Arial Unicode MS"/>
        </w:rPr>
        <w:t>本文件是一份可随专利手稿一并上传到其他账号或新会话的连续性资料。其目标不是重新撰写申请文件，而是让接续研究者快速了解已经形成的技术边界、检索判断、权利要求布局和验证路线。</w:t>
      </w:r>
    </w:p>
    <w:p>
      <w:pPr>
        <w:pStyle w:val="Heading2"/>
        <w:keepNext w:val="true"/>
      </w:pPr>
      <w:r>
        <w:t>建议上传顺序</w:t>
      </w:r>
    </w:p>
    <w:p>
      <w:pPr>
        <w:ind w:left="346" w:hanging="346"/>
      </w:pPr>
      <w:r>
        <w:rPr>
          <w:rFonts w:ascii="Arial Unicode MS" w:hAnsi="Arial Unicode MS" w:eastAsia="Arial Unicode MS"/>
          <w:b/>
          <w:color w:val="2F5597"/>
        </w:rPr>
        <w:t xml:space="preserve">1. </w:t>
      </w:r>
      <w:r>
        <w:rPr>
          <w:rFonts w:ascii="Arial Unicode MS" w:hAnsi="Arial Unicode MS" w:eastAsia="Arial Unicode MS"/>
        </w:rPr>
        <w:t>先上传本文件，使新会话掌握已确定的结论和禁止重复的工作。</w:t>
      </w:r>
    </w:p>
    <w:p>
      <w:pPr>
        <w:ind w:left="346" w:hanging="346"/>
      </w:pPr>
      <w:r>
        <w:rPr>
          <w:rFonts w:ascii="Arial Unicode MS" w:hAnsi="Arial Unicode MS" w:eastAsia="Arial Unicode MS"/>
          <w:b/>
          <w:color w:val="2F5597"/>
        </w:rPr>
        <w:t xml:space="preserve">2. </w:t>
      </w:r>
      <w:r>
        <w:rPr>
          <w:rFonts w:ascii="Arial Unicode MS" w:hAnsi="Arial Unicode MS" w:eastAsia="Arial Unicode MS"/>
        </w:rPr>
        <w:t>再上传《完整发明专利申请手稿_审校版.docx》，以其为当前唯一正文基线。</w:t>
      </w:r>
    </w:p>
    <w:p>
      <w:pPr>
        <w:ind w:left="346" w:hanging="346"/>
      </w:pPr>
      <w:r>
        <w:rPr>
          <w:rFonts w:ascii="Arial Unicode MS" w:hAnsi="Arial Unicode MS" w:eastAsia="Arial Unicode MS"/>
          <w:b/>
          <w:color w:val="2F5597"/>
        </w:rPr>
        <w:t xml:space="preserve">3. </w:t>
      </w:r>
      <w:r>
        <w:rPr>
          <w:rFonts w:ascii="Arial Unicode MS" w:hAnsi="Arial Unicode MS" w:eastAsia="Arial Unicode MS"/>
        </w:rPr>
        <w:t>如需深入核对硬件，再补充综合水下磁探测系统硬件方案、原理图或实验数据。</w:t>
      </w:r>
    </w:p>
    <w:p>
      <w:pPr>
        <w:ind w:left="346" w:hanging="346"/>
      </w:pPr>
      <w:r>
        <w:rPr>
          <w:rFonts w:ascii="Arial Unicode MS" w:hAnsi="Arial Unicode MS" w:eastAsia="Arial Unicode MS"/>
          <w:b/>
          <w:color w:val="2F5597"/>
        </w:rPr>
        <w:t xml:space="preserve">4. </w:t>
      </w:r>
      <w:r>
        <w:rPr>
          <w:rFonts w:ascii="Arial Unicode MS" w:hAnsi="Arial Unicode MS" w:eastAsia="Arial Unicode MS"/>
        </w:rPr>
        <w:t>涉及新颖性、创造性、权利要求范围或法律状态时，只做针对性核查，并由代理人结合官方数据库确认。</w:t>
      </w:r>
    </w:p>
    <w:p>
      <w:pPr>
        <w:pStyle w:val="Heading2"/>
        <w:keepNext w:val="true"/>
      </w:pPr>
      <w:r>
        <w:t>信息状态的含义</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8"/>
              </w:rPr>
              <w:t>状态</w:t>
            </w:r>
          </w:p>
        </w:tc>
        <w:tc>
          <w:tcPr>
            <w:tcW w:type="dxa" w:w="3816"/>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8"/>
              </w:rPr>
              <w:t>含义</w:t>
            </w:r>
          </w:p>
        </w:tc>
        <w:tc>
          <w:tcPr>
            <w:tcW w:type="dxa" w:w="511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8"/>
              </w:rPr>
              <w:t>在新会话中的处理方式</w:t>
            </w:r>
          </w:p>
        </w:tc>
      </w:tr>
      <w:tr>
        <w:trPr>
          <w:cantSplit/>
        </w:trPr>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8"/>
              </w:rPr>
              <w:t>已形成结论</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8"/>
              </w:rPr>
              <w:t>此前讨论中已经稳定、且已写入当前手稿的技术判断</w:t>
            </w:r>
          </w:p>
        </w:tc>
        <w:tc>
          <w:tcPr>
            <w:tcW w:type="dxa" w:w="5112"/>
            <w:tcMar>
              <w:top w:w="90" w:type="dxa"/>
              <w:start w:w="110" w:type="dxa"/>
              <w:bottom w:w="90" w:type="dxa"/>
              <w:end w:w="110" w:type="dxa"/>
            </w:tcMar>
            <w:vAlign w:val="top"/>
          </w:tcPr>
          <w:p>
            <w:pPr>
              <w:spacing w:after="0" w:line="259" w:lineRule="auto"/>
            </w:pPr>
            <w:r>
              <w:rPr>
                <w:rFonts w:ascii="Arial Unicode MS" w:hAnsi="Arial Unicode MS" w:eastAsia="Arial Unicode MS"/>
                <w:sz w:val="18"/>
              </w:rPr>
              <w:t>除非出现新的实验证据或更接近的现有技术，否则直接沿用</w:t>
            </w:r>
          </w:p>
        </w:tc>
      </w:tr>
      <w:tr>
        <w:trPr>
          <w:cantSplit/>
        </w:trPr>
        <w:tc>
          <w:tcPr>
            <w:tcW w:type="dxa" w:w="151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工作假设</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符合物理与工程逻辑，但仍需样机或数据验证</w:t>
            </w:r>
          </w:p>
        </w:tc>
        <w:tc>
          <w:tcPr>
            <w:tcW w:type="dxa" w:w="511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转化为实验任务和验收指标，不作为既成事实表述</w:t>
            </w:r>
          </w:p>
        </w:tc>
      </w:tr>
      <w:tr>
        <w:trPr>
          <w:cantSplit/>
        </w:trPr>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8"/>
              </w:rPr>
              <w:t>需法律复核</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8"/>
              </w:rPr>
              <w:t>此前检索已识别相关专利，但精确权利要求范围、法律状态或同族关系未最终确认</w:t>
            </w:r>
          </w:p>
        </w:tc>
        <w:tc>
          <w:tcPr>
            <w:tcW w:type="dxa" w:w="5112"/>
            <w:tcMar>
              <w:top w:w="90" w:type="dxa"/>
              <w:start w:w="110" w:type="dxa"/>
              <w:bottom w:w="90" w:type="dxa"/>
              <w:end w:w="110" w:type="dxa"/>
            </w:tcMar>
            <w:vAlign w:val="top"/>
          </w:tcPr>
          <w:p>
            <w:pPr>
              <w:spacing w:after="0" w:line="259" w:lineRule="auto"/>
            </w:pPr>
            <w:r>
              <w:rPr>
                <w:rFonts w:ascii="Arial Unicode MS" w:hAnsi="Arial Unicode MS" w:eastAsia="Arial Unicode MS"/>
                <w:sz w:val="18"/>
              </w:rPr>
              <w:t>由代理人或官方数据库进行定点复核，不重新做宽泛检索</w:t>
            </w:r>
          </w:p>
        </w:tc>
      </w:tr>
    </w:tbl>
    <w:p>
      <w:pPr>
        <w:spacing w:after="0"/>
      </w:pPr>
    </w:p>
    <w:p>
      <w:r>
        <w:rPr>
          <w:rFonts w:ascii="Arial Unicode MS" w:hAnsi="Arial Unicode MS" w:eastAsia="Arial Unicode MS"/>
        </w:rPr>
        <w:t>注意：旧会话包含 ESP32 开发环境、烧录与工具链等非专利主题。本文件已将这些内容排除，仅保留与发明构思、硬件接口、标定、验证和申请文件直接相关的信息。</w:t>
      </w:r>
    </w:p>
    <w:p>
      <w:pPr>
        <w:pStyle w:val="Heading1"/>
        <w:keepNext w:val="true"/>
      </w:pPr>
      <w:r>
        <w:t>二  当前结论</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13"/>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主题</w:t>
            </w:r>
          </w:p>
        </w:tc>
        <w:tc>
          <w:tcPr>
            <w:tcW w:type="dxa" w:w="7344"/>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已形成结论</w:t>
            </w:r>
          </w:p>
        </w:tc>
        <w:tc>
          <w:tcPr>
            <w:tcW w:type="dxa" w:w="151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状态</w:t>
            </w:r>
          </w:p>
        </w:tc>
      </w:tr>
      <w:tr>
        <w:trPr>
          <w:cantSplit/>
        </w:trPr>
        <w:tc>
          <w:tcPr>
            <w:tcW w:type="dxa" w:w="1613"/>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发明名称</w:t>
            </w:r>
          </w:p>
        </w:tc>
        <w:tc>
          <w:tcPr>
            <w:tcW w:type="dxa" w:w="734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一种面向自主水下磁探测的源感知式目标保护型测前自磁场—梯度联合补偿方法及系统</w:t>
            </w:r>
          </w:p>
        </w:tc>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已写入手稿</w:t>
            </w:r>
          </w:p>
        </w:tc>
      </w:tr>
      <w:tr>
        <w:trPr>
          <w:cantSplit/>
        </w:trPr>
        <w:tc>
          <w:tcPr>
            <w:tcW w:type="dxa" w:w="1613"/>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发明核心</w:t>
            </w:r>
          </w:p>
        </w:tc>
        <w:tc>
          <w:tcPr>
            <w:tcW w:type="dxa" w:w="734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依据 AUV 内生磁干扰源状态预测敏感区域的自磁场及梯度，并在原子磁力仪形成有效测量前实施物理补偿</w:t>
            </w:r>
          </w:p>
        </w:tc>
        <w:tc>
          <w:tcPr>
            <w:tcW w:type="dxa" w:w="151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已形成结论</w:t>
            </w:r>
          </w:p>
        </w:tc>
      </w:tr>
      <w:tr>
        <w:trPr>
          <w:cantSplit/>
        </w:trPr>
        <w:tc>
          <w:tcPr>
            <w:tcW w:type="dxa" w:w="1613"/>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控制目标</w:t>
            </w:r>
          </w:p>
        </w:tc>
        <w:tc>
          <w:tcPr>
            <w:tcW w:type="dxa" w:w="734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主补偿不以原子磁力仪测得的外部总场趋零为目标；只抵消载体自场和自梯度</w:t>
            </w:r>
          </w:p>
        </w:tc>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已形成结论</w:t>
            </w:r>
          </w:p>
        </w:tc>
      </w:tr>
      <w:tr>
        <w:trPr>
          <w:cantSplit/>
        </w:trPr>
        <w:tc>
          <w:tcPr>
            <w:tcW w:type="dxa" w:w="1613"/>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目标保护</w:t>
            </w:r>
          </w:p>
        </w:tc>
        <w:tc>
          <w:tcPr>
            <w:tcW w:type="dxa" w:w="734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仅将载体相关残差用于有限反馈和模型更新；外部目标/环境候选分量被保留并输出</w:t>
            </w:r>
          </w:p>
        </w:tc>
        <w:tc>
          <w:tcPr>
            <w:tcW w:type="dxa" w:w="151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已形成结论</w:t>
            </w:r>
          </w:p>
        </w:tc>
      </w:tr>
      <w:tr>
        <w:trPr>
          <w:cantSplit/>
        </w:trPr>
        <w:tc>
          <w:tcPr>
            <w:tcW w:type="dxa" w:w="1613"/>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主动线圈必要性</w:t>
            </w:r>
          </w:p>
        </w:tc>
        <w:tc>
          <w:tcPr>
            <w:tcW w:type="dxa" w:w="734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仅当自场或梯度导致工作点漂移、动态范围占用、展宽、非线性、失锁等不可逆性能损失时才有充分必要性</w:t>
            </w:r>
          </w:p>
        </w:tc>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需实验验证</w:t>
            </w:r>
          </w:p>
        </w:tc>
      </w:tr>
      <w:tr>
        <w:trPr>
          <w:cantSplit/>
        </w:trPr>
        <w:tc>
          <w:tcPr>
            <w:tcW w:type="dxa" w:w="1613"/>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保护重点</w:t>
            </w:r>
          </w:p>
        </w:tc>
        <w:tc>
          <w:tcPr>
            <w:tcW w:type="dxa" w:w="734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保护结构组合与控制目标，不把线圈、AUV 干扰建模、梯度补偿或源电流前馈单独宣称为新颖点</w:t>
            </w:r>
          </w:p>
        </w:tc>
        <w:tc>
          <w:tcPr>
            <w:tcW w:type="dxa" w:w="151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已形成结论</w:t>
            </w:r>
          </w:p>
        </w:tc>
      </w:tr>
      <w:tr>
        <w:trPr>
          <w:cantSplit/>
        </w:trPr>
        <w:tc>
          <w:tcPr>
            <w:tcW w:type="dxa" w:w="1613"/>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当前申请文件</w:t>
            </w:r>
          </w:p>
        </w:tc>
        <w:tc>
          <w:tcPr>
            <w:tcW w:type="dxa" w:w="734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已形成摘要、权利要求1—13、说明书、六个实施例以及图1—5的完整审校版</w:t>
            </w:r>
          </w:p>
        </w:tc>
        <w:tc>
          <w:tcPr>
            <w:tcW w:type="dxa" w:w="151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已完成</w:t>
            </w:r>
          </w:p>
        </w:tc>
      </w:tr>
    </w:tbl>
    <w:p>
      <w:pPr>
        <w:spacing w:after="0"/>
      </w:pPr>
    </w:p>
    <w:p>
      <w:pPr>
        <w:pStyle w:val="Heading2"/>
        <w:keepNext w:val="true"/>
      </w:pPr>
      <w:r>
        <w:t>一句话技术定义</w:t>
      </w:r>
    </w:p>
    <w:p>
      <w:r>
        <w:rPr>
          <w:rFonts w:ascii="Arial Unicode MS" w:hAnsi="Arial Unicode MS" w:eastAsia="Arial Unicode MS"/>
        </w:rPr>
        <w:t>本发明利用推进、电源及其他内生磁源的状态，在测量前预测并抵消原子磁力仪敏感区域内的载体自磁场和空间梯度，同时通过载体相关残差分解与目标保护门控，避免把外部环境场和目标弱磁异常一并消除。</w:t>
      </w:r>
    </w:p>
    <w:p>
      <w:pPr>
        <w:pStyle w:val="Heading2"/>
        <w:keepNext w:val="true"/>
      </w:pPr>
      <w:r>
        <w:t>不可偏离的技术主线</w:t>
      </w:r>
    </w:p>
    <w:p>
      <w:pPr>
        <w:spacing w:before="80" w:after="160"/>
        <w:jc w:val="center"/>
      </w:pPr>
      <w:r>
        <w:rPr>
          <w:rFonts w:ascii="Arial Unicode MS" w:hAnsi="Arial Unicode MS" w:eastAsia="Arial Unicode MS"/>
          <w:b/>
          <w:color w:val="17365D"/>
          <w:sz w:val="19"/>
        </w:rPr>
        <w:t>AUV多源内生状态  →  源—场传递模型  →  局部自场/梯度预测  →  约束驱动求解  →  测前物理补偿  →  残差分解  →  目标保护  →  磁探输出</w:t>
      </w:r>
    </w:p>
    <w:p>
      <w:pPr>
        <w:pStyle w:val="Heading1"/>
        <w:keepNext w:val="true"/>
      </w:pPr>
      <w:r>
        <w:t>三  发明技术边界</w:t>
      </w:r>
    </w:p>
    <w:p>
      <w:pPr>
        <w:pStyle w:val="Heading2"/>
        <w:keepNext w:val="true"/>
      </w:pPr>
      <w:r>
        <w:t>必须同时出现的要素</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对象是搭载原子磁力仪的自主水下航行器，关注载体内部推进、电源、变换器和电子设备等产生的内生磁干扰。</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输入是内生磁源工作状态与载体运动状态，而不是仅用原子磁力仪总场误差形成主控制量。</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模型输出是敏感区域的局部自磁场和一阶空间梯度，可扩展到动态、迟滞、温度和历史依赖。</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补偿动作发生在原子磁力仪形成有效测量之前，目的是保护工作点、动态范围和敏感区域均匀性。</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残差通道必须区分载体相关分量与外部候选分量；只有前者进入有限反馈或模型更新。</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检测到目标候选时，保持源感知前馈，降低或停止残差反馈，并冻结或限制在线模型更新。</w:t>
      </w:r>
    </w:p>
    <w:p>
      <w:pPr>
        <w:pStyle w:val="Heading2"/>
        <w:keepNext w:val="true"/>
      </w:pPr>
      <w:r>
        <w:t>不应单独包装成创新点的内容</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8"/>
              </w:rPr>
              <w:t>已有技术较拥挤的模块</w:t>
            </w:r>
          </w:p>
        </w:tc>
        <w:tc>
          <w:tcPr>
            <w:tcW w:type="dxa" w:w="6984"/>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8"/>
              </w:rPr>
              <w:t>对本申请的处理</w:t>
            </w:r>
          </w:p>
        </w:tc>
      </w:tr>
      <w:tr>
        <w:trPr>
          <w:cantSplit/>
        </w:trPr>
        <w:tc>
          <w:tcPr>
            <w:tcW w:type="dxa" w:w="3528"/>
            <w:tcMar>
              <w:top w:w="90" w:type="dxa"/>
              <w:start w:w="110" w:type="dxa"/>
              <w:bottom w:w="90" w:type="dxa"/>
              <w:end w:w="110" w:type="dxa"/>
            </w:tcMar>
            <w:vAlign w:val="top"/>
          </w:tcPr>
          <w:p>
            <w:pPr>
              <w:spacing w:after="0" w:line="259" w:lineRule="auto"/>
            </w:pPr>
            <w:r>
              <w:rPr>
                <w:rFonts w:ascii="Arial Unicode MS" w:hAnsi="Arial Unicode MS" w:eastAsia="Arial Unicode MS"/>
                <w:sz w:val="18"/>
              </w:rPr>
              <w:t>AUV或平台磁干扰建模</w:t>
            </w:r>
          </w:p>
        </w:tc>
        <w:tc>
          <w:tcPr>
            <w:tcW w:type="dxa" w:w="6984"/>
            <w:tcMar>
              <w:top w:w="90" w:type="dxa"/>
              <w:start w:w="110" w:type="dxa"/>
              <w:bottom w:w="90" w:type="dxa"/>
              <w:end w:w="110" w:type="dxa"/>
            </w:tcMar>
            <w:vAlign w:val="top"/>
          </w:tcPr>
          <w:p>
            <w:pPr>
              <w:spacing w:after="0" w:line="259" w:lineRule="auto"/>
            </w:pPr>
            <w:r>
              <w:rPr>
                <w:rFonts w:ascii="Arial Unicode MS" w:hAnsi="Arial Unicode MS" w:eastAsia="Arial Unicode MS"/>
                <w:sz w:val="18"/>
              </w:rPr>
              <w:t>作为系统背景和必要模块，不单独主张</w:t>
            </w:r>
          </w:p>
        </w:tc>
      </w:tr>
      <w:tr>
        <w:trPr>
          <w:cantSplit/>
        </w:trPr>
        <w:tc>
          <w:tcPr>
            <w:tcW w:type="dxa" w:w="35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电机、推进器电流作为模型输入</w:t>
            </w:r>
          </w:p>
        </w:tc>
        <w:tc>
          <w:tcPr>
            <w:tcW w:type="dxa" w:w="69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纳入多源状态向量，但不作为唯一差异点</w:t>
            </w:r>
          </w:p>
        </w:tc>
      </w:tr>
      <w:tr>
        <w:trPr>
          <w:cantSplit/>
        </w:trPr>
        <w:tc>
          <w:tcPr>
            <w:tcW w:type="dxa" w:w="3528"/>
            <w:tcMar>
              <w:top w:w="90" w:type="dxa"/>
              <w:start w:w="110" w:type="dxa"/>
              <w:bottom w:w="90" w:type="dxa"/>
              <w:end w:w="110" w:type="dxa"/>
            </w:tcMar>
            <w:vAlign w:val="top"/>
          </w:tcPr>
          <w:p>
            <w:pPr>
              <w:spacing w:after="0" w:line="259" w:lineRule="auto"/>
            </w:pPr>
            <w:r>
              <w:rPr>
                <w:rFonts w:ascii="Arial Unicode MS" w:hAnsi="Arial Unicode MS" w:eastAsia="Arial Unicode MS"/>
                <w:sz w:val="18"/>
              </w:rPr>
              <w:t>原子或光泵磁力仪</w:t>
            </w:r>
          </w:p>
        </w:tc>
        <w:tc>
          <w:tcPr>
            <w:tcW w:type="dxa" w:w="6984"/>
            <w:tcMar>
              <w:top w:w="90" w:type="dxa"/>
              <w:start w:w="110" w:type="dxa"/>
              <w:bottom w:w="90" w:type="dxa"/>
              <w:end w:w="110" w:type="dxa"/>
            </w:tcMar>
            <w:vAlign w:val="top"/>
          </w:tcPr>
          <w:p>
            <w:pPr>
              <w:spacing w:after="0" w:line="259" w:lineRule="auto"/>
            </w:pPr>
            <w:r>
              <w:rPr>
                <w:rFonts w:ascii="Arial Unicode MS" w:hAnsi="Arial Unicode MS" w:eastAsia="Arial Unicode MS"/>
                <w:sz w:val="18"/>
              </w:rPr>
              <w:t>作为优选传感器及受保护对象，不单独主张</w:t>
            </w:r>
          </w:p>
        </w:tc>
      </w:tr>
      <w:tr>
        <w:trPr>
          <w:cantSplit/>
        </w:trPr>
        <w:tc>
          <w:tcPr>
            <w:tcW w:type="dxa" w:w="35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三维亥姆霍兹线圈、局部补偿线圈</w:t>
            </w:r>
          </w:p>
        </w:tc>
        <w:tc>
          <w:tcPr>
            <w:tcW w:type="dxa" w:w="69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作为执行机构，不将“有线圈”本身作为创新</w:t>
            </w:r>
          </w:p>
        </w:tc>
      </w:tr>
      <w:tr>
        <w:trPr>
          <w:cantSplit/>
        </w:trPr>
        <w:tc>
          <w:tcPr>
            <w:tcW w:type="dxa" w:w="3528"/>
            <w:tcMar>
              <w:top w:w="90" w:type="dxa"/>
              <w:start w:w="110" w:type="dxa"/>
              <w:bottom w:w="90" w:type="dxa"/>
              <w:end w:w="110" w:type="dxa"/>
            </w:tcMar>
            <w:vAlign w:val="top"/>
          </w:tcPr>
          <w:p>
            <w:pPr>
              <w:spacing w:after="0" w:line="259" w:lineRule="auto"/>
            </w:pPr>
            <w:r>
              <w:rPr>
                <w:rFonts w:ascii="Arial Unicode MS" w:hAnsi="Arial Unicode MS" w:eastAsia="Arial Unicode MS"/>
                <w:sz w:val="18"/>
              </w:rPr>
              <w:t>源电流映射为反向线圈电流</w:t>
            </w:r>
          </w:p>
        </w:tc>
        <w:tc>
          <w:tcPr>
            <w:tcW w:type="dxa" w:w="6984"/>
            <w:tcMar>
              <w:top w:w="90" w:type="dxa"/>
              <w:start w:w="110" w:type="dxa"/>
              <w:bottom w:w="90" w:type="dxa"/>
              <w:end w:w="110" w:type="dxa"/>
            </w:tcMar>
            <w:vAlign w:val="top"/>
          </w:tcPr>
          <w:p>
            <w:pPr>
              <w:spacing w:after="0" w:line="259" w:lineRule="auto"/>
            </w:pPr>
            <w:r>
              <w:rPr>
                <w:rFonts w:ascii="Arial Unicode MS" w:hAnsi="Arial Unicode MS" w:eastAsia="Arial Unicode MS"/>
                <w:sz w:val="18"/>
              </w:rPr>
              <w:t>避免简化成直接耦合；强调多源动态模型和约束求解</w:t>
            </w:r>
          </w:p>
        </w:tc>
      </w:tr>
      <w:tr>
        <w:trPr>
          <w:cantSplit/>
        </w:trPr>
        <w:tc>
          <w:tcPr>
            <w:tcW w:type="dxa" w:w="35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总场闭环调零</w:t>
            </w:r>
          </w:p>
        </w:tc>
        <w:tc>
          <w:tcPr>
            <w:tcW w:type="dxa" w:w="69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不是本发明主控制目标；需明确与外部目标信号解耦</w:t>
            </w:r>
          </w:p>
        </w:tc>
      </w:tr>
      <w:tr>
        <w:trPr>
          <w:cantSplit/>
        </w:trPr>
        <w:tc>
          <w:tcPr>
            <w:tcW w:type="dxa" w:w="3528"/>
            <w:tcMar>
              <w:top w:w="90" w:type="dxa"/>
              <w:start w:w="110" w:type="dxa"/>
              <w:bottom w:w="90" w:type="dxa"/>
              <w:end w:w="110" w:type="dxa"/>
            </w:tcMar>
            <w:vAlign w:val="top"/>
          </w:tcPr>
          <w:p>
            <w:pPr>
              <w:spacing w:after="0" w:line="259" w:lineRule="auto"/>
            </w:pPr>
            <w:r>
              <w:rPr>
                <w:rFonts w:ascii="Arial Unicode MS" w:hAnsi="Arial Unicode MS" w:eastAsia="Arial Unicode MS"/>
                <w:sz w:val="18"/>
              </w:rPr>
              <w:t>响应矩阵、伪逆、梯度补偿、PID</w:t>
            </w:r>
          </w:p>
        </w:tc>
        <w:tc>
          <w:tcPr>
            <w:tcW w:type="dxa" w:w="6984"/>
            <w:tcMar>
              <w:top w:w="90" w:type="dxa"/>
              <w:start w:w="110" w:type="dxa"/>
              <w:bottom w:w="90" w:type="dxa"/>
              <w:end w:w="110" w:type="dxa"/>
            </w:tcMar>
            <w:vAlign w:val="top"/>
          </w:tcPr>
          <w:p>
            <w:pPr>
              <w:spacing w:after="0" w:line="259" w:lineRule="auto"/>
            </w:pPr>
            <w:r>
              <w:rPr>
                <w:rFonts w:ascii="Arial Unicode MS" w:hAnsi="Arial Unicode MS" w:eastAsia="Arial Unicode MS"/>
                <w:sz w:val="18"/>
              </w:rPr>
              <w:t>属于求解与控制手段，放在从属权利要求或实施方式</w:t>
            </w:r>
          </w:p>
        </w:tc>
      </w:tr>
      <w:tr>
        <w:trPr>
          <w:cantSplit/>
        </w:trPr>
        <w:tc>
          <w:tcPr>
            <w:tcW w:type="dxa" w:w="35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载体消磁或磁签名抑制</w:t>
            </w:r>
          </w:p>
        </w:tc>
        <w:tc>
          <w:tcPr>
            <w:tcW w:type="dxa" w:w="69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8"/>
              </w:rPr>
              <w:t>与局部敏感区测前补偿区分，避免扩大到整艇消磁</w:t>
            </w:r>
          </w:p>
        </w:tc>
      </w:tr>
    </w:tbl>
    <w:p>
      <w:pPr>
        <w:spacing w:after="0"/>
      </w:pPr>
    </w:p>
    <w:p>
      <w:pPr>
        <w:pStyle w:val="Heading2"/>
        <w:keepNext w:val="true"/>
      </w:pPr>
      <w:r>
        <w:t>最强可保护组合</w:t>
      </w:r>
    </w:p>
    <w:p>
      <w:r>
        <w:rPr>
          <w:rFonts w:ascii="Arial Unicode MS" w:hAnsi="Arial Unicode MS" w:eastAsia="Arial Unicode MS"/>
        </w:rPr>
        <w:t>AUV多源动态状态 → 局部自磁场与梯度预测 → 原子磁力仪敏感区域的测前物理抵消 → 主补偿与外部总场解耦 → 仅载体相关残差参与有限反馈/模型更新 → 目标保护门控。</w:t>
      </w:r>
    </w:p>
    <w:p>
      <w:pPr>
        <w:pStyle w:val="Heading1"/>
        <w:keepNext w:val="true"/>
      </w:pPr>
      <w:r>
        <w:t>四  系统技术路线</w:t>
      </w:r>
    </w:p>
    <w:p>
      <w:pPr>
        <w:ind w:left="346" w:hanging="346"/>
      </w:pPr>
      <w:r>
        <w:rPr>
          <w:rFonts w:ascii="Arial Unicode MS" w:hAnsi="Arial Unicode MS" w:eastAsia="Arial Unicode MS"/>
          <w:b/>
          <w:color w:val="2F5597"/>
        </w:rPr>
        <w:t xml:space="preserve">1. </w:t>
      </w:r>
      <w:r>
        <w:rPr>
          <w:rFonts w:ascii="Arial Unicode MS" w:hAnsi="Arial Unicode MS" w:eastAsia="Arial Unicode MS"/>
        </w:rPr>
        <w:t>采集推进器电流、PWM、转速，母线电流与电压，DC/DC和ESC状态，以及姿态、角速度、速度、温度和时间历史等状态量。</w:t>
      </w:r>
    </w:p>
    <w:p>
      <w:pPr>
        <w:ind w:left="346" w:hanging="346"/>
      </w:pPr>
      <w:r>
        <w:rPr>
          <w:rFonts w:ascii="Arial Unicode MS" w:hAnsi="Arial Unicode MS" w:eastAsia="Arial Unicode MS"/>
          <w:b/>
          <w:color w:val="2F5597"/>
        </w:rPr>
        <w:t xml:space="preserve">2. </w:t>
      </w:r>
      <w:r>
        <w:rPr>
          <w:rFonts w:ascii="Arial Unicode MS" w:hAnsi="Arial Unicode MS" w:eastAsia="Arial Unicode MS"/>
        </w:rPr>
        <w:t>通过预先标定的物理模型、数据模型或混合模型，估计原子磁力仪敏感体中心及邻域的载体自磁场和梯度。</w:t>
      </w:r>
    </w:p>
    <w:p>
      <w:pPr>
        <w:ind w:left="346" w:hanging="346"/>
      </w:pPr>
      <w:r>
        <w:rPr>
          <w:rFonts w:ascii="Arial Unicode MS" w:hAnsi="Arial Unicode MS" w:eastAsia="Arial Unicode MS"/>
          <w:b/>
          <w:color w:val="2F5597"/>
        </w:rPr>
        <w:t xml:space="preserve">3. </w:t>
      </w:r>
      <w:r>
        <w:rPr>
          <w:rFonts w:ascii="Arial Unicode MS" w:hAnsi="Arial Unicode MS" w:eastAsia="Arial Unicode MS"/>
        </w:rPr>
        <w:t>依据补偿线圈的场—梯度响应矩阵，求解满足电流、压摆率、电压、功耗和温度约束的驱动量。</w:t>
      </w:r>
    </w:p>
    <w:p>
      <w:pPr>
        <w:ind w:left="346" w:hanging="346"/>
      </w:pPr>
      <w:r>
        <w:rPr>
          <w:rFonts w:ascii="Arial Unicode MS" w:hAnsi="Arial Unicode MS" w:eastAsia="Arial Unicode MS"/>
          <w:b/>
          <w:color w:val="2F5597"/>
        </w:rPr>
        <w:t xml:space="preserve">4. </w:t>
      </w:r>
      <w:r>
        <w:rPr>
          <w:rFonts w:ascii="Arial Unicode MS" w:hAnsi="Arial Unicode MS" w:eastAsia="Arial Unicode MS"/>
        </w:rPr>
        <w:t>在有效磁测量形成之前，利用均匀场线圈与梯度线圈抵消载体自场和主要自梯度，使磁力仪处于受保护工作区。</w:t>
      </w:r>
    </w:p>
    <w:p>
      <w:pPr>
        <w:ind w:left="346" w:hanging="346"/>
      </w:pPr>
      <w:r>
        <w:rPr>
          <w:rFonts w:ascii="Arial Unicode MS" w:hAnsi="Arial Unicode MS" w:eastAsia="Arial Unicode MS"/>
          <w:b/>
          <w:color w:val="2F5597"/>
        </w:rPr>
        <w:t xml:space="preserve">5. </w:t>
      </w:r>
      <w:r>
        <w:rPr>
          <w:rFonts w:ascii="Arial Unicode MS" w:hAnsi="Arial Unicode MS" w:eastAsia="Arial Unicode MS"/>
        </w:rPr>
        <w:t>根据磁测残差与内生状态的相关性构造载体相关残差，只将该分量用于小增益反馈和模型更新。</w:t>
      </w:r>
    </w:p>
    <w:p>
      <w:pPr>
        <w:ind w:left="346" w:hanging="346"/>
      </w:pPr>
      <w:r>
        <w:rPr>
          <w:rFonts w:ascii="Arial Unicode MS" w:hAnsi="Arial Unicode MS" w:eastAsia="Arial Unicode MS"/>
          <w:b/>
          <w:color w:val="2F5597"/>
        </w:rPr>
        <w:t xml:space="preserve">6. </w:t>
      </w:r>
      <w:r>
        <w:rPr>
          <w:rFonts w:ascii="Arial Unicode MS" w:hAnsi="Arial Unicode MS" w:eastAsia="Arial Unicode MS"/>
        </w:rPr>
        <w:t>利用幅值、持续时间、空间一致性、航速—异常尺度关系和任务区先验进行目标保护门控。</w:t>
      </w:r>
    </w:p>
    <w:p>
      <w:pPr>
        <w:ind w:left="346" w:hanging="346"/>
      </w:pPr>
      <w:r>
        <w:rPr>
          <w:rFonts w:ascii="Arial Unicode MS" w:hAnsi="Arial Unicode MS" w:eastAsia="Arial Unicode MS"/>
          <w:b/>
          <w:color w:val="2F5597"/>
        </w:rPr>
        <w:t xml:space="preserve">7. </w:t>
      </w:r>
      <w:r>
        <w:rPr>
          <w:rFonts w:ascii="Arial Unicode MS" w:hAnsi="Arial Unicode MS" w:eastAsia="Arial Unicode MS"/>
        </w:rPr>
        <w:t>输出保留外部环境磁场和目标磁异常的测量数据，并同步保存状态、预测量、驱动量、门控状态和质量标志。</w:t>
      </w:r>
    </w:p>
    <w:p>
      <w:pPr>
        <w:pStyle w:val="Heading2"/>
        <w:keepNext w:val="true"/>
      </w:pPr>
      <w:r>
        <w:t>状态向量的建议组成</w:t>
      </w:r>
    </w:p>
    <w:p>
      <w:pPr>
        <w:pStyle w:val="Formula"/>
        <w:jc w:val="center"/>
      </w:pPr>
      <w:r>
        <w:rPr>
          <w:rFonts w:ascii="Cambria Math" w:hAnsi="Cambria Math" w:eastAsia="Cambria Math"/>
          <w:i/>
          <w:sz w:val="21"/>
        </w:rPr>
        <w:t>x(t) = [i₁…iₙ, PWM₁…PWMₙ, rpm₁…rpmₙ, i_bus, v_bus, s_ESC, s_DC/DC, q, ω, v, T, h]ᵀ</w:t>
      </w:r>
    </w:p>
    <w:p>
      <w:r>
        <w:rPr>
          <w:rFonts w:ascii="Arial Unicode MS" w:hAnsi="Arial Unicode MS" w:eastAsia="Arial Unicode MS"/>
        </w:rPr>
        <w:t>其中，q 为姿态四元数，ω 为角速度，v 为航行速度，T 为温度，h 为迟滞或历史状态。实际样机可按可观测性和计算资源裁剪，但统一硬件时间戳是必要条件。</w:t>
      </w:r>
    </w:p>
    <w:p>
      <w:pPr>
        <w:pStyle w:val="Heading1"/>
        <w:keepNext w:val="true"/>
      </w:pPr>
      <w:r>
        <w:t>五  关键数学模型</w:t>
      </w:r>
    </w:p>
    <w:p>
      <w:pPr>
        <w:pStyle w:val="Heading2"/>
        <w:keepNext w:val="true"/>
      </w:pPr>
      <w:r>
        <w:t>局部场的一阶展开</w:t>
      </w:r>
    </w:p>
    <w:p>
      <w:pPr>
        <w:pStyle w:val="Formula"/>
        <w:jc w:val="center"/>
      </w:pPr>
      <w:r>
        <w:rPr>
          <w:rFonts w:ascii="Cambria Math" w:hAnsi="Cambria Math" w:eastAsia="Cambria Math"/>
          <w:i/>
          <w:sz w:val="21"/>
        </w:rPr>
        <w:t>B_self(r₀ + Δr, t) ≈ B_self,0(t) + G_self(t) Δr</w:t>
      </w:r>
    </w:p>
    <w:p>
      <w:r>
        <w:rPr>
          <w:rFonts w:ascii="Arial Unicode MS" w:hAnsi="Arial Unicode MS" w:eastAsia="Arial Unicode MS"/>
        </w:rPr>
        <w:t>B_self,0 表示敏感区域参考点处的载体自磁场，G_self 表示其一阶空间梯度张量。该表达式是“均匀场加梯度”联合补偿的物理基础。</w:t>
      </w:r>
    </w:p>
    <w:p>
      <w:pPr>
        <w:pStyle w:val="Heading2"/>
        <w:keepNext w:val="true"/>
      </w:pPr>
      <w:r>
        <w:t>梯度自由度</w:t>
      </w:r>
    </w:p>
    <w:p>
      <w:pPr>
        <w:pStyle w:val="Formula"/>
        <w:jc w:val="center"/>
      </w:pPr>
      <w:r>
        <w:rPr>
          <w:rFonts w:ascii="Cambria Math" w:hAnsi="Cambria Math" w:eastAsia="Cambria Math"/>
          <w:i/>
          <w:sz w:val="21"/>
        </w:rPr>
        <w:t>∇·B = 0，    ∇×B ≈ 0，    G ≈ Gᵀ，    tr(G) = 0</w:t>
      </w:r>
    </w:p>
    <w:p>
      <w:r>
        <w:rPr>
          <w:rFonts w:ascii="Arial Unicode MS" w:hAnsi="Arial Unicode MS" w:eastAsia="Arial Unicode MS"/>
        </w:rPr>
        <w:t>在无源准静态局部区域内，梯度张量近似对称且无迹，因此完整一阶控制需要3个均匀场自由度和最多5个独立梯度自由度。工程样机可先采用“3+1”或“3+2”通道，覆盖最显著的主梯度。</w:t>
      </w:r>
    </w:p>
    <w:p>
      <w:pPr>
        <w:pStyle w:val="Heading2"/>
        <w:keepNext w:val="true"/>
      </w:pPr>
      <w:r>
        <w:t>线圈响应与约束求解</w:t>
      </w:r>
    </w:p>
    <w:p>
      <w:pPr>
        <w:pStyle w:val="Formula"/>
        <w:jc w:val="center"/>
      </w:pPr>
      <w:r>
        <w:rPr>
          <w:rFonts w:ascii="Cambria Math" w:hAnsi="Cambria Math" w:eastAsia="Cambria Math"/>
          <w:i/>
          <w:sz w:val="21"/>
        </w:rPr>
        <w:t>y_c(t) = K_c(T) u(t)</w:t>
      </w:r>
    </w:p>
    <w:p>
      <w:pPr>
        <w:pStyle w:val="Formula"/>
        <w:jc w:val="center"/>
      </w:pPr>
      <w:r>
        <w:rPr>
          <w:rFonts w:ascii="Cambria Math" w:hAnsi="Cambria Math" w:eastAsia="Cambria Math"/>
          <w:i/>
          <w:sz w:val="21"/>
        </w:rPr>
        <w:t>u* = arg minᵤ ‖W[K_c(T)u + d̂]‖² + λ‖u‖² + μ‖u − u_prev‖²</w:t>
      </w:r>
    </w:p>
    <w:p>
      <w:r>
        <w:rPr>
          <w:rFonts w:ascii="Arial Unicode MS" w:hAnsi="Arial Unicode MS" w:eastAsia="Arial Unicode MS"/>
        </w:rPr>
        <w:t>约束应至少包括线圈电流、压摆率、驱动电压、功耗和温升。d̂ 为模型预测的载体自场—梯度向量，W 用于设置场分量、梯度分量或不同空间采样点的权重。</w:t>
      </w:r>
    </w:p>
    <w:p>
      <w:pPr>
        <w:pStyle w:val="Heading2"/>
        <w:keepNext w:val="true"/>
      </w:pPr>
      <w:r>
        <w:t>残差子空间分解</w:t>
      </w:r>
    </w:p>
    <w:p>
      <w:pPr>
        <w:pStyle w:val="Formula"/>
        <w:jc w:val="center"/>
      </w:pPr>
      <w:r>
        <w:rPr>
          <w:rFonts w:ascii="Cambria Math" w:hAnsi="Cambria Math" w:eastAsia="Cambria Math"/>
          <w:i/>
          <w:sz w:val="21"/>
        </w:rPr>
        <w:t>S_self = span{H₁, H₂, …, H_M}</w:t>
      </w:r>
    </w:p>
    <w:p>
      <w:pPr>
        <w:pStyle w:val="Formula"/>
        <w:jc w:val="center"/>
      </w:pPr>
      <w:r>
        <w:rPr>
          <w:rFonts w:ascii="Cambria Math" w:hAnsi="Cambria Math" w:eastAsia="Cambria Math"/>
          <w:i/>
          <w:sz w:val="21"/>
        </w:rPr>
        <w:t>r_self = P_self r，    r_⊥ = (I − P_self) r</w:t>
      </w:r>
    </w:p>
    <w:p>
      <w:r>
        <w:rPr>
          <w:rFonts w:ascii="Arial Unicode MS" w:hAnsi="Arial Unicode MS" w:eastAsia="Arial Unicode MS"/>
        </w:rPr>
        <w:t>S_self 由标定得到的各内生磁源响应构成。r_self 是与载体内生状态一致的残差，可用于有限反馈和模型更新；r_⊥ 是与该子空间正交的外部候选分量，应作为目标或环境信息保留。</w:t>
      </w:r>
    </w:p>
    <w:p>
      <w:pPr>
        <w:pStyle w:val="Heading2"/>
        <w:keepNext w:val="true"/>
      </w:pPr>
      <w:r>
        <w:t>总场闭环对目标的影响</w:t>
      </w:r>
    </w:p>
    <w:p>
      <w:pPr>
        <w:pStyle w:val="Formula"/>
        <w:jc w:val="center"/>
      </w:pPr>
      <w:r>
        <w:rPr>
          <w:rFonts w:ascii="Cambria Math" w:hAnsi="Cambria Math" w:eastAsia="Cambria Math"/>
          <w:i/>
          <w:sz w:val="21"/>
        </w:rPr>
        <w:t>B_target,out(s) ≈ B_target,in(s) / [1 + L(s)]</w:t>
      </w:r>
    </w:p>
    <w:p>
      <w:r>
        <w:rPr>
          <w:rFonts w:ascii="Arial Unicode MS" w:hAnsi="Arial Unicode MS" w:eastAsia="Arial Unicode MS"/>
        </w:rPr>
        <w:t>若以总磁场趋零为闭环目标，目标信号在环路带宽内会被约按1/(1+L)衰减。源感知前馈不以外部磁场为驱动，因此外部目标不会因未改变电机、电源或PWM等内生状态而被主补偿链路主动消除。</w:t>
      </w:r>
    </w:p>
    <w:p>
      <w:pPr>
        <w:pStyle w:val="Heading2"/>
        <w:keepNext w:val="true"/>
      </w:pPr>
      <w:r>
        <w:t>低频目标不能靠简单滤波保护</w:t>
      </w:r>
    </w:p>
    <w:p>
      <w:pPr>
        <w:pStyle w:val="Formula"/>
        <w:jc w:val="center"/>
      </w:pPr>
      <w:r>
        <w:rPr>
          <w:rFonts w:ascii="Cambria Math" w:hAnsi="Cambria Math" w:eastAsia="Cambria Math"/>
          <w:i/>
          <w:sz w:val="21"/>
        </w:rPr>
        <w:t>f ≈ v / L</w:t>
      </w:r>
    </w:p>
    <w:p>
      <w:r>
        <w:rPr>
          <w:rFonts w:ascii="Arial Unicode MS" w:hAnsi="Arial Unicode MS" w:eastAsia="Arial Unicode MS"/>
        </w:rPr>
        <w:t>例如航速约1 m/s、异常空间尺度约10 m时，目标特征频率约0.1 Hz，与平台慢变干扰可能重叠。因此目标保护应优先利用来源相关性和空间一致性，而不是仅靠高通或低通分离。</w:t>
      </w:r>
    </w:p>
    <w:p>
      <w:pPr>
        <w:pStyle w:val="Heading1"/>
        <w:keepNext w:val="true"/>
      </w:pPr>
      <w:r>
        <w:t>六  主动线圈与软件补偿的判断</w:t>
      </w:r>
    </w:p>
    <w:p>
      <w:r>
        <w:rPr>
          <w:rFonts w:ascii="Arial Unicode MS" w:hAnsi="Arial Unicode MS" w:eastAsia="Arial Unicode MS"/>
        </w:rPr>
        <w:t>此前讨论已形成条件性结论：主动补偿并非天然优于软件补偿。选择的关键在于载体自场和梯度是否在测量形成之前损害传感器的物理性能。</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判据</w:t>
            </w:r>
          </w:p>
        </w:tc>
        <w:tc>
          <w:tcPr>
            <w:tcW w:type="dxa" w:w="424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优先软件补偿</w:t>
            </w:r>
          </w:p>
        </w:tc>
        <w:tc>
          <w:tcPr>
            <w:tcW w:type="dxa" w:w="460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主动测前补偿有充分价值</w:t>
            </w:r>
          </w:p>
        </w:tc>
      </w:tr>
      <w:tr>
        <w:trPr>
          <w:cantSplit/>
        </w:trPr>
        <w:tc>
          <w:tcPr>
            <w:tcW w:type="dxa" w:w="172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动态范围</w:t>
            </w:r>
          </w:p>
        </w:tc>
        <w:tc>
          <w:tcPr>
            <w:tcW w:type="dxa" w:w="424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自场仅产生可预测偏置，仍远离饱和</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占用主要动态范围、ADC或锁相环接近饱和</w:t>
            </w:r>
          </w:p>
        </w:tc>
      </w:tr>
      <w:tr>
        <w:trPr>
          <w:cantSplit/>
        </w:trPr>
        <w:tc>
          <w:tcPr>
            <w:tcW w:type="dxa" w:w="17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线性与锁定</w:t>
            </w:r>
          </w:p>
        </w:tc>
        <w:tc>
          <w:tcPr>
            <w:tcW w:type="dxa" w:w="424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响应保持线性且稳定锁定</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出现非线性、失锁或跟踪失败</w:t>
            </w:r>
          </w:p>
        </w:tc>
      </w:tr>
      <w:tr>
        <w:trPr>
          <w:cantSplit/>
        </w:trPr>
        <w:tc>
          <w:tcPr>
            <w:tcW w:type="dxa" w:w="172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共振与灵敏度</w:t>
            </w:r>
          </w:p>
        </w:tc>
        <w:tc>
          <w:tcPr>
            <w:tcW w:type="dxa" w:w="424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线宽、噪声和灵敏度基本不变</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共振展宽、噪声上升、灵敏度或SNR下降</w:t>
            </w:r>
          </w:p>
        </w:tc>
      </w:tr>
      <w:tr>
        <w:trPr>
          <w:cantSplit/>
        </w:trPr>
        <w:tc>
          <w:tcPr>
            <w:tcW w:type="dxa" w:w="172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空间均匀性</w:t>
            </w:r>
          </w:p>
        </w:tc>
        <w:tc>
          <w:tcPr>
            <w:tcW w:type="dxa" w:w="424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敏感体内梯度不会显著影响测量</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梯度导致敏感体去相干、展宽或多点不一致</w:t>
            </w:r>
          </w:p>
        </w:tc>
      </w:tr>
      <w:tr>
        <w:trPr>
          <w:cantSplit/>
        </w:trPr>
        <w:tc>
          <w:tcPr>
            <w:tcW w:type="dxa" w:w="172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可恢复性</w:t>
            </w:r>
          </w:p>
        </w:tc>
        <w:tc>
          <w:tcPr>
            <w:tcW w:type="dxa" w:w="424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原始信息完整，可在数据域可靠相减</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信息已在饱和、非线性或去相干阶段损失，后处理不可恢复</w:t>
            </w:r>
          </w:p>
        </w:tc>
      </w:tr>
    </w:tbl>
    <w:p>
      <w:pPr>
        <w:spacing w:after="0"/>
      </w:pPr>
    </w:p>
    <w:p>
      <w:pPr>
        <w:pStyle w:val="Heading2"/>
        <w:keepNext w:val="true"/>
      </w:pPr>
      <w:r>
        <w:t>Go或No-Go实验</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按设备安全范围扫描内生源工作点，例如推进电流0、2、5、10、20 A或等效工况。</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同步测量偏置、噪声谱密度、Allan偏差、灵敏度、共振线宽、SNR、锁定状态、线性度、梯度敏感性以及ADC/PLL状态。</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若只有可预测偏置变化而噪声、线宽和线性稳定，则软件补偿可能已经足够。</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若出现展宽、噪声上升、SNR下降、非线性、失锁或饱和，则可据此证明测前主动补偿的必要性和技术效果。</w:t>
      </w:r>
    </w:p>
    <w:p>
      <w:r>
        <w:rPr>
          <w:rFonts w:ascii="Arial Unicode MS" w:hAnsi="Arial Unicode MS" w:eastAsia="Arial Unicode MS"/>
        </w:rPr>
        <w:t>应避免的误判：‘能够保护目标信号’并不是主动线圈独有优势；采用源感知的软件减法同样可保留目标。主动线圈真正不可替代的价值，是避免信息在传感器物理测量阶段丢失。</w:t>
      </w:r>
    </w:p>
    <w:p>
      <w:pPr>
        <w:pStyle w:val="Heading1"/>
        <w:keepNext w:val="true"/>
      </w:pPr>
      <w:r>
        <w:t>七  已完成的现有技术判断</w:t>
      </w:r>
    </w:p>
    <w:p>
      <w:r>
        <w:rPr>
          <w:rFonts w:ascii="Arial Unicode MS" w:hAnsi="Arial Unicode MS" w:eastAsia="Arial Unicode MS"/>
        </w:rPr>
        <w:t>下表为此前检索和讨论中已经锁定的高相关专利线索。它用于指导后续定点比对，不代表最终法律意见，也不应据此直接判断自由实施。专利名称、权利要求范围、同族和有效状态仍需代理人依据官方文本复核。</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5"/>
              </w:rPr>
              <w:t>文献编号</w:t>
            </w:r>
          </w:p>
        </w:tc>
        <w:tc>
          <w:tcPr>
            <w:tcW w:type="dxa" w:w="460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5"/>
              </w:rPr>
              <w:t>此前识别的公开要点</w:t>
            </w:r>
          </w:p>
        </w:tc>
        <w:tc>
          <w:tcPr>
            <w:tcW w:type="dxa" w:w="3816"/>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5"/>
              </w:rPr>
              <w:t>对本申请的影响</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US10132956B2</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水下航行器磁力仪补偿；利用载体状态/性能，部分从属项涉及推进器电机电流</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AUV状态建模和推进电流输入不能单独作为新颖点</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CN112858959B</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设备电流、三轴磁通门、光泵磁力仪；电流/姿态干扰建模和软件相减</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需突出测前物理保护、梯度和目标门控的组合</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CN114184988B</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平台电流、机动、地磁梯度模型及回归减法</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多因素模型与数据域扣除已有公开</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CN112858961B</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包含执行器位移、电流、磁场和总场的多源状态补偿</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多源状态本身不是充分差异</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US10058016B2 / US20180084681A1</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磁传感器附近的补偿线圈；由干扰源功率或电流生成反向电流</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避免把方案简化成源电流与线圈电流直接一一映射</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CN109358302B</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原子气室置于三维亥姆霍兹线圈及受控电流系统中</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原子磁力仪周围设置补偿线圈已有基础</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CN110568384B</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基于磁力仪的亥姆霍兹线圈闭环补偿</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总场闭环调零不是本申请的新颖点，且需讨论目标抑制风险</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CN118566798A</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无屏蔽SERF原子磁力仪，三轴补偿/调制线圈及分阶段反馈到近零场</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工作点补偿已有公开，应强调AUV源感知和目标保护</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WO2024131881A1 / CN115932677A</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磁探测器周围的局部线圈阵列、响应矩阵、场/梯度阈值和求解</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线圈矩阵、场—梯度联合控制及伪逆类求解不能独立主张</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CN116643214A/B</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SERF共磁力仪的梯度测量/估计与梯度线圈主动抑制</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梯度主动抑制已有公开</w:t>
            </w:r>
          </w:p>
        </w:tc>
      </w:tr>
      <w:tr>
        <w:trPr>
          <w:cantSplit/>
        </w:trPr>
        <w:tc>
          <w:tcPr>
            <w:tcW w:type="dxa" w:w="2232"/>
            <w:tcMar>
              <w:top w:w="90" w:type="dxa"/>
              <w:start w:w="110" w:type="dxa"/>
              <w:bottom w:w="90" w:type="dxa"/>
              <w:end w:w="110" w:type="dxa"/>
            </w:tcMar>
            <w:vAlign w:val="top"/>
          </w:tcPr>
          <w:p>
            <w:pPr>
              <w:spacing w:after="0" w:line="259" w:lineRule="auto"/>
            </w:pPr>
            <w:r>
              <w:rPr>
                <w:rFonts w:ascii="Arial Unicode MS" w:hAnsi="Arial Unicode MS" w:eastAsia="Arial Unicode MS"/>
                <w:sz w:val="15"/>
              </w:rPr>
              <w:t>CN111025200A</w:t>
            </w:r>
          </w:p>
        </w:tc>
        <w:tc>
          <w:tcPr>
            <w:tcW w:type="dxa" w:w="4608"/>
            <w:tcMar>
              <w:top w:w="90" w:type="dxa"/>
              <w:start w:w="110" w:type="dxa"/>
              <w:bottom w:w="90" w:type="dxa"/>
              <w:end w:w="110" w:type="dxa"/>
            </w:tcMar>
            <w:vAlign w:val="top"/>
          </w:tcPr>
          <w:p>
            <w:pPr>
              <w:spacing w:after="0" w:line="259" w:lineRule="auto"/>
            </w:pPr>
            <w:r>
              <w:rPr>
                <w:rFonts w:ascii="Arial Unicode MS" w:hAnsi="Arial Unicode MS" w:eastAsia="Arial Unicode MS"/>
                <w:sz w:val="15"/>
              </w:rPr>
              <w:t>补偿线圈和电流源改变磁场梯度</w:t>
            </w:r>
          </w:p>
        </w:tc>
        <w:tc>
          <w:tcPr>
            <w:tcW w:type="dxa" w:w="3816"/>
            <w:tcMar>
              <w:top w:w="90" w:type="dxa"/>
              <w:start w:w="110" w:type="dxa"/>
              <w:bottom w:w="90" w:type="dxa"/>
              <w:end w:w="110" w:type="dxa"/>
            </w:tcMar>
            <w:vAlign w:val="top"/>
          </w:tcPr>
          <w:p>
            <w:pPr>
              <w:spacing w:after="0" w:line="259" w:lineRule="auto"/>
            </w:pPr>
            <w:r>
              <w:rPr>
                <w:rFonts w:ascii="Arial Unicode MS" w:hAnsi="Arial Unicode MS" w:eastAsia="Arial Unicode MS"/>
                <w:sz w:val="15"/>
              </w:rPr>
              <w:t>梯度线圈作为执行手段已有公开</w:t>
            </w:r>
          </w:p>
        </w:tc>
      </w:tr>
      <w:tr>
        <w:trPr>
          <w:cantSplit/>
        </w:trPr>
        <w:tc>
          <w:tcPr>
            <w:tcW w:type="dxa" w:w="22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GB2443265B</w:t>
            </w:r>
          </w:p>
        </w:tc>
        <w:tc>
          <w:tcPr>
            <w:tcW w:type="dxa" w:w="46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车辆磁签名估计与抑制或消磁</w:t>
            </w:r>
          </w:p>
        </w:tc>
        <w:tc>
          <w:tcPr>
            <w:tcW w:type="dxa" w:w="381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5"/>
              </w:rPr>
              <w:t>本申请应限于传感器敏感区的局部测前补偿，区别于整艇消磁</w:t>
            </w:r>
          </w:p>
        </w:tc>
      </w:tr>
    </w:tbl>
    <w:p>
      <w:pPr>
        <w:spacing w:after="0"/>
      </w:pPr>
    </w:p>
    <w:p>
      <w:pPr>
        <w:pStyle w:val="Heading2"/>
        <w:keepNext w:val="true"/>
      </w:pPr>
      <w:r>
        <w:t>论文锚点</w:t>
      </w:r>
    </w:p>
    <w:p>
      <w:pPr>
        <w:pStyle w:val="Compact"/>
        <w:ind w:left="259" w:hanging="216"/>
      </w:pPr>
      <w:r>
        <w:rPr>
          <w:rFonts w:ascii="Arial Unicode MS" w:hAnsi="Arial Unicode MS" w:eastAsia="Arial Unicode MS"/>
          <w:b/>
          <w:color w:val="2F5597"/>
        </w:rPr>
        <w:t xml:space="preserve">• </w:t>
      </w:r>
      <w:r>
        <w:rPr>
          <w:rFonts w:ascii="Arial Unicode MS" w:hAnsi="Arial Unicode MS" w:eastAsia="Arial Unicode MS"/>
          <w:sz w:val="19"/>
        </w:rPr>
        <w:t>Allen 等，2001：Mitigation of platform generated magnetic noise…AUV。</w:t>
      </w:r>
    </w:p>
    <w:p>
      <w:pPr>
        <w:pStyle w:val="Compact"/>
        <w:ind w:left="259" w:hanging="216"/>
      </w:pPr>
      <w:r>
        <w:rPr>
          <w:rFonts w:ascii="Arial Unicode MS" w:hAnsi="Arial Unicode MS" w:eastAsia="Arial Unicode MS"/>
          <w:b/>
          <w:color w:val="2F5597"/>
        </w:rPr>
        <w:t xml:space="preserve">• </w:t>
      </w:r>
      <w:r>
        <w:rPr>
          <w:rFonts w:ascii="Arial Unicode MS" w:hAnsi="Arial Unicode MS" w:eastAsia="Arial Unicode MS"/>
          <w:sz w:val="19"/>
        </w:rPr>
        <w:t>Clem 等，2006：Laser Scalar Gradiometer Operating Onboard REMUS 600。</w:t>
      </w:r>
    </w:p>
    <w:p>
      <w:pPr>
        <w:pStyle w:val="Compact"/>
        <w:ind w:left="259" w:hanging="216"/>
      </w:pPr>
      <w:r>
        <w:rPr>
          <w:rFonts w:ascii="Arial Unicode MS" w:hAnsi="Arial Unicode MS" w:eastAsia="Arial Unicode MS"/>
          <w:b/>
          <w:color w:val="2F5597"/>
        </w:rPr>
        <w:t xml:space="preserve">• </w:t>
      </w:r>
      <w:r>
        <w:rPr>
          <w:rFonts w:ascii="Arial Unicode MS" w:hAnsi="Arial Unicode MS" w:eastAsia="Arial Unicode MS"/>
          <w:sz w:val="19"/>
        </w:rPr>
        <w:t>Dedman 等，2007：Active cancellation of stray magnetic fields…。</w:t>
      </w:r>
    </w:p>
    <w:p>
      <w:pPr>
        <w:pStyle w:val="Compact"/>
        <w:ind w:left="259" w:hanging="216"/>
      </w:pPr>
      <w:r>
        <w:rPr>
          <w:rFonts w:ascii="Arial Unicode MS" w:hAnsi="Arial Unicode MS" w:eastAsia="Arial Unicode MS"/>
          <w:b/>
          <w:color w:val="2F5597"/>
        </w:rPr>
        <w:t xml:space="preserve">• </w:t>
      </w:r>
      <w:r>
        <w:rPr>
          <w:rFonts w:ascii="Arial Unicode MS" w:hAnsi="Arial Unicode MS" w:eastAsia="Arial Unicode MS"/>
          <w:sz w:val="19"/>
        </w:rPr>
        <w:t>Sulzberger 等，2009：Hunting sea mines with UUV-based magnetic…。</w:t>
      </w:r>
    </w:p>
    <w:p>
      <w:pPr>
        <w:pStyle w:val="Compact"/>
        <w:ind w:left="259" w:hanging="216"/>
      </w:pPr>
      <w:r>
        <w:rPr>
          <w:rFonts w:ascii="Arial Unicode MS" w:hAnsi="Arial Unicode MS" w:eastAsia="Arial Unicode MS"/>
          <w:b/>
          <w:color w:val="2F5597"/>
        </w:rPr>
        <w:t xml:space="preserve">• </w:t>
      </w:r>
      <w:r>
        <w:rPr>
          <w:rFonts w:ascii="Arial Unicode MS" w:hAnsi="Arial Unicode MS" w:eastAsia="Arial Unicode MS"/>
          <w:sz w:val="19"/>
        </w:rPr>
        <w:t>Zhang 等，2014：Method and experiment for compensating the interferential magnetic field in underwater vehicle。</w:t>
      </w:r>
    </w:p>
    <w:p>
      <w:r>
        <w:rPr>
          <w:rFonts w:ascii="Arial Unicode MS" w:hAnsi="Arial Unicode MS" w:eastAsia="Arial Unicode MS"/>
        </w:rPr>
        <w:t>这些论文只作为再次进入主题时的锚点。旧会话曾形成更大的论文和专利对比表，但当前可可靠恢复的完整书目信息有限，因此本文件不补造缺失题名、作者或结论。后续应围绕独立权利要求的缺口进行定向核查，而不是重新做“主动磁补偿”类宽泛检索。</w:t>
      </w:r>
    </w:p>
    <w:p>
      <w:pPr>
        <w:pStyle w:val="Heading1"/>
        <w:keepNext w:val="true"/>
      </w:pPr>
      <w:r>
        <w:t>八  权利要求结构</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编号</w:t>
            </w:r>
          </w:p>
        </w:tc>
        <w:tc>
          <w:tcPr>
            <w:tcW w:type="dxa" w:w="1584"/>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类型</w:t>
            </w:r>
          </w:p>
        </w:tc>
        <w:tc>
          <w:tcPr>
            <w:tcW w:type="dxa" w:w="828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保护重点</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1</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独立方法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多源状态获取、局部自场/梯度预测、驱动求解、测前补偿、载体相关残差有限利用和目标保护的完整闭环</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2</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内生磁源和状态参数的类型</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3</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时间同步、延迟、历史或迟滞状态</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4</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物理、数据驱动或混合源—场传递模型</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5</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局部场的一阶展开及均匀场/梯度线圈配置</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6</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带电流、压摆率、功耗和温度等约束的驱动求解</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7</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载体相关子空间投影与残差分解</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8</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目标候选判别及反馈/更新冻结或限幅</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9</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保护原子磁力仪工作区、动态范围和均匀性的控制目标</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10</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内生磁源响应标定</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11</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补偿线圈场—梯度响应标定</w:t>
            </w:r>
          </w:p>
        </w:tc>
      </w:tr>
      <w:tr>
        <w:trPr>
          <w:cantSplit/>
        </w:trPr>
        <w:tc>
          <w:tcPr>
            <w:tcW w:type="dxa" w:w="7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12</w:t>
            </w:r>
          </w:p>
        </w:tc>
        <w:tc>
          <w:tcPr>
            <w:tcW w:type="dxa" w:w="15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从属方法</w:t>
            </w:r>
          </w:p>
        </w:tc>
        <w:tc>
          <w:tcPr>
            <w:tcW w:type="dxa" w:w="82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状态、预测、驱动、门控和质量信息的记录与输出</w:t>
            </w:r>
          </w:p>
        </w:tc>
      </w:tr>
      <w:tr>
        <w:trPr>
          <w:cantSplit/>
        </w:trPr>
        <w:tc>
          <w:tcPr>
            <w:tcW w:type="dxa" w:w="7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13</w:t>
            </w:r>
          </w:p>
        </w:tc>
        <w:tc>
          <w:tcPr>
            <w:tcW w:type="dxa" w:w="15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独立系统</w:t>
            </w:r>
          </w:p>
        </w:tc>
        <w:tc>
          <w:tcPr>
            <w:tcW w:type="dxa" w:w="82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与权利要求1对应的采集、预测、求解、线圈、残差分解、目标保护和输出模块</w:t>
            </w:r>
          </w:p>
        </w:tc>
      </w:tr>
    </w:tbl>
    <w:p>
      <w:pPr>
        <w:spacing w:after="0"/>
      </w:pPr>
    </w:p>
    <w:p>
      <w:pPr>
        <w:pStyle w:val="Heading2"/>
        <w:keepNext w:val="true"/>
      </w:pPr>
      <w:r>
        <w:t>后续修改原则</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优先维护权利要求1和13的结构完整性，避免在修改中退化成单纯软件扣除、简单源电流前馈或总场闭环调零。</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若现有技术逼近，应首先强化“测前物理保护＋梯度＋载体相关残差＋目标门控”的组合关系，而不是堆叠泛化硬件名词。</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新增硬件参数、阈值或算法时，先确认说明书已有依据，再决定是否进入权利要求；避免无支持的窄化。</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涉及‘实时’‘自动’‘高精度’等效果词时，应以采样率、延迟、误差或实验数据支撑。</w:t>
      </w:r>
    </w:p>
    <w:p>
      <w:pPr>
        <w:pStyle w:val="Heading1"/>
        <w:keepNext w:val="true"/>
      </w:pPr>
      <w:r>
        <w:t>九  附图与实施例对应</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附图</w:t>
            </w:r>
          </w:p>
        </w:tc>
        <w:tc>
          <w:tcPr>
            <w:tcW w:type="dxa" w:w="583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内容</w:t>
            </w:r>
          </w:p>
        </w:tc>
        <w:tc>
          <w:tcPr>
            <w:tcW w:type="dxa" w:w="388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主要支撑</w:t>
            </w:r>
          </w:p>
        </w:tc>
      </w:tr>
      <w:tr>
        <w:trPr>
          <w:cantSplit/>
        </w:trPr>
        <w:tc>
          <w:tcPr>
            <w:tcW w:type="dxa" w:w="93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图1</w:t>
            </w:r>
          </w:p>
        </w:tc>
        <w:tc>
          <w:tcPr>
            <w:tcW w:type="dxa" w:w="583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源感知式目标保护型测前自磁场—梯度联合补偿系统框图</w:t>
            </w:r>
          </w:p>
        </w:tc>
        <w:tc>
          <w:tcPr>
            <w:tcW w:type="dxa" w:w="388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整体技术链及模块关系；独立权利要求1和13</w:t>
            </w:r>
          </w:p>
        </w:tc>
      </w:tr>
      <w:tr>
        <w:trPr>
          <w:cantSplit/>
        </w:trPr>
        <w:tc>
          <w:tcPr>
            <w:tcW w:type="dxa" w:w="93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图2</w:t>
            </w:r>
          </w:p>
        </w:tc>
        <w:tc>
          <w:tcPr>
            <w:tcW w:type="dxa" w:w="58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原子磁力仪、三轴均匀场线圈及梯度线圈的空间布置</w:t>
            </w:r>
          </w:p>
        </w:tc>
        <w:tc>
          <w:tcPr>
            <w:tcW w:type="dxa" w:w="388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敏感区域、均匀场和梯度联合补偿</w:t>
            </w:r>
          </w:p>
        </w:tc>
      </w:tr>
      <w:tr>
        <w:trPr>
          <w:cantSplit/>
        </w:trPr>
        <w:tc>
          <w:tcPr>
            <w:tcW w:type="dxa" w:w="93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图3</w:t>
            </w:r>
          </w:p>
        </w:tc>
        <w:tc>
          <w:tcPr>
            <w:tcW w:type="dxa" w:w="583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多源状态采集、预测、驱动求解和测前补偿算法流程</w:t>
            </w:r>
          </w:p>
        </w:tc>
        <w:tc>
          <w:tcPr>
            <w:tcW w:type="dxa" w:w="388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状态同步、模型、约束求解和执行顺序</w:t>
            </w:r>
          </w:p>
        </w:tc>
      </w:tr>
      <w:tr>
        <w:trPr>
          <w:cantSplit/>
        </w:trPr>
        <w:tc>
          <w:tcPr>
            <w:tcW w:type="dxa" w:w="93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图4</w:t>
            </w:r>
          </w:p>
        </w:tc>
        <w:tc>
          <w:tcPr>
            <w:tcW w:type="dxa" w:w="583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载体相关残差分解及目标保护门控流程</w:t>
            </w:r>
          </w:p>
        </w:tc>
        <w:tc>
          <w:tcPr>
            <w:tcW w:type="dxa" w:w="388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投影分解、目标候选判别、反馈限幅与模型冻结</w:t>
            </w:r>
          </w:p>
        </w:tc>
      </w:tr>
      <w:tr>
        <w:trPr>
          <w:cantSplit/>
        </w:trPr>
        <w:tc>
          <w:tcPr>
            <w:tcW w:type="dxa" w:w="93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图5</w:t>
            </w:r>
          </w:p>
        </w:tc>
        <w:tc>
          <w:tcPr>
            <w:tcW w:type="dxa" w:w="583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AUV多源磁干扰和补偿线圈的标定流程</w:t>
            </w:r>
          </w:p>
        </w:tc>
        <w:tc>
          <w:tcPr>
            <w:tcW w:type="dxa" w:w="388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源模型标定、线圈响应矩阵、验证数据集与温度修正</w:t>
            </w:r>
          </w:p>
        </w:tc>
      </w:tr>
    </w:tbl>
    <w:p>
      <w:pPr>
        <w:spacing w:after="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实施例</w:t>
            </w:r>
          </w:p>
        </w:tc>
        <w:tc>
          <w:tcPr>
            <w:tcW w:type="dxa" w:w="3384"/>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主题</w:t>
            </w:r>
          </w:p>
        </w:tc>
        <w:tc>
          <w:tcPr>
            <w:tcW w:type="dxa" w:w="6192"/>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验证或落地重点</w:t>
            </w:r>
          </w:p>
        </w:tc>
      </w:tr>
      <w:tr>
        <w:trPr>
          <w:cantSplit/>
        </w:trPr>
        <w:tc>
          <w:tcPr>
            <w:tcW w:type="dxa" w:w="10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一</w:t>
            </w:r>
          </w:p>
        </w:tc>
        <w:tc>
          <w:tcPr>
            <w:tcW w:type="dxa" w:w="33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系统安装与初始化</w:t>
            </w:r>
          </w:p>
        </w:tc>
        <w:tc>
          <w:tcPr>
            <w:tcW w:type="dxa" w:w="61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非磁性安装、敏感区、时钟同步和通道自检</w:t>
            </w:r>
          </w:p>
        </w:tc>
      </w:tr>
      <w:tr>
        <w:trPr>
          <w:cantSplit/>
        </w:trPr>
        <w:tc>
          <w:tcPr>
            <w:tcW w:type="dxa" w:w="10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二</w:t>
            </w:r>
          </w:p>
        </w:tc>
        <w:tc>
          <w:tcPr>
            <w:tcW w:type="dxa" w:w="33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载体多源磁干扰标定</w:t>
            </w:r>
          </w:p>
        </w:tc>
        <w:tc>
          <w:tcPr>
            <w:tcW w:type="dxa" w:w="61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分源/组合激励、姿态和温度覆盖、动态模型辨识</w:t>
            </w:r>
          </w:p>
        </w:tc>
      </w:tr>
      <w:tr>
        <w:trPr>
          <w:cantSplit/>
        </w:trPr>
        <w:tc>
          <w:tcPr>
            <w:tcW w:type="dxa" w:w="10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三</w:t>
            </w:r>
          </w:p>
        </w:tc>
        <w:tc>
          <w:tcPr>
            <w:tcW w:type="dxa" w:w="33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补偿线圈响应标定</w:t>
            </w:r>
          </w:p>
        </w:tc>
        <w:tc>
          <w:tcPr>
            <w:tcW w:type="dxa" w:w="61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正负多级电流、多空间点、耦合、非线性、条件数</w:t>
            </w:r>
          </w:p>
        </w:tc>
      </w:tr>
      <w:tr>
        <w:trPr>
          <w:cantSplit/>
        </w:trPr>
        <w:tc>
          <w:tcPr>
            <w:tcW w:type="dxa" w:w="10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四</w:t>
            </w:r>
          </w:p>
        </w:tc>
        <w:tc>
          <w:tcPr>
            <w:tcW w:type="dxa" w:w="33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实时测前联合补偿</w:t>
            </w:r>
          </w:p>
        </w:tc>
        <w:tc>
          <w:tcPr>
            <w:tcW w:type="dxa" w:w="61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预测、约束求解、前馈执行和工作区保护</w:t>
            </w:r>
          </w:p>
        </w:tc>
      </w:tr>
      <w:tr>
        <w:trPr>
          <w:cantSplit/>
        </w:trPr>
        <w:tc>
          <w:tcPr>
            <w:tcW w:type="dxa" w:w="10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五</w:t>
            </w:r>
          </w:p>
        </w:tc>
        <w:tc>
          <w:tcPr>
            <w:tcW w:type="dxa" w:w="3384"/>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残差分解与目标保护</w:t>
            </w:r>
          </w:p>
        </w:tc>
        <w:tc>
          <w:tcPr>
            <w:tcW w:type="dxa" w:w="6192"/>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载体相关投影、候选目标判别和更新冻结</w:t>
            </w:r>
          </w:p>
        </w:tc>
      </w:tr>
      <w:tr>
        <w:trPr>
          <w:cantSplit/>
        </w:trPr>
        <w:tc>
          <w:tcPr>
            <w:tcW w:type="dxa" w:w="10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六</w:t>
            </w:r>
          </w:p>
        </w:tc>
        <w:tc>
          <w:tcPr>
            <w:tcW w:type="dxa" w:w="3384"/>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工作区保护与故障处理</w:t>
            </w:r>
          </w:p>
        </w:tc>
        <w:tc>
          <w:tcPr>
            <w:tcW w:type="dxa" w:w="6192"/>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限流、过温、失锁、降级和安全输出</w:t>
            </w:r>
          </w:p>
        </w:tc>
      </w:tr>
    </w:tbl>
    <w:p>
      <w:pPr>
        <w:spacing w:after="0"/>
      </w:pPr>
    </w:p>
    <w:p>
      <w:pPr>
        <w:pStyle w:val="Heading1"/>
        <w:keepNext w:val="true"/>
      </w:pPr>
      <w:r>
        <w:t>十  硬件与数据通道要求</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子系统</w:t>
            </w:r>
          </w:p>
        </w:tc>
        <w:tc>
          <w:tcPr>
            <w:tcW w:type="dxa" w:w="468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建议采集或执行通道</w:t>
            </w:r>
          </w:p>
        </w:tc>
        <w:tc>
          <w:tcPr>
            <w:tcW w:type="dxa" w:w="432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用途</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推进系统</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每个推进器的电流、PWM，优选增加转速</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建立主要时变磁源状态</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电源系统</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电池/母线电流与电压</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表征公共供电回路和负载变化</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功率变换</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关键DC/DC状态、输出电流、ESC状态</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补充开关和负载相关干扰源</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导航运动</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姿态或四元数、角速度、航速</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坐标变换、机动相关建模和目标尺度判断</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环境状态</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温度及必要的历史状态</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温漂、迟滞和响应矩阵修正</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主磁传感器</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原子磁力仪原始输出、状态/锁定标志</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形成受保护测量并监控工作区</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辅助磁传感器</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一只或多只三轴磁力仪</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源模型标定、梯度估计、空间一致性和残差分解</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补偿执行</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三轴均匀场通道＋1或2个主梯度通道起步</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样机阶段的3+1或3+2联合补偿</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驱动与时钟</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低噪声双向恒流驱动、统一硬件时间戳</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准确重放预测量，避免时延造成伪残差</w:t>
            </w:r>
          </w:p>
        </w:tc>
      </w:tr>
    </w:tbl>
    <w:p>
      <w:pPr>
        <w:spacing w:after="0"/>
      </w:pPr>
    </w:p>
    <w:p>
      <w:r>
        <w:rPr>
          <w:rFonts w:ascii="Arial Unicode MS" w:hAnsi="Arial Unicode MS" w:eastAsia="Arial Unicode MS"/>
        </w:rPr>
        <w:t>接口边界：不建议将补偿线圈直接串接或简单比例连接到电机电源/电流。应由多源状态模型和约束求解器产生独立驱动量，以区别于已知的单源反向电流方案，并便于处理姿态、温度、迟滞和交叉耦合。</w:t>
      </w:r>
    </w:p>
    <w:p>
      <w:pPr>
        <w:pStyle w:val="Heading1"/>
        <w:keepNext w:val="true"/>
      </w:pPr>
      <w:r>
        <w:t>十一  标定与验证计划</w:t>
      </w:r>
    </w:p>
    <w:p>
      <w:pPr>
        <w:pStyle w:val="Heading2"/>
        <w:keepNext w:val="true"/>
      </w:pPr>
      <w:r>
        <w:t>载体源模型标定</w:t>
      </w:r>
    </w:p>
    <w:p>
      <w:pPr>
        <w:ind w:left="346" w:hanging="346"/>
      </w:pPr>
      <w:r>
        <w:rPr>
          <w:rFonts w:ascii="Arial Unicode MS" w:hAnsi="Arial Unicode MS" w:eastAsia="Arial Unicode MS"/>
          <w:b/>
          <w:color w:val="2F5597"/>
        </w:rPr>
        <w:t xml:space="preserve">1. </w:t>
      </w:r>
      <w:r>
        <w:rPr>
          <w:rFonts w:ascii="Arial Unicode MS" w:hAnsi="Arial Unicode MS" w:eastAsia="Arial Unicode MS"/>
        </w:rPr>
        <w:t>在稳定磁环境中记录基线，确认原子磁力仪和辅助磁传感器的工作状态。</w:t>
      </w:r>
    </w:p>
    <w:p>
      <w:pPr>
        <w:ind w:left="346" w:hanging="346"/>
      </w:pPr>
      <w:r>
        <w:rPr>
          <w:rFonts w:ascii="Arial Unicode MS" w:hAnsi="Arial Unicode MS" w:eastAsia="Arial Unicode MS"/>
          <w:b/>
          <w:color w:val="2F5597"/>
        </w:rPr>
        <w:t xml:space="preserve">2. </w:t>
      </w:r>
      <w:r>
        <w:rPr>
          <w:rFonts w:ascii="Arial Unicode MS" w:hAnsi="Arial Unicode MS" w:eastAsia="Arial Unicode MS"/>
        </w:rPr>
        <w:t>逐一激励推进器、DC/DC、ESC和其他主要磁源，并覆盖典型组合工况。</w:t>
      </w:r>
    </w:p>
    <w:p>
      <w:pPr>
        <w:ind w:left="346" w:hanging="346"/>
      </w:pPr>
      <w:r>
        <w:rPr>
          <w:rFonts w:ascii="Arial Unicode MS" w:hAnsi="Arial Unicode MS" w:eastAsia="Arial Unicode MS"/>
          <w:b/>
          <w:color w:val="2F5597"/>
        </w:rPr>
        <w:t xml:space="preserve">3. </w:t>
      </w:r>
      <w:r>
        <w:rPr>
          <w:rFonts w:ascii="Arial Unicode MS" w:hAnsi="Arial Unicode MS" w:eastAsia="Arial Unicode MS"/>
        </w:rPr>
        <w:t>覆盖多个姿态、功率点和温度区间，统一对齐状态量和磁场测量的硬件时间戳。</w:t>
      </w:r>
    </w:p>
    <w:p>
      <w:pPr>
        <w:ind w:left="346" w:hanging="346"/>
      </w:pPr>
      <w:r>
        <w:rPr>
          <w:rFonts w:ascii="Arial Unicode MS" w:hAnsi="Arial Unicode MS" w:eastAsia="Arial Unicode MS"/>
          <w:b/>
          <w:color w:val="2F5597"/>
        </w:rPr>
        <w:t xml:space="preserve">4. </w:t>
      </w:r>
      <w:r>
        <w:rPr>
          <w:rFonts w:ascii="Arial Unicode MS" w:hAnsi="Arial Unicode MS" w:eastAsia="Arial Unicode MS"/>
        </w:rPr>
        <w:t>去除基线后识别各源的静态、动态、迟滞和温度响应；构造源响应子空间。</w:t>
      </w:r>
    </w:p>
    <w:p>
      <w:pPr>
        <w:ind w:left="346" w:hanging="346"/>
      </w:pPr>
      <w:r>
        <w:rPr>
          <w:rFonts w:ascii="Arial Unicode MS" w:hAnsi="Arial Unicode MS" w:eastAsia="Arial Unicode MS"/>
          <w:b/>
          <w:color w:val="2F5597"/>
        </w:rPr>
        <w:t xml:space="preserve">5. </w:t>
      </w:r>
      <w:r>
        <w:rPr>
          <w:rFonts w:ascii="Arial Unicode MS" w:hAnsi="Arial Unicode MS" w:eastAsia="Arial Unicode MS"/>
        </w:rPr>
        <w:t>使用独立留出数据集评价预测误差，禁止用同一数据同时拟合和宣称性能。</w:t>
      </w:r>
    </w:p>
    <w:p>
      <w:pPr>
        <w:pStyle w:val="Heading2"/>
        <w:keepNext w:val="true"/>
      </w:pPr>
      <w:r>
        <w:t>补偿线圈标定</w:t>
      </w:r>
    </w:p>
    <w:p>
      <w:pPr>
        <w:ind w:left="346" w:hanging="346"/>
      </w:pPr>
      <w:r>
        <w:rPr>
          <w:rFonts w:ascii="Arial Unicode MS" w:hAnsi="Arial Unicode MS" w:eastAsia="Arial Unicode MS"/>
          <w:b/>
          <w:color w:val="2F5597"/>
        </w:rPr>
        <w:t xml:space="preserve">1. </w:t>
      </w:r>
      <w:r>
        <w:rPr>
          <w:rFonts w:ascii="Arial Unicode MS" w:hAnsi="Arial Unicode MS" w:eastAsia="Arial Unicode MS"/>
        </w:rPr>
        <w:t>保持载体内生源状态稳定，对每个线圈通道施加正负多级电流。</w:t>
      </w:r>
    </w:p>
    <w:p>
      <w:pPr>
        <w:ind w:left="346" w:hanging="346"/>
      </w:pPr>
      <w:r>
        <w:rPr>
          <w:rFonts w:ascii="Arial Unicode MS" w:hAnsi="Arial Unicode MS" w:eastAsia="Arial Unicode MS"/>
          <w:b/>
          <w:color w:val="2F5597"/>
        </w:rPr>
        <w:t xml:space="preserve">2. </w:t>
      </w:r>
      <w:r>
        <w:rPr>
          <w:rFonts w:ascii="Arial Unicode MS" w:hAnsi="Arial Unicode MS" w:eastAsia="Arial Unicode MS"/>
        </w:rPr>
        <w:t>在敏感体参考点及多个邻域点测量磁场，估计均匀场和梯度响应。</w:t>
      </w:r>
    </w:p>
    <w:p>
      <w:pPr>
        <w:ind w:left="346" w:hanging="346"/>
      </w:pPr>
      <w:r>
        <w:rPr>
          <w:rFonts w:ascii="Arial Unicode MS" w:hAnsi="Arial Unicode MS" w:eastAsia="Arial Unicode MS"/>
          <w:b/>
          <w:color w:val="2F5597"/>
        </w:rPr>
        <w:t xml:space="preserve">3. </w:t>
      </w:r>
      <w:r>
        <w:rPr>
          <w:rFonts w:ascii="Arial Unicode MS" w:hAnsi="Arial Unicode MS" w:eastAsia="Arial Unicode MS"/>
        </w:rPr>
        <w:t>形成场—梯度响应矩阵，检查通道耦合、非线性、温度漂移和条件数。</w:t>
      </w:r>
    </w:p>
    <w:p>
      <w:pPr>
        <w:ind w:left="346" w:hanging="346"/>
      </w:pPr>
      <w:r>
        <w:rPr>
          <w:rFonts w:ascii="Arial Unicode MS" w:hAnsi="Arial Unicode MS" w:eastAsia="Arial Unicode MS"/>
          <w:b/>
          <w:color w:val="2F5597"/>
        </w:rPr>
        <w:t xml:space="preserve">4. </w:t>
      </w:r>
      <w:r>
        <w:rPr>
          <w:rFonts w:ascii="Arial Unicode MS" w:hAnsi="Arial Unicode MS" w:eastAsia="Arial Unicode MS"/>
        </w:rPr>
        <w:t>建立温度修正与电流限幅，验证在最大安全驱动下的功耗和温升。</w:t>
      </w:r>
    </w:p>
    <w:p>
      <w:pPr>
        <w:ind w:left="346" w:hanging="346"/>
      </w:pPr>
      <w:r>
        <w:rPr>
          <w:rFonts w:ascii="Arial Unicode MS" w:hAnsi="Arial Unicode MS" w:eastAsia="Arial Unicode MS"/>
          <w:b/>
          <w:color w:val="2F5597"/>
        </w:rPr>
        <w:t xml:space="preserve">5. </w:t>
      </w:r>
      <w:r>
        <w:rPr>
          <w:rFonts w:ascii="Arial Unicode MS" w:hAnsi="Arial Unicode MS" w:eastAsia="Arial Unicode MS"/>
        </w:rPr>
        <w:t>以未参与标定的电流组合验证重构误差和驱动求解稳定性。</w:t>
      </w:r>
    </w:p>
    <w:p>
      <w:pPr>
        <w:pStyle w:val="Heading2"/>
        <w:keepNext w:val="true"/>
      </w:pPr>
      <w:r>
        <w:t>建议验收指标</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指标类别</w:t>
            </w:r>
          </w:p>
        </w:tc>
        <w:tc>
          <w:tcPr>
            <w:tcW w:type="dxa" w:w="432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至少记录的量</w:t>
            </w:r>
          </w:p>
        </w:tc>
        <w:tc>
          <w:tcPr>
            <w:tcW w:type="dxa" w:w="468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用于回答的问题</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传感器保护</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线宽、灵敏度、SNR、锁定率、动态范围占用</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主动补偿是否避免了测量前的物理性能损失</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模型质量</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自场/梯度预测误差、跨工况误差、时延敏感度</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源—场模型是否可用于前馈</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补偿效果</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补偿前后残余自场、残余梯度、噪声谱</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联合补偿是否优于单纯均匀场抵消</w:t>
            </w:r>
          </w:p>
        </w:tc>
      </w:tr>
      <w:tr>
        <w:trPr>
          <w:cantSplit/>
        </w:trPr>
        <w:tc>
          <w:tcPr>
            <w:tcW w:type="dxa" w:w="1656"/>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目标保护</w:t>
            </w:r>
          </w:p>
        </w:tc>
        <w:tc>
          <w:tcPr>
            <w:tcW w:type="dxa" w:w="432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注入或标准目标异常的幅值保持率、波形相关度</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控制和更新是否误消目标</w:t>
            </w:r>
          </w:p>
        </w:tc>
      </w:tr>
      <w:tr>
        <w:trPr>
          <w:cantSplit/>
        </w:trPr>
        <w:tc>
          <w:tcPr>
            <w:tcW w:type="dxa" w:w="1656"/>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鲁棒与安全</w:t>
            </w:r>
          </w:p>
        </w:tc>
        <w:tc>
          <w:tcPr>
            <w:tcW w:type="dxa" w:w="432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限流、过温、失锁、通道故障下的降级行为</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系统是否能安全转入软件补偿或旁路模式</w:t>
            </w:r>
          </w:p>
        </w:tc>
      </w:tr>
    </w:tbl>
    <w:p>
      <w:pPr>
        <w:spacing w:after="0"/>
      </w:pPr>
    </w:p>
    <w:p>
      <w:pPr>
        <w:pStyle w:val="Heading1"/>
        <w:keepNext w:val="true"/>
      </w:pPr>
      <w:r>
        <w:t>十二  已完成事项与后续任务</w:t>
      </w:r>
    </w:p>
    <w:p>
      <w:pPr>
        <w:pStyle w:val="Heading2"/>
        <w:keepNext w:val="true"/>
      </w:pPr>
      <w:r>
        <w:t>已经完成</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确定发明名称、技术主线和与总场闭环调零的本质区别。</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形成源感知前馈、局部场—梯度联合补偿、载体相关残差分解和目标保护门控的组合方案。</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完成摘要、权利要求书1—13、说明书正文、附图说明和六个具体实施例。</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编排图1—5，其中图5用于载体多源干扰与补偿线圈标定流程。</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形成可交给专利代理人继续审核的《完整发明专利申请手稿_审校版.docx》。</w:t>
      </w:r>
    </w:p>
    <w:p>
      <w:pPr>
        <w:pStyle w:val="Heading2"/>
        <w:keepNext w:val="true"/>
      </w:pPr>
      <w:r>
        <w:t>下一阶段的高价值任务</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优先级</w:t>
            </w:r>
          </w:p>
        </w:tc>
        <w:tc>
          <w:tcPr>
            <w:tcW w:type="dxa" w:w="4680"/>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任务</w:t>
            </w:r>
          </w:p>
        </w:tc>
        <w:tc>
          <w:tcPr>
            <w:tcW w:type="dxa" w:w="4968"/>
            <w:shd w:fill="17365D"/>
            <w:tcMar>
              <w:top w:w="90" w:type="dxa"/>
              <w:start w:w="110" w:type="dxa"/>
              <w:bottom w:w="90" w:type="dxa"/>
              <w:end w:w="110" w:type="dxa"/>
            </w:tcMar>
            <w:vAlign w:val="center"/>
          </w:tcPr>
          <w:p>
            <w:pPr>
              <w:spacing w:after="0"/>
              <w:jc w:val="center"/>
            </w:pPr>
            <w:r>
              <w:rPr>
                <w:rFonts w:ascii="Arial Unicode MS" w:hAnsi="Arial Unicode MS" w:eastAsia="Arial Unicode MS"/>
                <w:b/>
                <w:color w:val="FFFFFF"/>
                <w:sz w:val="17"/>
              </w:rPr>
              <w:t>预期产物</w:t>
            </w:r>
          </w:p>
        </w:tc>
      </w:tr>
      <w:tr>
        <w:trPr>
          <w:cantSplit/>
        </w:trPr>
        <w:tc>
          <w:tcPr>
            <w:tcW w:type="dxa" w:w="10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高</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以官方专利文本定点复核权利要求1和13最接近的专利</w:t>
            </w:r>
          </w:p>
        </w:tc>
        <w:tc>
          <w:tcPr>
            <w:tcW w:type="dxa" w:w="496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独立权利要求要素对比表、区别特征和技术效果证据</w:t>
            </w:r>
          </w:p>
        </w:tc>
      </w:tr>
      <w:tr>
        <w:trPr>
          <w:cantSplit/>
        </w:trPr>
        <w:tc>
          <w:tcPr>
            <w:tcW w:type="dxa" w:w="10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高</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实施主动线圈Go/No-Go实验</w:t>
            </w:r>
          </w:p>
        </w:tc>
        <w:tc>
          <w:tcPr>
            <w:tcW w:type="dxa" w:w="496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证明软件补偿是否足够，或证明测前物理保护的必要性</w:t>
            </w:r>
          </w:p>
        </w:tc>
      </w:tr>
      <w:tr>
        <w:trPr>
          <w:cantSplit/>
        </w:trPr>
        <w:tc>
          <w:tcPr>
            <w:tcW w:type="dxa" w:w="10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高</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选定首版3+1或3+2线圈配置</w:t>
            </w:r>
          </w:p>
        </w:tc>
        <w:tc>
          <w:tcPr>
            <w:tcW w:type="dxa" w:w="496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线圈几何、通道响应、驱动需求和预期条件数</w:t>
            </w:r>
          </w:p>
        </w:tc>
      </w:tr>
      <w:tr>
        <w:trPr>
          <w:cantSplit/>
        </w:trPr>
        <w:tc>
          <w:tcPr>
            <w:tcW w:type="dxa" w:w="10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中</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定义标定数据集和验收阈值</w:t>
            </w:r>
          </w:p>
        </w:tc>
        <w:tc>
          <w:tcPr>
            <w:tcW w:type="dxa" w:w="496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采样率、工况矩阵、误差指标、留出集及目标注入方案</w:t>
            </w:r>
          </w:p>
        </w:tc>
      </w:tr>
      <w:tr>
        <w:trPr>
          <w:cantSplit/>
        </w:trPr>
        <w:tc>
          <w:tcPr>
            <w:tcW w:type="dxa" w:w="100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中</w:t>
            </w:r>
          </w:p>
        </w:tc>
        <w:tc>
          <w:tcPr>
            <w:tcW w:type="dxa" w:w="4680"/>
            <w:tcMar>
              <w:top w:w="90" w:type="dxa"/>
              <w:start w:w="110" w:type="dxa"/>
              <w:bottom w:w="90" w:type="dxa"/>
              <w:end w:w="110" w:type="dxa"/>
            </w:tcMar>
            <w:vAlign w:val="top"/>
          </w:tcPr>
          <w:p>
            <w:pPr>
              <w:spacing w:after="0" w:line="259" w:lineRule="auto"/>
            </w:pPr>
            <w:r>
              <w:rPr>
                <w:rFonts w:ascii="Arial Unicode MS" w:hAnsi="Arial Unicode MS" w:eastAsia="Arial Unicode MS"/>
                <w:sz w:val="17"/>
              </w:rPr>
              <w:t>整理给代理人的证据包</w:t>
            </w:r>
          </w:p>
        </w:tc>
        <w:tc>
          <w:tcPr>
            <w:tcW w:type="dxa" w:w="4968"/>
            <w:tcMar>
              <w:top w:w="90" w:type="dxa"/>
              <w:start w:w="110" w:type="dxa"/>
              <w:bottom w:w="90" w:type="dxa"/>
              <w:end w:w="110" w:type="dxa"/>
            </w:tcMar>
            <w:vAlign w:val="top"/>
          </w:tcPr>
          <w:p>
            <w:pPr>
              <w:spacing w:after="0" w:line="259" w:lineRule="auto"/>
            </w:pPr>
            <w:r>
              <w:rPr>
                <w:rFonts w:ascii="Arial Unicode MS" w:hAnsi="Arial Unicode MS" w:eastAsia="Arial Unicode MS"/>
                <w:sz w:val="17"/>
              </w:rPr>
              <w:t>原理图、BOM、标定记录、实验曲线、版本化附图和术语表</w:t>
            </w:r>
          </w:p>
        </w:tc>
      </w:tr>
      <w:tr>
        <w:trPr>
          <w:cantSplit/>
        </w:trPr>
        <w:tc>
          <w:tcPr>
            <w:tcW w:type="dxa" w:w="100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中</w:t>
            </w:r>
          </w:p>
        </w:tc>
        <w:tc>
          <w:tcPr>
            <w:tcW w:type="dxa" w:w="4680"/>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根据定点检索和实验结果修订权利要求</w:t>
            </w:r>
          </w:p>
        </w:tc>
        <w:tc>
          <w:tcPr>
            <w:tcW w:type="dxa" w:w="4968"/>
            <w:tcMar>
              <w:top w:w="90" w:type="dxa"/>
              <w:start w:w="110" w:type="dxa"/>
              <w:bottom w:w="90" w:type="dxa"/>
              <w:end w:w="110" w:type="dxa"/>
            </w:tcMar>
            <w:vAlign w:val="top"/>
            <w:shd w:fill="F8FAFC"/>
          </w:tcPr>
          <w:p>
            <w:pPr>
              <w:spacing w:after="0" w:line="259" w:lineRule="auto"/>
            </w:pPr>
            <w:r>
              <w:rPr>
                <w:rFonts w:ascii="Arial Unicode MS" w:hAnsi="Arial Unicode MS" w:eastAsia="Arial Unicode MS"/>
                <w:sz w:val="17"/>
              </w:rPr>
              <w:t>保留组合结构的稳定独立权利要求及合理从属层级</w:t>
            </w:r>
          </w:p>
        </w:tc>
      </w:tr>
    </w:tbl>
    <w:p>
      <w:pPr>
        <w:spacing w:after="0"/>
      </w:pPr>
    </w:p>
    <w:p>
      <w:pPr>
        <w:pStyle w:val="Heading2"/>
        <w:keepNext w:val="true"/>
      </w:pPr>
      <w:r>
        <w:t>不要重复的工作</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不要再次从“主动磁补偿”“AUV磁补偿”开始做无边界的宽泛检索；直接围绕独立权利要求的区别要素做定点检索。</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不要重复争论主动线圈是否普遍优于软件补偿；当前结论是条件性选择，下一步需要Go/No-Go实验。</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不要把创新点重新归纳为线圈、AUV建模、源电流前馈、梯度补偿或伪逆求解中的任何单一项。</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不要默认总场闭环调零可直接用于目标探测；必须说明环路对外部目标信号的衰减及目标保护机制。</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不要把论文或专利摘要中的相似词直接等同于权利要求覆盖；必须回到原始权利要求逐要素核对。</w:t>
      </w:r>
    </w:p>
    <w:p>
      <w:pPr>
        <w:ind w:left="259" w:hanging="216"/>
      </w:pPr>
      <w:r>
        <w:rPr>
          <w:rFonts w:ascii="Arial Unicode MS" w:hAnsi="Arial Unicode MS" w:eastAsia="Arial Unicode MS"/>
          <w:b/>
          <w:color w:val="2F5597"/>
        </w:rPr>
        <w:t xml:space="preserve">• </w:t>
      </w:r>
      <w:r>
        <w:rPr>
          <w:rFonts w:ascii="Arial Unicode MS" w:hAnsi="Arial Unicode MS" w:eastAsia="Arial Unicode MS"/>
          <w:sz w:val="21"/>
        </w:rPr>
        <w:t>不要凭空补充旧会话中未完整保留的参考文献题名、作者、法律状态或实验数据。</w:t>
      </w:r>
    </w:p>
    <w:p>
      <w:pPr>
        <w:pStyle w:val="Heading1"/>
        <w:keepNext w:val="true"/>
      </w:pPr>
      <w:r>
        <w:t>十三  新会话使用提示</w:t>
      </w:r>
    </w:p>
    <w:p>
      <w:r>
        <w:rPr>
          <w:rFonts w:ascii="Arial Unicode MS" w:hAnsi="Arial Unicode MS" w:eastAsia="Arial Unicode MS"/>
        </w:rPr>
        <w:t>可将以下文字与本文件、专利手稿一起发给新的会话。其作用是锁定研究基线，避免新会话重新从一般性检索开始。</w:t>
      </w:r>
    </w:p>
    <w:p>
      <w:pPr>
        <w:pStyle w:val="Prompt"/>
        <w:spacing w:before="100" w:after="240"/>
      </w:pPr>
      <w:r>
        <w:rPr>
          <w:rFonts w:ascii="Arial Unicode MS" w:hAnsi="Arial Unicode MS" w:eastAsia="Arial Unicode MS"/>
          <w:color w:val="404040"/>
          <w:sz w:val="19"/>
        </w:rPr>
        <w:t>我正在继续研究一项中文发明专利，名称为《一种面向自主水下磁探测的源感知式目标保护型测前自磁场—梯度联合补偿方法及系统》。请先完整阅读随附的《磁探测专利技术续研交接要点》和《完整发明专利申请手稿_审校版》，并把后者作为当前唯一正文基线。不要重新进行宽泛的主动磁补偿、AUV磁补偿或线圈补偿检索，也不要重新判断主动线圈是否天然优于软件补偿。请沿用既有结论：创新重点是多源内生状态驱动的局部自磁场—梯度预测、原子磁力仪敏感区的测前物理补偿、主补偿与外部总场解耦、载体相关残差有限反馈以及目标保护门控的组合。凡涉及新颖性、创造性、专利法律状态或权利要求覆盖，请基于官方原文做定点核查，并明确区分已确认事实、技术推断和待验证假设。本轮请先说明你对当前技术主线、最接近现有技术和下一步高价值任务的理解，再按照我提出的具体问题继续研究。</w:t>
      </w:r>
    </w:p>
    <w:p>
      <w:pPr>
        <w:pStyle w:val="Heading2"/>
        <w:keepNext w:val="true"/>
      </w:pPr>
      <w:r>
        <w:t>新会话应首先核对的三件事</w:t>
      </w:r>
    </w:p>
    <w:p>
      <w:pPr>
        <w:ind w:left="346" w:hanging="346"/>
      </w:pPr>
      <w:r>
        <w:rPr>
          <w:rFonts w:ascii="Arial Unicode MS" w:hAnsi="Arial Unicode MS" w:eastAsia="Arial Unicode MS"/>
          <w:b/>
          <w:color w:val="2F5597"/>
        </w:rPr>
        <w:t xml:space="preserve">1. </w:t>
      </w:r>
      <w:r>
        <w:rPr>
          <w:rFonts w:ascii="Arial Unicode MS" w:hAnsi="Arial Unicode MS" w:eastAsia="Arial Unicode MS"/>
        </w:rPr>
        <w:t>是否正确理解主补偿量来自载体内生状态，而不是来自外部总场误差。</w:t>
      </w:r>
    </w:p>
    <w:p>
      <w:pPr>
        <w:ind w:left="346" w:hanging="346"/>
      </w:pPr>
      <w:r>
        <w:rPr>
          <w:rFonts w:ascii="Arial Unicode MS" w:hAnsi="Arial Unicode MS" w:eastAsia="Arial Unicode MS"/>
          <w:b/>
          <w:color w:val="2F5597"/>
        </w:rPr>
        <w:t xml:space="preserve">2. </w:t>
      </w:r>
      <w:r>
        <w:rPr>
          <w:rFonts w:ascii="Arial Unicode MS" w:hAnsi="Arial Unicode MS" w:eastAsia="Arial Unicode MS"/>
        </w:rPr>
        <w:t>是否正确理解主动线圈的价值在于防止测量形成前的不可恢复性能损失，而不是简单地“比软件更准”。</w:t>
      </w:r>
    </w:p>
    <w:p>
      <w:pPr>
        <w:ind w:left="346" w:hanging="346"/>
      </w:pPr>
      <w:r>
        <w:rPr>
          <w:rFonts w:ascii="Arial Unicode MS" w:hAnsi="Arial Unicode MS" w:eastAsia="Arial Unicode MS"/>
          <w:b/>
          <w:color w:val="2F5597"/>
        </w:rPr>
        <w:t xml:space="preserve">3. </w:t>
      </w:r>
      <w:r>
        <w:rPr>
          <w:rFonts w:ascii="Arial Unicode MS" w:hAnsi="Arial Unicode MS" w:eastAsia="Arial Unicode MS"/>
        </w:rPr>
        <w:t>是否把后续工作聚焦到独立权利要求要素对比、样机Go/No-Go实验和线圈通道方案，而非重复宽泛检索。</w:t>
      </w:r>
    </w:p>
    <w:p>
      <w:r>
        <w:rPr>
          <w:rFonts w:ascii="Arial Unicode MS" w:hAnsi="Arial Unicode MS" w:eastAsia="Arial Unicode MS"/>
        </w:rPr>
        <w:t>交接边界：本文件保存的是截至2026年9月21日的研究共识。新的实验结果、更接近的官方专利文本或代理人意见可以推翻工作假设，但应记录推翻依据，并同步更新专利手稿和本交接文件。</w:t>
      </w:r>
    </w:p>
    <w:sectPr w:rsidR="00FC693F" w:rsidRPr="0006063C" w:rsidSect="00034616">
      <w:headerReference w:type="default" r:id="rId9"/>
      <w:footerReference w:type="default" r:id="rId10"/>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595959"/>
        <w:sz w:val="16"/>
      </w:rPr>
      <w:t>磁探测专利技术续研交接要点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Arial Unicode MS" w:hAnsi="Arial Unicode MS" w:eastAsia="Arial Unicode M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Unicode MS" w:hAnsi="Arial Unicode MS"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Unicode MS" w:hAnsi="Arial Unicode MS"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spacing w:before="40" w:after="120"/>
      <w:ind w:left="346"/>
    </w:pPr>
    <w:rPr>
      <w:rFonts w:ascii="Cambria Math" w:hAnsi="Cambria Math" w:eastAsia="Cambria Math"/>
      <w:sz w:val="21"/>
    </w:rPr>
  </w:style>
  <w:style w:type="paragraph" w:customStyle="1" w:styleId="Compact">
    <w:name w:val="Compact"/>
    <w:basedOn w:val="Normal"/>
    <w:pPr>
      <w:spacing w:line="274" w:lineRule="auto" w:after="40"/>
    </w:pPr>
    <w:rPr>
      <w:sz w:val="19"/>
    </w:rPr>
  </w:style>
  <w:style w:type="paragraph" w:customStyle="1" w:styleId="Prompt">
    <w:name w:val="Prompt"/>
    <w:basedOn w:val="Normal"/>
    <w:pPr>
      <w:spacing w:line="283" w:lineRule="auto"/>
      <w:ind w:left="259" w:right="259"/>
    </w:pPr>
    <w:rPr>
      <w:rFonts w:ascii="Arial Unicode MS" w:hAnsi="Arial Unicode MS" w:eastAsia="Arial Unicode MS"/>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磁探测专利技术续研交接要点</dc:title>
  <dc:subject>跨账号继续研究用的专利技术交接文档</dc:subject>
  <dc:creator>OpenAI Codex</dc:creator>
  <cp:keywords>自主水下航行器, 原子磁力仪, 测前补偿, 磁场梯度, 目标保护</cp:keywords>
  <dc:description>generated by python-docx</dc:description>
  <cp:lastModifiedBy/>
  <cp:revision>1</cp:revision>
  <dcterms:created xsi:type="dcterms:W3CDTF">2013-12-23T23:15:00Z</dcterms:created>
  <dcterms:modified xsi:type="dcterms:W3CDTF">2013-12-23T23:15:00Z</dcterms:modified>
  <cp:category/>
</cp:coreProperties>
</file>