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597B" w14:textId="2A966E82" w:rsidR="00AC4DD3" w:rsidRDefault="0064114C">
      <w:r>
        <w:rPr>
          <w:rFonts w:hint="eastAsia"/>
        </w:rPr>
        <w:t>策略逻辑：</w:t>
      </w:r>
    </w:p>
    <w:p w14:paraId="5A317495" w14:textId="77777777" w:rsidR="0064114C" w:rsidRPr="0064114C" w:rsidRDefault="0064114C" w:rsidP="0064114C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var(--jp-content-font-family)" w:eastAsia="宋体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36"/>
          <w:sz w:val="48"/>
          <w:szCs w:val="48"/>
        </w:rPr>
        <w:t>动量因子</w:t>
      </w:r>
    </w:p>
    <w:p w14:paraId="36525D48" w14:textId="77777777" w:rsidR="0064114C" w:rsidRPr="0064114C" w:rsidRDefault="0064114C" w:rsidP="0064114C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var(--jp-content-font-family)" w:eastAsia="宋体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36"/>
          <w:sz w:val="48"/>
          <w:szCs w:val="48"/>
        </w:rPr>
        <w:t>动量策略的一点历史</w:t>
      </w:r>
    </w:p>
    <w:p w14:paraId="10D1753E" w14:textId="77777777" w:rsidR="0064114C" w:rsidRPr="0064114C" w:rsidRDefault="0064114C" w:rsidP="0064114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jp-content-font-family)" w:eastAsia="宋体" w:hAnsi="var(--jp-content-font-family)" w:cs="Segoe UI"/>
          <w:b/>
          <w:bCs/>
          <w:color w:val="000000"/>
          <w:kern w:val="0"/>
          <w:sz w:val="36"/>
          <w:szCs w:val="36"/>
        </w:rPr>
      </w:pPr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0"/>
          <w:sz w:val="36"/>
          <w:szCs w:val="36"/>
        </w:rPr>
        <w:t>三大互补</w:t>
      </w:r>
      <w:proofErr w:type="gramStart"/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0"/>
          <w:sz w:val="36"/>
          <w:szCs w:val="36"/>
        </w:rPr>
        <w:t>选股维度</w:t>
      </w:r>
      <w:proofErr w:type="gramEnd"/>
    </w:p>
    <w:p w14:paraId="4E8B7615" w14:textId="77777777" w:rsidR="0064114C" w:rsidRPr="0064114C" w:rsidRDefault="0064114C" w:rsidP="0064114C">
      <w:pPr>
        <w:widowControl/>
        <w:shd w:val="clear" w:color="auto" w:fill="FFFFFF"/>
        <w:spacing w:after="24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、</w:t>
      </w: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Momentum:</w:t>
      </w:r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0"/>
          <w:szCs w:val="21"/>
        </w:rPr>
        <w:t>当价格沿着过去的轨迹继续运动时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（即价格上涨的还会涨，价格下跌的还会跌），我们能够获得收益；</w:t>
      </w:r>
    </w:p>
    <w:p w14:paraId="573DE40F" w14:textId="77777777" w:rsidR="0064114C" w:rsidRPr="0064114C" w:rsidRDefault="0064114C" w:rsidP="0064114C">
      <w:pPr>
        <w:widowControl/>
        <w:shd w:val="clear" w:color="auto" w:fill="FFFFFF"/>
        <w:spacing w:after="24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2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、</w:t>
      </w: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Value:</w:t>
      </w:r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0"/>
          <w:szCs w:val="21"/>
        </w:rPr>
        <w:t>当价格恢复到之前的某种均衡状态时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（即价格围绕基本</w:t>
      </w:r>
      <w:proofErr w:type="gramStart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面价值</w:t>
      </w:r>
      <w:proofErr w:type="gramEnd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往复运动），我们能够获得收益；</w:t>
      </w:r>
    </w:p>
    <w:p w14:paraId="7C630AE2" w14:textId="77777777" w:rsidR="0064114C" w:rsidRPr="0064114C" w:rsidRDefault="0064114C" w:rsidP="0064114C">
      <w:pPr>
        <w:widowControl/>
        <w:shd w:val="clear" w:color="auto" w:fill="FFFFFF"/>
        <w:spacing w:after="24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3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、</w:t>
      </w: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Carry:</w:t>
      </w:r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0"/>
          <w:szCs w:val="21"/>
        </w:rPr>
        <w:t>当价格不发生变化时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，我们能够获得收益。股东分红收益。</w:t>
      </w:r>
    </w:p>
    <w:p w14:paraId="7EA56E78" w14:textId="77777777" w:rsidR="0064114C" w:rsidRPr="0064114C" w:rsidRDefault="0064114C" w:rsidP="0064114C">
      <w:pPr>
        <w:widowControl/>
        <w:shd w:val="clear" w:color="auto" w:fill="FFFFFF"/>
        <w:spacing w:after="24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注：假如我们买入一支股票并一直持有，如果股票价格不变，那么我们获得的收益就是该股票的分红。股息率（</w:t>
      </w:r>
      <w:proofErr w:type="spellStart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diviedend</w:t>
      </w:r>
      <w:proofErr w:type="spellEnd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yield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）就是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Carry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收益率。</w:t>
      </w:r>
    </w:p>
    <w:p w14:paraId="2B8BE0DD" w14:textId="77777777" w:rsidR="0064114C" w:rsidRPr="0064114C" w:rsidRDefault="0064114C" w:rsidP="0064114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jp-content-font-family)" w:eastAsia="宋体" w:hAnsi="var(--jp-content-font-family)" w:cs="Segoe UI"/>
          <w:b/>
          <w:bCs/>
          <w:color w:val="000000"/>
          <w:kern w:val="0"/>
          <w:sz w:val="36"/>
          <w:szCs w:val="36"/>
        </w:rPr>
      </w:pPr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0"/>
          <w:sz w:val="36"/>
          <w:szCs w:val="36"/>
        </w:rPr>
        <w:t>动量策略的发展</w:t>
      </w:r>
    </w:p>
    <w:p w14:paraId="303E4E16" w14:textId="77777777" w:rsidR="0064114C" w:rsidRPr="0064114C" w:rsidRDefault="0064114C" w:rsidP="006411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1967</w:t>
      </w: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年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，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Robert Levy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在</w:t>
      </w:r>
      <w:r w:rsidRPr="0064114C">
        <w:rPr>
          <w:rFonts w:ascii="var(--jp-content-font-family)" w:eastAsia="宋体" w:hAnsi="var(--jp-content-font-family)" w:cs="Segoe UI"/>
          <w:i/>
          <w:iCs/>
          <w:color w:val="000000"/>
          <w:kern w:val="0"/>
          <w:szCs w:val="21"/>
        </w:rPr>
        <w:t>Journal of Finance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 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发表了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Relative Strength as a Criterion for Investment Selection 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的文章（当年动量一词还未被造出）；</w:t>
      </w:r>
    </w:p>
    <w:p w14:paraId="614666A0" w14:textId="77777777" w:rsidR="0064114C" w:rsidRPr="0064114C" w:rsidRDefault="0064114C" w:rsidP="006411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1970s</w:t>
      </w: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开始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，有效市场假说（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EMH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）被提出并成为主流；</w:t>
      </w:r>
      <w:r w:rsidRPr="0064114C">
        <w:rPr>
          <w:rFonts w:ascii="var(--jp-content-font-family)" w:eastAsia="宋体" w:hAnsi="var(--jp-content-font-family)" w:cs="Segoe UI"/>
          <w:b/>
          <w:bCs/>
          <w:color w:val="000000"/>
          <w:kern w:val="0"/>
          <w:szCs w:val="21"/>
        </w:rPr>
        <w:t>动量现象的研究被极大地抑制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。随着人们对市场理解的加深以及价值投资的巨大成功，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EMH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不再权威，但</w:t>
      </w:r>
      <w:proofErr w:type="gramStart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动量任然被</w:t>
      </w:r>
      <w:proofErr w:type="gramEnd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认为是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‘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一种黑色艺术、一种巫术魔力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’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；</w:t>
      </w:r>
    </w:p>
    <w:p w14:paraId="64DBF0A6" w14:textId="77777777" w:rsidR="0064114C" w:rsidRPr="0064114C" w:rsidRDefault="0064114C" w:rsidP="0064114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1993</w:t>
      </w: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年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，</w:t>
      </w:r>
      <w:proofErr w:type="spellStart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Jegadeesh</w:t>
      </w:r>
      <w:proofErr w:type="spellEnd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Titman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在</w:t>
      </w:r>
      <w:r w:rsidRPr="0064114C">
        <w:rPr>
          <w:rFonts w:ascii="var(--jp-content-font-family)" w:eastAsia="宋体" w:hAnsi="var(--jp-content-font-family)" w:cs="Segoe UI"/>
          <w:i/>
          <w:iCs/>
          <w:color w:val="000000"/>
          <w:kern w:val="0"/>
          <w:szCs w:val="21"/>
        </w:rPr>
        <w:t>Journal of Finance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 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发表了一篇里程碑式的文章，题为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Return to Buying Winners and Selling </w:t>
      </w:r>
      <w:proofErr w:type="spellStart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Losers:Implications</w:t>
      </w:r>
      <w:proofErr w:type="spellEnd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for Stock Market Efficiency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；</w:t>
      </w:r>
    </w:p>
    <w:p w14:paraId="64ABF90D" w14:textId="77777777" w:rsidR="0064114C" w:rsidRPr="0064114C" w:rsidRDefault="0064114C" w:rsidP="0064114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2008</w:t>
      </w: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年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，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EMH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之父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Eugene </w:t>
      </w:r>
      <w:proofErr w:type="spellStart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Fama</w:t>
      </w:r>
      <w:proofErr w:type="spellEnd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在美国金融协会的采访中承认了动量的存在；</w:t>
      </w:r>
    </w:p>
    <w:p w14:paraId="347E6561" w14:textId="77777777" w:rsidR="0064114C" w:rsidRPr="0064114C" w:rsidRDefault="0064114C" w:rsidP="0064114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2013</w:t>
      </w:r>
      <w:r w:rsidRPr="0064114C">
        <w:rPr>
          <w:rFonts w:ascii="var(--jp-code-font-family)" w:eastAsia="宋体" w:hAnsi="var(--jp-code-font-family)" w:cs="宋体"/>
          <w:color w:val="000000"/>
          <w:kern w:val="0"/>
          <w:sz w:val="24"/>
          <w:szCs w:val="24"/>
          <w:bdr w:val="none" w:sz="0" w:space="0" w:color="auto" w:frame="1"/>
        </w:rPr>
        <w:t>年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，</w:t>
      </w:r>
      <w:proofErr w:type="spellStart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Asness</w:t>
      </w:r>
      <w:proofErr w:type="spellEnd"/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等人在</w:t>
      </w:r>
      <w:r w:rsidRPr="0064114C">
        <w:rPr>
          <w:rFonts w:ascii="var(--jp-content-font-family)" w:eastAsia="宋体" w:hAnsi="var(--jp-content-font-family)" w:cs="Segoe UI"/>
          <w:i/>
          <w:iCs/>
          <w:color w:val="000000"/>
          <w:kern w:val="0"/>
          <w:szCs w:val="21"/>
        </w:rPr>
        <w:t>Journal of Finance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 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发表了影响深远的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Value and Momentum Everywhere</w:t>
      </w:r>
      <w:r w:rsidRPr="0064114C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。</w:t>
      </w:r>
    </w:p>
    <w:p w14:paraId="603683DF" w14:textId="77777777" w:rsidR="0064114C" w:rsidRDefault="0064114C" w:rsidP="0064114C">
      <w:pPr>
        <w:pStyle w:val="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基础版动量策略</w:t>
      </w:r>
    </w:p>
    <w:p w14:paraId="266DF926" w14:textId="77777777" w:rsidR="0064114C" w:rsidRDefault="0064114C" w:rsidP="0064114C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策略出发点</w:t>
      </w:r>
    </w:p>
    <w:p w14:paraId="63FBF94D" w14:textId="77777777" w:rsidR="0064114C" w:rsidRDefault="0064114C" w:rsidP="0064114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</w:t>
      </w:r>
      <w:r>
        <w:rPr>
          <w:rFonts w:ascii="Segoe UI" w:hAnsi="Segoe UI" w:cs="Segoe UI"/>
          <w:sz w:val="21"/>
          <w:szCs w:val="21"/>
        </w:rPr>
        <w:t>、</w:t>
      </w:r>
      <w:r>
        <w:rPr>
          <w:rStyle w:val="HTML"/>
          <w:rFonts w:ascii="var(--jp-code-font-family)" w:hAnsi="var(--jp-code-font-family)"/>
          <w:bdr w:val="none" w:sz="0" w:space="0" w:color="auto" w:frame="1"/>
        </w:rPr>
        <w:t>在中国股市中，反转强于动量</w:t>
      </w:r>
      <w:r>
        <w:rPr>
          <w:rFonts w:ascii="Segoe UI" w:hAnsi="Segoe UI" w:cs="Segoe UI"/>
          <w:sz w:val="21"/>
          <w:szCs w:val="21"/>
        </w:rPr>
        <w:t>，</w:t>
      </w:r>
      <w:proofErr w:type="gramStart"/>
      <w:r>
        <w:rPr>
          <w:rFonts w:ascii="Segoe UI" w:hAnsi="Segoe UI" w:cs="Segoe UI"/>
          <w:sz w:val="21"/>
          <w:szCs w:val="21"/>
        </w:rPr>
        <w:t>且海外</w:t>
      </w:r>
      <w:proofErr w:type="gramEnd"/>
      <w:r>
        <w:rPr>
          <w:rFonts w:ascii="Segoe UI" w:hAnsi="Segoe UI" w:cs="Segoe UI"/>
          <w:sz w:val="21"/>
          <w:szCs w:val="21"/>
        </w:rPr>
        <w:t>流行的动量选股方法（即使用</w:t>
      </w:r>
      <w:r>
        <w:rPr>
          <w:rFonts w:ascii="Segoe UI" w:hAnsi="Segoe UI" w:cs="Segoe UI"/>
          <w:sz w:val="21"/>
          <w:szCs w:val="21"/>
        </w:rPr>
        <w:t>t-12</w:t>
      </w:r>
      <w:r>
        <w:rPr>
          <w:rFonts w:ascii="Segoe UI" w:hAnsi="Segoe UI" w:cs="Segoe UI"/>
          <w:sz w:val="21"/>
          <w:szCs w:val="21"/>
        </w:rPr>
        <w:t>月到</w:t>
      </w:r>
      <w:r>
        <w:rPr>
          <w:rFonts w:ascii="Segoe UI" w:hAnsi="Segoe UI" w:cs="Segoe UI"/>
          <w:sz w:val="21"/>
          <w:szCs w:val="21"/>
        </w:rPr>
        <w:t>t-1</w:t>
      </w:r>
      <w:r>
        <w:rPr>
          <w:rFonts w:ascii="Segoe UI" w:hAnsi="Segoe UI" w:cs="Segoe UI"/>
          <w:sz w:val="21"/>
          <w:szCs w:val="21"/>
        </w:rPr>
        <w:t>月之间的收益率选股）并不好使。</w:t>
      </w:r>
    </w:p>
    <w:p w14:paraId="5497D849" w14:textId="77777777" w:rsidR="0064114C" w:rsidRDefault="0064114C" w:rsidP="0064114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>、在构造动量因子时，应该</w:t>
      </w:r>
      <w:r>
        <w:rPr>
          <w:rStyle w:val="HTML"/>
          <w:rFonts w:ascii="var(--jp-code-font-family)" w:hAnsi="var(--jp-code-font-family)"/>
          <w:bdr w:val="none" w:sz="0" w:space="0" w:color="auto" w:frame="1"/>
        </w:rPr>
        <w:t>注意其在市值因子上的暴露</w:t>
      </w:r>
      <w:r>
        <w:rPr>
          <w:rFonts w:ascii="Segoe UI" w:hAnsi="Segoe UI" w:cs="Segoe UI"/>
          <w:sz w:val="21"/>
          <w:szCs w:val="21"/>
        </w:rPr>
        <w:t>。</w:t>
      </w:r>
    </w:p>
    <w:p w14:paraId="60515623" w14:textId="77777777" w:rsidR="0064114C" w:rsidRDefault="0064114C" w:rsidP="0064114C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构造动量因子</w:t>
      </w:r>
    </w:p>
    <w:p w14:paraId="2B6272F4" w14:textId="77777777" w:rsidR="0064114C" w:rsidRDefault="0064114C" w:rsidP="0064114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使用过去</w:t>
      </w:r>
      <w:r>
        <w:rPr>
          <w:rFonts w:ascii="Segoe UI" w:hAnsi="Segoe UI" w:cs="Segoe UI"/>
          <w:sz w:val="21"/>
          <w:szCs w:val="21"/>
        </w:rPr>
        <w:t>60</w:t>
      </w:r>
      <w:r>
        <w:rPr>
          <w:rFonts w:ascii="Segoe UI" w:hAnsi="Segoe UI" w:cs="Segoe UI"/>
          <w:sz w:val="21"/>
          <w:szCs w:val="21"/>
        </w:rPr>
        <w:t>个交易</w:t>
      </w:r>
      <w:proofErr w:type="gramStart"/>
      <w:r>
        <w:rPr>
          <w:rFonts w:ascii="Segoe UI" w:hAnsi="Segoe UI" w:cs="Segoe UI"/>
          <w:sz w:val="21"/>
          <w:szCs w:val="21"/>
        </w:rPr>
        <w:t>日风险</w:t>
      </w:r>
      <w:proofErr w:type="gramEnd"/>
      <w:r>
        <w:rPr>
          <w:rFonts w:ascii="Segoe UI" w:hAnsi="Segoe UI" w:cs="Segoe UI"/>
          <w:sz w:val="21"/>
          <w:szCs w:val="21"/>
        </w:rPr>
        <w:t>调整后的涨跌</w:t>
      </w:r>
      <w:proofErr w:type="gramStart"/>
      <w:r>
        <w:rPr>
          <w:rFonts w:ascii="Segoe UI" w:hAnsi="Segoe UI" w:cs="Segoe UI"/>
          <w:sz w:val="21"/>
          <w:szCs w:val="21"/>
        </w:rPr>
        <w:t>幅作为</w:t>
      </w:r>
      <w:proofErr w:type="gramEnd"/>
      <w:r>
        <w:rPr>
          <w:rFonts w:ascii="Segoe UI" w:hAnsi="Segoe UI" w:cs="Segoe UI"/>
          <w:sz w:val="21"/>
          <w:szCs w:val="21"/>
        </w:rPr>
        <w:t>动量因子（它和市值因子的相关性仅为</w:t>
      </w:r>
      <w:r>
        <w:rPr>
          <w:rFonts w:ascii="Segoe UI" w:hAnsi="Segoe UI" w:cs="Segoe UI"/>
          <w:sz w:val="21"/>
          <w:szCs w:val="21"/>
        </w:rPr>
        <w:t>0.085</w:t>
      </w:r>
      <w:r>
        <w:rPr>
          <w:rFonts w:ascii="Segoe UI" w:hAnsi="Segoe UI" w:cs="Segoe UI"/>
          <w:sz w:val="21"/>
          <w:szCs w:val="21"/>
        </w:rPr>
        <w:t>），其计算公式如下所示：</w:t>
      </w:r>
    </w:p>
    <w:p w14:paraId="7AE0C63D" w14:textId="77777777" w:rsidR="0064114C" w:rsidRDefault="0064114C" w:rsidP="0064114C">
      <w:pPr>
        <w:pStyle w:val="3"/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r60−3000</w:t>
      </w:r>
      <w:r>
        <w:rPr>
          <w:rFonts w:ascii="MS Gothic" w:eastAsia="MS Gothic" w:hAnsi="MS Gothic" w:cs="MS Gothic" w:hint="eastAsia"/>
        </w:rPr>
        <w:t>∗</w:t>
      </w:r>
      <w:r>
        <w:rPr>
          <w:rFonts w:ascii="Segoe UI" w:hAnsi="Segoe UI" w:cs="Segoe UI"/>
        </w:rPr>
        <w:t>σ2</w:t>
      </w:r>
    </w:p>
    <w:p w14:paraId="1C221CEE" w14:textId="153582FB" w:rsidR="0064114C" w:rsidRDefault="0064114C" w:rsidP="0064114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其中</w:t>
      </w:r>
      <w:r>
        <w:rPr>
          <w:rFonts w:ascii="Segoe UI" w:hAnsi="Segoe UI" w:cs="Segoe UI"/>
          <w:sz w:val="21"/>
          <w:szCs w:val="21"/>
        </w:rPr>
        <w:t>r60</w:t>
      </w:r>
      <w:r>
        <w:rPr>
          <w:rFonts w:ascii="Segoe UI" w:hAnsi="Segoe UI" w:cs="Segoe UI"/>
          <w:sz w:val="21"/>
          <w:szCs w:val="21"/>
        </w:rPr>
        <w:t>为</w:t>
      </w:r>
      <w:r>
        <w:rPr>
          <w:rFonts w:ascii="Segoe UI" w:hAnsi="Segoe UI" w:cs="Segoe UI"/>
          <w:sz w:val="21"/>
          <w:szCs w:val="21"/>
        </w:rPr>
        <w:t>60</w:t>
      </w:r>
      <w:r>
        <w:rPr>
          <w:rFonts w:ascii="Segoe UI" w:hAnsi="Segoe UI" w:cs="Segoe UI"/>
          <w:sz w:val="21"/>
          <w:szCs w:val="21"/>
        </w:rPr>
        <w:t>日涨跌幅，即</w:t>
      </w:r>
      <w:r>
        <w:rPr>
          <w:rFonts w:ascii="Segoe UI" w:hAnsi="Segoe UI" w:cs="Segoe UI"/>
          <w:sz w:val="21"/>
          <w:szCs w:val="21"/>
        </w:rPr>
        <w:t>60</w:t>
      </w:r>
      <w:r>
        <w:rPr>
          <w:rFonts w:ascii="Segoe UI" w:hAnsi="Segoe UI" w:cs="Segoe UI"/>
          <w:sz w:val="21"/>
          <w:szCs w:val="21"/>
        </w:rPr>
        <w:t>个交易日内的收益率</w:t>
      </w:r>
      <w:r>
        <w:rPr>
          <w:rFonts w:ascii="Segoe UI" w:hAnsi="Segoe UI" w:cs="Segoe UI"/>
          <w:sz w:val="21"/>
          <w:szCs w:val="21"/>
        </w:rPr>
        <w:t>;σ</w:t>
      </w:r>
      <w:r>
        <w:rPr>
          <w:rFonts w:ascii="Segoe UI" w:hAnsi="Segoe UI" w:cs="Segoe UI"/>
          <w:sz w:val="21"/>
          <w:szCs w:val="21"/>
        </w:rPr>
        <w:t>为</w:t>
      </w:r>
      <w:r>
        <w:rPr>
          <w:rFonts w:ascii="Segoe UI" w:hAnsi="Segoe UI" w:cs="Segoe UI"/>
          <w:sz w:val="21"/>
          <w:szCs w:val="21"/>
        </w:rPr>
        <w:t>60</w:t>
      </w:r>
      <w:r>
        <w:rPr>
          <w:rFonts w:ascii="Segoe UI" w:hAnsi="Segoe UI" w:cs="Segoe UI"/>
          <w:sz w:val="21"/>
          <w:szCs w:val="21"/>
        </w:rPr>
        <w:t>个交易日内收益率的标准差，代表风险。</w:t>
      </w:r>
    </w:p>
    <w:p w14:paraId="40EE86C3" w14:textId="69D29147" w:rsidR="0064114C" w:rsidRPr="0064114C" w:rsidRDefault="0064114C" w:rsidP="0064114C">
      <w:pPr>
        <w:pStyle w:val="2"/>
        <w:shd w:val="clear" w:color="auto" w:fill="FFFFFF"/>
        <w:rPr>
          <w:rFonts w:ascii="Segoe UI" w:hAnsi="Segoe UI" w:cs="Segoe UI" w:hint="eastAsia"/>
        </w:rPr>
      </w:pPr>
      <w:r>
        <w:rPr>
          <w:rFonts w:ascii="Segoe UI" w:hAnsi="Segoe UI" w:cs="Segoe UI"/>
        </w:rPr>
        <w:t>策略思想</w:t>
      </w:r>
    </w:p>
    <w:p w14:paraId="11CB26F3" w14:textId="7D071237" w:rsidR="0064114C" w:rsidRPr="0064114C" w:rsidRDefault="0064114C" w:rsidP="0064114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64114C">
        <w:rPr>
          <w:rFonts w:ascii="Segoe UI" w:eastAsia="宋体" w:hAnsi="Segoe UI" w:cs="Segoe UI"/>
          <w:kern w:val="0"/>
          <w:szCs w:val="21"/>
        </w:rPr>
        <w:t>1</w:t>
      </w:r>
      <w:r w:rsidRPr="0064114C">
        <w:rPr>
          <w:rFonts w:ascii="Segoe UI" w:eastAsia="宋体" w:hAnsi="Segoe UI" w:cs="Segoe UI"/>
          <w:kern w:val="0"/>
          <w:szCs w:val="21"/>
        </w:rPr>
        <w:t>、</w:t>
      </w:r>
      <w:proofErr w:type="gramStart"/>
      <w:r w:rsidRPr="0064114C">
        <w:rPr>
          <w:rFonts w:ascii="Segoe UI" w:eastAsia="宋体" w:hAnsi="Segoe UI" w:cs="Segoe UI"/>
          <w:kern w:val="0"/>
          <w:szCs w:val="21"/>
        </w:rPr>
        <w:t>回测期</w:t>
      </w:r>
      <w:proofErr w:type="gramEnd"/>
      <w:r w:rsidRPr="0064114C">
        <w:rPr>
          <w:rFonts w:ascii="Segoe UI" w:eastAsia="宋体" w:hAnsi="Segoe UI" w:cs="Segoe UI"/>
          <w:kern w:val="0"/>
          <w:szCs w:val="21"/>
        </w:rPr>
        <w:t>：</w:t>
      </w:r>
      <w:r w:rsidRPr="0064114C">
        <w:rPr>
          <w:rFonts w:ascii="Segoe UI" w:eastAsia="宋体" w:hAnsi="Segoe UI" w:cs="Segoe UI"/>
          <w:kern w:val="0"/>
          <w:szCs w:val="21"/>
        </w:rPr>
        <w:t>20</w:t>
      </w:r>
      <w:r>
        <w:rPr>
          <w:rFonts w:ascii="Segoe UI" w:eastAsia="宋体" w:hAnsi="Segoe UI" w:cs="Segoe UI"/>
          <w:kern w:val="0"/>
          <w:szCs w:val="21"/>
        </w:rPr>
        <w:t>21</w:t>
      </w:r>
      <w:r w:rsidRPr="0064114C">
        <w:rPr>
          <w:rFonts w:ascii="Segoe UI" w:eastAsia="宋体" w:hAnsi="Segoe UI" w:cs="Segoe UI"/>
          <w:kern w:val="0"/>
          <w:szCs w:val="21"/>
        </w:rPr>
        <w:t>年</w:t>
      </w:r>
      <w:r>
        <w:rPr>
          <w:rFonts w:ascii="Segoe UI" w:eastAsia="宋体" w:hAnsi="Segoe UI" w:cs="Segoe UI"/>
          <w:kern w:val="0"/>
          <w:szCs w:val="21"/>
        </w:rPr>
        <w:t>9</w:t>
      </w:r>
      <w:r w:rsidRPr="0064114C">
        <w:rPr>
          <w:rFonts w:ascii="Segoe UI" w:eastAsia="宋体" w:hAnsi="Segoe UI" w:cs="Segoe UI"/>
          <w:kern w:val="0"/>
          <w:szCs w:val="21"/>
        </w:rPr>
        <w:t>月</w:t>
      </w:r>
      <w:r w:rsidRPr="0064114C">
        <w:rPr>
          <w:rFonts w:ascii="Segoe UI" w:eastAsia="宋体" w:hAnsi="Segoe UI" w:cs="Segoe UI"/>
          <w:kern w:val="0"/>
          <w:szCs w:val="21"/>
        </w:rPr>
        <w:t>1</w:t>
      </w:r>
      <w:r w:rsidRPr="0064114C">
        <w:rPr>
          <w:rFonts w:ascii="Segoe UI" w:eastAsia="宋体" w:hAnsi="Segoe UI" w:cs="Segoe UI"/>
          <w:kern w:val="0"/>
          <w:szCs w:val="21"/>
        </w:rPr>
        <w:t>日至</w:t>
      </w:r>
      <w:r w:rsidRPr="0064114C">
        <w:rPr>
          <w:rFonts w:ascii="Segoe UI" w:eastAsia="宋体" w:hAnsi="Segoe UI" w:cs="Segoe UI"/>
          <w:kern w:val="0"/>
          <w:szCs w:val="21"/>
        </w:rPr>
        <w:t>202</w:t>
      </w:r>
      <w:r>
        <w:rPr>
          <w:rFonts w:ascii="Segoe UI" w:eastAsia="宋体" w:hAnsi="Segoe UI" w:cs="Segoe UI"/>
          <w:kern w:val="0"/>
          <w:szCs w:val="21"/>
        </w:rPr>
        <w:t>2</w:t>
      </w:r>
      <w:r w:rsidRPr="0064114C">
        <w:rPr>
          <w:rFonts w:ascii="Segoe UI" w:eastAsia="宋体" w:hAnsi="Segoe UI" w:cs="Segoe UI"/>
          <w:kern w:val="0"/>
          <w:szCs w:val="21"/>
        </w:rPr>
        <w:t>年</w:t>
      </w:r>
      <w:r>
        <w:rPr>
          <w:rFonts w:ascii="Segoe UI" w:eastAsia="宋体" w:hAnsi="Segoe UI" w:cs="Segoe UI"/>
          <w:kern w:val="0"/>
          <w:szCs w:val="21"/>
        </w:rPr>
        <w:t>8</w:t>
      </w:r>
      <w:r w:rsidRPr="0064114C">
        <w:rPr>
          <w:rFonts w:ascii="Segoe UI" w:eastAsia="宋体" w:hAnsi="Segoe UI" w:cs="Segoe UI"/>
          <w:kern w:val="0"/>
          <w:szCs w:val="21"/>
        </w:rPr>
        <w:t>月</w:t>
      </w:r>
      <w:r w:rsidRPr="0064114C">
        <w:rPr>
          <w:rFonts w:ascii="Segoe UI" w:eastAsia="宋体" w:hAnsi="Segoe UI" w:cs="Segoe UI"/>
          <w:kern w:val="0"/>
          <w:szCs w:val="21"/>
        </w:rPr>
        <w:t>31</w:t>
      </w:r>
      <w:r w:rsidRPr="0064114C">
        <w:rPr>
          <w:rFonts w:ascii="Segoe UI" w:eastAsia="宋体" w:hAnsi="Segoe UI" w:cs="Segoe UI"/>
          <w:kern w:val="0"/>
          <w:szCs w:val="21"/>
        </w:rPr>
        <w:t>日；</w:t>
      </w:r>
    </w:p>
    <w:p w14:paraId="39A20514" w14:textId="77777777" w:rsidR="0064114C" w:rsidRPr="0064114C" w:rsidRDefault="0064114C" w:rsidP="0064114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64114C">
        <w:rPr>
          <w:rFonts w:ascii="Segoe UI" w:eastAsia="宋体" w:hAnsi="Segoe UI" w:cs="Segoe UI"/>
          <w:kern w:val="0"/>
          <w:szCs w:val="21"/>
        </w:rPr>
        <w:t>2</w:t>
      </w:r>
      <w:r w:rsidRPr="0064114C">
        <w:rPr>
          <w:rFonts w:ascii="Segoe UI" w:eastAsia="宋体" w:hAnsi="Segoe UI" w:cs="Segoe UI"/>
          <w:kern w:val="0"/>
          <w:szCs w:val="21"/>
        </w:rPr>
        <w:t>、</w:t>
      </w:r>
      <w:proofErr w:type="gramStart"/>
      <w:r w:rsidRPr="0064114C">
        <w:rPr>
          <w:rFonts w:ascii="Segoe UI" w:eastAsia="宋体" w:hAnsi="Segoe UI" w:cs="Segoe UI"/>
          <w:kern w:val="0"/>
          <w:szCs w:val="21"/>
        </w:rPr>
        <w:t>调仓日</w:t>
      </w:r>
      <w:proofErr w:type="gramEnd"/>
      <w:r w:rsidRPr="0064114C">
        <w:rPr>
          <w:rFonts w:ascii="Segoe UI" w:eastAsia="宋体" w:hAnsi="Segoe UI" w:cs="Segoe UI"/>
          <w:kern w:val="0"/>
          <w:szCs w:val="21"/>
        </w:rPr>
        <w:t>：按月调仓，每月末按收盘价买卖股票；</w:t>
      </w:r>
    </w:p>
    <w:p w14:paraId="17A9B113" w14:textId="7176D5A1" w:rsidR="0064114C" w:rsidRPr="0064114C" w:rsidRDefault="0064114C" w:rsidP="0064114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64114C">
        <w:rPr>
          <w:rFonts w:ascii="Segoe UI" w:eastAsia="宋体" w:hAnsi="Segoe UI" w:cs="Segoe UI"/>
          <w:kern w:val="0"/>
          <w:szCs w:val="21"/>
        </w:rPr>
        <w:t>3</w:t>
      </w:r>
      <w:r w:rsidRPr="0064114C">
        <w:rPr>
          <w:rFonts w:ascii="Segoe UI" w:eastAsia="宋体" w:hAnsi="Segoe UI" w:cs="Segoe UI"/>
          <w:kern w:val="0"/>
          <w:szCs w:val="21"/>
        </w:rPr>
        <w:t>、股票池：</w:t>
      </w:r>
      <w:r>
        <w:rPr>
          <w:rFonts w:ascii="Segoe UI" w:eastAsia="宋体" w:hAnsi="Segoe UI" w:cs="Segoe UI" w:hint="eastAsia"/>
          <w:kern w:val="0"/>
          <w:szCs w:val="21"/>
        </w:rPr>
        <w:t>沪深</w:t>
      </w:r>
      <w:proofErr w:type="gramStart"/>
      <w:r>
        <w:rPr>
          <w:rFonts w:ascii="Segoe UI" w:eastAsia="宋体" w:hAnsi="Segoe UI" w:cs="Segoe UI" w:hint="eastAsia"/>
          <w:kern w:val="0"/>
          <w:szCs w:val="21"/>
        </w:rPr>
        <w:t>3</w:t>
      </w:r>
      <w:r>
        <w:rPr>
          <w:rFonts w:ascii="Segoe UI" w:eastAsia="宋体" w:hAnsi="Segoe UI" w:cs="Segoe UI"/>
          <w:kern w:val="0"/>
          <w:szCs w:val="21"/>
        </w:rPr>
        <w:t>00</w:t>
      </w:r>
      <w:r>
        <w:rPr>
          <w:rFonts w:ascii="Segoe UI" w:eastAsia="宋体" w:hAnsi="Segoe UI" w:cs="Segoe UI" w:hint="eastAsia"/>
          <w:kern w:val="0"/>
          <w:szCs w:val="21"/>
        </w:rPr>
        <w:t>成</w:t>
      </w:r>
      <w:proofErr w:type="gramEnd"/>
      <w:r>
        <w:rPr>
          <w:rFonts w:ascii="Segoe UI" w:eastAsia="宋体" w:hAnsi="Segoe UI" w:cs="Segoe UI" w:hint="eastAsia"/>
          <w:kern w:val="0"/>
          <w:szCs w:val="21"/>
        </w:rPr>
        <w:t>分股</w:t>
      </w:r>
      <w:r w:rsidRPr="0064114C">
        <w:rPr>
          <w:rFonts w:ascii="Segoe UI" w:eastAsia="宋体" w:hAnsi="Segoe UI" w:cs="Segoe UI"/>
          <w:kern w:val="0"/>
          <w:szCs w:val="21"/>
        </w:rPr>
        <w:t>；</w:t>
      </w:r>
    </w:p>
    <w:p w14:paraId="63FAF374" w14:textId="77777777" w:rsidR="0064114C" w:rsidRPr="0064114C" w:rsidRDefault="0064114C" w:rsidP="0064114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64114C">
        <w:rPr>
          <w:rFonts w:ascii="Segoe UI" w:eastAsia="宋体" w:hAnsi="Segoe UI" w:cs="Segoe UI"/>
          <w:kern w:val="0"/>
          <w:szCs w:val="21"/>
        </w:rPr>
        <w:t>4</w:t>
      </w:r>
      <w:r w:rsidRPr="0064114C">
        <w:rPr>
          <w:rFonts w:ascii="Segoe UI" w:eastAsia="宋体" w:hAnsi="Segoe UI" w:cs="Segoe UI"/>
          <w:kern w:val="0"/>
          <w:szCs w:val="21"/>
        </w:rPr>
        <w:t>、交易模型：</w:t>
      </w:r>
    </w:p>
    <w:p w14:paraId="2D5A82E8" w14:textId="77777777" w:rsidR="0064114C" w:rsidRPr="0064114C" w:rsidRDefault="0064114C" w:rsidP="0064114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64114C">
        <w:rPr>
          <w:rFonts w:ascii="Segoe UI" w:eastAsia="宋体" w:hAnsi="Segoe UI" w:cs="Segoe UI"/>
          <w:kern w:val="0"/>
          <w:szCs w:val="21"/>
        </w:rPr>
        <w:t>每月末更新动量指标并重新对股票排名，新股理想</w:t>
      </w:r>
      <w:proofErr w:type="gramStart"/>
      <w:r w:rsidRPr="0064114C">
        <w:rPr>
          <w:rFonts w:ascii="Segoe UI" w:eastAsia="宋体" w:hAnsi="Segoe UI" w:cs="Segoe UI"/>
          <w:kern w:val="0"/>
          <w:szCs w:val="21"/>
        </w:rPr>
        <w:t>仓位</w:t>
      </w:r>
      <w:proofErr w:type="gramEnd"/>
      <w:r w:rsidRPr="0064114C">
        <w:rPr>
          <w:rFonts w:ascii="Segoe UI" w:eastAsia="宋体" w:hAnsi="Segoe UI" w:cs="Segoe UI"/>
          <w:kern w:val="0"/>
          <w:szCs w:val="21"/>
        </w:rPr>
        <w:t>为</w:t>
      </w:r>
      <w:r w:rsidRPr="0064114C">
        <w:rPr>
          <w:rFonts w:ascii="Segoe UI" w:eastAsia="宋体" w:hAnsi="Segoe UI" w:cs="Segoe UI"/>
          <w:kern w:val="0"/>
          <w:szCs w:val="21"/>
        </w:rPr>
        <w:t>1%</w:t>
      </w:r>
      <w:r w:rsidRPr="0064114C">
        <w:rPr>
          <w:rFonts w:ascii="Segoe UI" w:eastAsia="宋体" w:hAnsi="Segoe UI" w:cs="Segoe UI"/>
          <w:kern w:val="0"/>
          <w:szCs w:val="21"/>
        </w:rPr>
        <w:t>，等权配置；</w:t>
      </w:r>
    </w:p>
    <w:p w14:paraId="045CC8FD" w14:textId="76EE86DC" w:rsidR="0064114C" w:rsidRPr="0064114C" w:rsidRDefault="0064114C" w:rsidP="0064114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Cs w:val="21"/>
        </w:rPr>
      </w:pPr>
      <w:r w:rsidRPr="0064114C">
        <w:rPr>
          <w:rFonts w:ascii="Segoe UI" w:eastAsia="宋体" w:hAnsi="Segoe UI" w:cs="Segoe UI"/>
          <w:kern w:val="0"/>
          <w:szCs w:val="21"/>
        </w:rPr>
        <w:t>将成分股按因子排名分为</w:t>
      </w:r>
      <w:r w:rsidRPr="0064114C">
        <w:rPr>
          <w:rFonts w:ascii="Segoe UI" w:eastAsia="宋体" w:hAnsi="Segoe UI" w:cs="Segoe UI"/>
          <w:kern w:val="0"/>
          <w:szCs w:val="21"/>
        </w:rPr>
        <w:t>5</w:t>
      </w:r>
      <w:r w:rsidRPr="0064114C">
        <w:rPr>
          <w:rFonts w:ascii="Segoe UI" w:eastAsia="宋体" w:hAnsi="Segoe UI" w:cs="Segoe UI"/>
          <w:kern w:val="0"/>
          <w:szCs w:val="21"/>
        </w:rPr>
        <w:t>组，由于因子值越大越好，按由小到大排名，组别越大的组合越好，即</w:t>
      </w:r>
      <w:r w:rsidRPr="0064114C">
        <w:rPr>
          <w:rFonts w:ascii="Segoe UI" w:eastAsia="宋体" w:hAnsi="Segoe UI" w:cs="Segoe UI"/>
          <w:kern w:val="0"/>
          <w:szCs w:val="21"/>
        </w:rPr>
        <w:t>G5</w:t>
      </w:r>
      <w:r w:rsidRPr="0064114C">
        <w:rPr>
          <w:rFonts w:ascii="Segoe UI" w:eastAsia="宋体" w:hAnsi="Segoe UI" w:cs="Segoe UI"/>
          <w:kern w:val="0"/>
          <w:szCs w:val="21"/>
        </w:rPr>
        <w:t>组优于</w:t>
      </w:r>
      <w:r w:rsidRPr="0064114C">
        <w:rPr>
          <w:rFonts w:ascii="Segoe UI" w:eastAsia="宋体" w:hAnsi="Segoe UI" w:cs="Segoe UI"/>
          <w:kern w:val="0"/>
          <w:szCs w:val="21"/>
        </w:rPr>
        <w:t>G1</w:t>
      </w:r>
      <w:r w:rsidRPr="0064114C">
        <w:rPr>
          <w:rFonts w:ascii="Segoe UI" w:eastAsia="宋体" w:hAnsi="Segoe UI" w:cs="Segoe UI"/>
          <w:kern w:val="0"/>
          <w:szCs w:val="21"/>
        </w:rPr>
        <w:t>组；</w:t>
      </w:r>
    </w:p>
    <w:p w14:paraId="7697490E" w14:textId="77777777" w:rsidR="0064114C" w:rsidRPr="0064114C" w:rsidRDefault="0064114C" w:rsidP="0064114C">
      <w:pPr>
        <w:widowControl/>
        <w:shd w:val="clear" w:color="auto" w:fill="FFFFFF"/>
        <w:spacing w:after="120"/>
        <w:jc w:val="left"/>
        <w:rPr>
          <w:rFonts w:ascii="Segoe UI" w:eastAsia="宋体" w:hAnsi="Segoe UI" w:cs="Segoe UI"/>
          <w:kern w:val="0"/>
          <w:szCs w:val="21"/>
        </w:rPr>
      </w:pPr>
      <w:r w:rsidRPr="0064114C">
        <w:rPr>
          <w:rFonts w:ascii="Segoe UI" w:eastAsia="宋体" w:hAnsi="Segoe UI" w:cs="Segoe UI"/>
          <w:b/>
          <w:bCs/>
          <w:kern w:val="0"/>
          <w:szCs w:val="21"/>
        </w:rPr>
        <w:t>备注：</w:t>
      </w:r>
      <w:r w:rsidRPr="0064114C">
        <w:rPr>
          <w:rFonts w:ascii="Segoe UI" w:eastAsia="宋体" w:hAnsi="Segoe UI" w:cs="Segoe UI"/>
          <w:kern w:val="0"/>
          <w:szCs w:val="21"/>
        </w:rPr>
        <w:t>由于</w:t>
      </w:r>
      <w:proofErr w:type="gramStart"/>
      <w:r w:rsidRPr="0064114C">
        <w:rPr>
          <w:rFonts w:ascii="Segoe UI" w:eastAsia="宋体" w:hAnsi="Segoe UI" w:cs="Segoe UI"/>
          <w:kern w:val="0"/>
          <w:szCs w:val="21"/>
        </w:rPr>
        <w:t>按日调仓需</w:t>
      </w:r>
      <w:proofErr w:type="gramEnd"/>
      <w:r w:rsidRPr="0064114C">
        <w:rPr>
          <w:rFonts w:ascii="Segoe UI" w:eastAsia="宋体" w:hAnsi="Segoe UI" w:cs="Segoe UI"/>
          <w:kern w:val="0"/>
          <w:szCs w:val="21"/>
        </w:rPr>
        <w:t>提取的</w:t>
      </w:r>
      <w:proofErr w:type="gramStart"/>
      <w:r w:rsidRPr="0064114C">
        <w:rPr>
          <w:rFonts w:ascii="Segoe UI" w:eastAsia="宋体" w:hAnsi="Segoe UI" w:cs="Segoe UI"/>
          <w:kern w:val="0"/>
          <w:szCs w:val="21"/>
        </w:rPr>
        <w:t>日度数据</w:t>
      </w:r>
      <w:proofErr w:type="gramEnd"/>
      <w:r w:rsidRPr="0064114C">
        <w:rPr>
          <w:rFonts w:ascii="Segoe UI" w:eastAsia="宋体" w:hAnsi="Segoe UI" w:cs="Segoe UI"/>
          <w:kern w:val="0"/>
          <w:szCs w:val="21"/>
        </w:rPr>
        <w:t>量较为庞大，此处且先采用</w:t>
      </w:r>
      <w:proofErr w:type="gramStart"/>
      <w:r w:rsidRPr="0064114C">
        <w:rPr>
          <w:rFonts w:ascii="Segoe UI" w:eastAsia="宋体" w:hAnsi="Segoe UI" w:cs="Segoe UI"/>
          <w:kern w:val="0"/>
          <w:szCs w:val="21"/>
        </w:rPr>
        <w:t>按月调仓的</w:t>
      </w:r>
      <w:proofErr w:type="gramEnd"/>
      <w:r w:rsidRPr="0064114C">
        <w:rPr>
          <w:rFonts w:ascii="Segoe UI" w:eastAsia="宋体" w:hAnsi="Segoe UI" w:cs="Segoe UI"/>
          <w:kern w:val="0"/>
          <w:szCs w:val="21"/>
        </w:rPr>
        <w:t>策略来传递高质量动量选</w:t>
      </w:r>
      <w:proofErr w:type="gramStart"/>
      <w:r w:rsidRPr="0064114C">
        <w:rPr>
          <w:rFonts w:ascii="Segoe UI" w:eastAsia="宋体" w:hAnsi="Segoe UI" w:cs="Segoe UI"/>
          <w:kern w:val="0"/>
          <w:szCs w:val="21"/>
        </w:rPr>
        <w:t>股思想</w:t>
      </w:r>
      <w:proofErr w:type="gramEnd"/>
      <w:r w:rsidRPr="0064114C">
        <w:rPr>
          <w:rFonts w:ascii="Segoe UI" w:eastAsia="宋体" w:hAnsi="Segoe UI" w:cs="Segoe UI"/>
          <w:kern w:val="0"/>
          <w:szCs w:val="21"/>
        </w:rPr>
        <w:t>和呈现选股效果。</w:t>
      </w:r>
    </w:p>
    <w:p w14:paraId="189ECCD0" w14:textId="37B88C0D" w:rsidR="0064114C" w:rsidRDefault="0064114C"/>
    <w:p w14:paraId="3DE19861" w14:textId="75586065" w:rsidR="0064114C" w:rsidRDefault="0064114C">
      <w:r>
        <w:rPr>
          <w:rFonts w:hint="eastAsia"/>
        </w:rPr>
        <w:t>代码模型及简要：</w:t>
      </w:r>
    </w:p>
    <w:p w14:paraId="337D1354" w14:textId="3E1FA801" w:rsidR="00FF4D45" w:rsidRPr="0064114C" w:rsidRDefault="0064114C" w:rsidP="0064114C">
      <w:pPr>
        <w:pStyle w:val="a8"/>
        <w:numPr>
          <w:ilvl w:val="0"/>
          <w:numId w:val="10"/>
        </w:numPr>
        <w:ind w:firstLineChars="0"/>
      </w:pPr>
      <w:r>
        <w:rPr>
          <w:rFonts w:ascii="Segoe UI" w:hAnsi="Segoe UI" w:cs="Segoe UI"/>
          <w:szCs w:val="21"/>
          <w:shd w:val="clear" w:color="auto" w:fill="FFFFFF"/>
        </w:rPr>
        <w:t>先提取出各调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仓日满足选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股条件的股票对应的</w:t>
      </w:r>
      <w:r>
        <w:rPr>
          <w:rStyle w:val="a6"/>
          <w:rFonts w:ascii="Segoe UI" w:hAnsi="Segoe UI" w:cs="Segoe UI"/>
          <w:szCs w:val="21"/>
          <w:shd w:val="clear" w:color="auto" w:fill="FFFFFF"/>
        </w:rPr>
        <w:t>过去</w:t>
      </w:r>
      <w:r>
        <w:rPr>
          <w:rStyle w:val="a6"/>
          <w:rFonts w:ascii="Segoe UI" w:hAnsi="Segoe UI" w:cs="Segoe UI"/>
          <w:szCs w:val="21"/>
          <w:shd w:val="clear" w:color="auto" w:fill="FFFFFF"/>
        </w:rPr>
        <w:t>60</w:t>
      </w:r>
      <w:r>
        <w:rPr>
          <w:rStyle w:val="a6"/>
          <w:rFonts w:ascii="Segoe UI" w:hAnsi="Segoe UI" w:cs="Segoe UI"/>
          <w:szCs w:val="21"/>
          <w:shd w:val="clear" w:color="auto" w:fill="FFFFFF"/>
        </w:rPr>
        <w:t>日涨跌幅</w:t>
      </w:r>
      <w:r>
        <w:rPr>
          <w:rFonts w:ascii="Segoe UI" w:hAnsi="Segoe UI" w:cs="Segoe UI"/>
          <w:szCs w:val="21"/>
          <w:shd w:val="clear" w:color="auto" w:fill="FFFFFF"/>
        </w:rPr>
        <w:t>，再提取各股票</w:t>
      </w:r>
      <w:r>
        <w:rPr>
          <w:rStyle w:val="a6"/>
          <w:rFonts w:ascii="Segoe UI" w:hAnsi="Segoe UI" w:cs="Segoe UI"/>
          <w:szCs w:val="21"/>
          <w:shd w:val="clear" w:color="auto" w:fill="FFFFFF"/>
        </w:rPr>
        <w:t>过去</w:t>
      </w:r>
      <w:r>
        <w:rPr>
          <w:rStyle w:val="a6"/>
          <w:rFonts w:ascii="Segoe UI" w:hAnsi="Segoe UI" w:cs="Segoe UI"/>
          <w:szCs w:val="21"/>
          <w:shd w:val="clear" w:color="auto" w:fill="FFFFFF"/>
        </w:rPr>
        <w:t>60</w:t>
      </w:r>
      <w:r>
        <w:rPr>
          <w:rStyle w:val="a6"/>
          <w:rFonts w:ascii="Segoe UI" w:hAnsi="Segoe UI" w:cs="Segoe UI"/>
          <w:szCs w:val="21"/>
          <w:shd w:val="clear" w:color="auto" w:fill="FFFFFF"/>
        </w:rPr>
        <w:t>日的收益波动率</w:t>
      </w:r>
      <w:r>
        <w:rPr>
          <w:rFonts w:ascii="Segoe UI" w:hAnsi="Segoe UI" w:cs="Segoe UI"/>
          <w:szCs w:val="21"/>
          <w:shd w:val="clear" w:color="auto" w:fill="FFFFFF"/>
        </w:rPr>
        <w:t>，最后利用前面的因子计算公式</w:t>
      </w:r>
      <w:r>
        <w:rPr>
          <w:rStyle w:val="a6"/>
          <w:rFonts w:ascii="Segoe UI" w:hAnsi="Segoe UI" w:cs="Segoe UI"/>
          <w:szCs w:val="21"/>
          <w:shd w:val="clear" w:color="auto" w:fill="FFFFFF"/>
        </w:rPr>
        <w:t>计算动量因子</w:t>
      </w:r>
      <w:r>
        <w:rPr>
          <w:rFonts w:ascii="Segoe UI" w:hAnsi="Segoe UI" w:cs="Segoe UI"/>
          <w:szCs w:val="21"/>
          <w:shd w:val="clear" w:color="auto" w:fill="FFFFFF"/>
        </w:rPr>
        <w:t>。</w:t>
      </w:r>
    </w:p>
    <w:p w14:paraId="5F7CFA1D" w14:textId="6EB6C403" w:rsidR="0064114C" w:rsidRDefault="0064114C" w:rsidP="0064114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按因子排名进行分组由于动量因子越大越好，在对因子按升序排名并分组后，组号越大的组合表现越优，即</w:t>
      </w:r>
      <w:r>
        <w:t>G5&gt;G4&gt;G3&gt;G2&gt;G1。</w:t>
      </w:r>
      <w:r>
        <w:rPr>
          <w:rFonts w:hint="eastAsia"/>
        </w:rPr>
        <w:t>进行分组</w:t>
      </w:r>
      <w:proofErr w:type="gramStart"/>
      <w:r>
        <w:rPr>
          <w:rFonts w:hint="eastAsia"/>
        </w:rPr>
        <w:t>回测分组回测</w:t>
      </w:r>
      <w:proofErr w:type="gramEnd"/>
      <w:r>
        <w:rPr>
          <w:rFonts w:hint="eastAsia"/>
        </w:rPr>
        <w:t>后得到的是各组与基准的净值，并绘制了净值曲线。</w:t>
      </w:r>
    </w:p>
    <w:p w14:paraId="629BA4FF" w14:textId="48F4B139" w:rsidR="0064114C" w:rsidRDefault="0064114C" w:rsidP="0064114C"/>
    <w:p w14:paraId="6E3FA2A2" w14:textId="77777777" w:rsidR="0064114C" w:rsidRDefault="0064114C" w:rsidP="0064114C">
      <w:pPr>
        <w:rPr>
          <w:rFonts w:hint="eastAsia"/>
        </w:rPr>
      </w:pPr>
    </w:p>
    <w:p w14:paraId="6F25A355" w14:textId="5E5BFD70" w:rsidR="00FF4D45" w:rsidRDefault="00FF4D45">
      <w:r>
        <w:rPr>
          <w:rFonts w:hint="eastAsia"/>
        </w:rPr>
        <w:t>参考代码及原理出处：</w:t>
      </w:r>
      <w:r>
        <w:br/>
      </w:r>
      <w:hyperlink r:id="rId5" w:history="1">
        <w:r w:rsidRPr="00416A57">
          <w:rPr>
            <w:rStyle w:val="a3"/>
          </w:rPr>
          <w:t>https://github.com/hugo2046/QuantsPlaybook/tree/master/B-%E5%9B%A0%E5%AD%90%E6%9</w:t>
        </w:r>
        <w:r w:rsidRPr="00416A57">
          <w:rPr>
            <w:rStyle w:val="a3"/>
          </w:rPr>
          <w:lastRenderedPageBreak/>
          <w:t>E%84%E5%BB%BA%E7%B1%BB/%E9%AB%98%E8%B4%A8%E9%87%8F%E5%8A%A8%E9%87%8F%E5%9B%A0%E5%AD%90%E9%80%89%E8%82%A1</w:t>
        </w:r>
      </w:hyperlink>
    </w:p>
    <w:p w14:paraId="142A4267" w14:textId="77777777" w:rsidR="00FF4D45" w:rsidRPr="00FF4D45" w:rsidRDefault="00FF4D45">
      <w:pPr>
        <w:rPr>
          <w:rFonts w:hint="eastAsia"/>
        </w:rPr>
      </w:pPr>
    </w:p>
    <w:sectPr w:rsidR="00FF4D45" w:rsidRPr="00FF4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6F5"/>
    <w:multiLevelType w:val="multilevel"/>
    <w:tmpl w:val="74E0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83A75"/>
    <w:multiLevelType w:val="multilevel"/>
    <w:tmpl w:val="C3D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F3DCA"/>
    <w:multiLevelType w:val="multilevel"/>
    <w:tmpl w:val="3E1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F09EC"/>
    <w:multiLevelType w:val="multilevel"/>
    <w:tmpl w:val="A4AA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9699D"/>
    <w:multiLevelType w:val="multilevel"/>
    <w:tmpl w:val="DF4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4E05D7"/>
    <w:multiLevelType w:val="hybridMultilevel"/>
    <w:tmpl w:val="D8B06008"/>
    <w:lvl w:ilvl="0" w:tplc="08D2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E96B72"/>
    <w:multiLevelType w:val="multilevel"/>
    <w:tmpl w:val="8990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5B6644"/>
    <w:multiLevelType w:val="multilevel"/>
    <w:tmpl w:val="1B9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24E73"/>
    <w:multiLevelType w:val="multilevel"/>
    <w:tmpl w:val="9722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FD782F"/>
    <w:multiLevelType w:val="multilevel"/>
    <w:tmpl w:val="FD4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9270726">
    <w:abstractNumId w:val="7"/>
  </w:num>
  <w:num w:numId="2" w16cid:durableId="1913201181">
    <w:abstractNumId w:val="1"/>
  </w:num>
  <w:num w:numId="3" w16cid:durableId="1803158861">
    <w:abstractNumId w:val="8"/>
  </w:num>
  <w:num w:numId="4" w16cid:durableId="16318541">
    <w:abstractNumId w:val="6"/>
  </w:num>
  <w:num w:numId="5" w16cid:durableId="757870204">
    <w:abstractNumId w:val="9"/>
  </w:num>
  <w:num w:numId="6" w16cid:durableId="914508181">
    <w:abstractNumId w:val="2"/>
  </w:num>
  <w:num w:numId="7" w16cid:durableId="277027685">
    <w:abstractNumId w:val="4"/>
  </w:num>
  <w:num w:numId="8" w16cid:durableId="187108556">
    <w:abstractNumId w:val="3"/>
  </w:num>
  <w:num w:numId="9" w16cid:durableId="394938220">
    <w:abstractNumId w:val="0"/>
  </w:num>
  <w:num w:numId="10" w16cid:durableId="132215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87"/>
    <w:rsid w:val="002F5987"/>
    <w:rsid w:val="0064114C"/>
    <w:rsid w:val="00AC4DD3"/>
    <w:rsid w:val="00F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D3B2"/>
  <w15:chartTrackingRefBased/>
  <w15:docId w15:val="{9FAABE5F-C810-4C8C-9911-1875E92B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11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411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4D4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411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114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411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4114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4114C"/>
    <w:rPr>
      <w:b/>
      <w:bCs/>
    </w:rPr>
  </w:style>
  <w:style w:type="character" w:styleId="a7">
    <w:name w:val="Emphasis"/>
    <w:basedOn w:val="a0"/>
    <w:uiPriority w:val="20"/>
    <w:qFormat/>
    <w:rsid w:val="0064114C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64114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411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go2046/QuantsPlaybook/tree/master/B-%E5%9B%A0%E5%AD%90%E6%9E%84%E5%BB%BA%E7%B1%BB/%E9%AB%98%E8%B4%A8%E9%87%8F%E5%8A%A8%E9%87%8F%E5%9B%A0%E5%AD%90%E9%80%89%E8%82%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3</cp:revision>
  <dcterms:created xsi:type="dcterms:W3CDTF">2022-09-24T03:08:00Z</dcterms:created>
  <dcterms:modified xsi:type="dcterms:W3CDTF">2022-09-24T03:52:00Z</dcterms:modified>
</cp:coreProperties>
</file>