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D2D1" w14:textId="4A47BA6A" w:rsidR="002E68FF" w:rsidRDefault="001D2BF0">
      <w:r>
        <w:rPr>
          <w:rFonts w:hint="eastAsia"/>
        </w:rPr>
        <w:t>策略逻辑：</w:t>
      </w:r>
    </w:p>
    <w:p w14:paraId="2813F51E" w14:textId="77777777" w:rsidR="001D2BF0" w:rsidRPr="001D2BF0" w:rsidRDefault="001D2BF0" w:rsidP="001D2BF0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r w:rsidRPr="001D2BF0">
        <w:rPr>
          <w:rFonts w:ascii="Segoe UI" w:eastAsia="宋体" w:hAnsi="Segoe UI" w:cs="Segoe UI"/>
          <w:b/>
          <w:bCs/>
          <w:kern w:val="36"/>
          <w:sz w:val="48"/>
          <w:szCs w:val="48"/>
        </w:rPr>
        <w:t>波动率与趋势</w:t>
      </w:r>
    </w:p>
    <w:p w14:paraId="20AF540C" w14:textId="77777777" w:rsidR="001D2BF0" w:rsidRPr="001D2BF0" w:rsidRDefault="001D2BF0" w:rsidP="001D2BF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1D2BF0">
        <w:rPr>
          <w:rFonts w:ascii="Segoe UI" w:eastAsia="宋体" w:hAnsi="Segoe UI" w:cs="Segoe UI"/>
          <w:kern w:val="0"/>
          <w:szCs w:val="21"/>
        </w:rPr>
        <w:t>波动率是用来反映市场波动幅度的大小，大家通常也用来观察市场情绪或预</w:t>
      </w:r>
      <w:r w:rsidRPr="001D2BF0">
        <w:rPr>
          <w:rFonts w:ascii="Segoe UI" w:eastAsia="宋体" w:hAnsi="Segoe UI" w:cs="Segoe UI"/>
          <w:kern w:val="0"/>
          <w:szCs w:val="21"/>
        </w:rPr>
        <w:t xml:space="preserve"> </w:t>
      </w:r>
      <w:r w:rsidRPr="001D2BF0">
        <w:rPr>
          <w:rFonts w:ascii="Segoe UI" w:eastAsia="宋体" w:hAnsi="Segoe UI" w:cs="Segoe UI"/>
          <w:kern w:val="0"/>
          <w:szCs w:val="21"/>
        </w:rPr>
        <w:t>测市场趋势。但波动率种类较多。如日收益率的标准差、日内振幅等。再来</w:t>
      </w:r>
      <w:r w:rsidRPr="001D2BF0">
        <w:rPr>
          <w:rFonts w:ascii="Segoe UI" w:eastAsia="宋体" w:hAnsi="Segoe UI" w:cs="Segoe UI"/>
          <w:kern w:val="0"/>
          <w:szCs w:val="21"/>
        </w:rPr>
        <w:t xml:space="preserve"> </w:t>
      </w:r>
      <w:r w:rsidRPr="001D2BF0">
        <w:rPr>
          <w:rFonts w:ascii="Segoe UI" w:eastAsia="宋体" w:hAnsi="Segoe UI" w:cs="Segoe UI"/>
          <w:kern w:val="0"/>
          <w:szCs w:val="21"/>
        </w:rPr>
        <w:t>测试这些波动率指标与市场趋势的相关性。</w:t>
      </w:r>
    </w:p>
    <w:p w14:paraId="0138032A" w14:textId="404B2B2F" w:rsidR="001D2BF0" w:rsidRDefault="001D2BF0" w:rsidP="001D2BF0">
      <w:pPr>
        <w:widowControl/>
        <w:shd w:val="clear" w:color="auto" w:fill="FFFFFF"/>
        <w:spacing w:after="120"/>
        <w:jc w:val="left"/>
        <w:rPr>
          <w:rFonts w:ascii="Segoe UI" w:eastAsia="宋体" w:hAnsi="Segoe UI" w:cs="Segoe UI"/>
          <w:kern w:val="0"/>
          <w:szCs w:val="21"/>
        </w:rPr>
      </w:pPr>
      <w:r w:rsidRPr="001D2BF0">
        <w:rPr>
          <w:rFonts w:ascii="Segoe UI" w:eastAsia="宋体" w:hAnsi="Segoe UI" w:cs="Segoe UI"/>
          <w:kern w:val="0"/>
          <w:szCs w:val="21"/>
        </w:rPr>
        <w:t>我们先拿沪深</w:t>
      </w:r>
      <w:r w:rsidRPr="001D2BF0">
        <w:rPr>
          <w:rFonts w:ascii="Segoe UI" w:eastAsia="宋体" w:hAnsi="Segoe UI" w:cs="Segoe UI"/>
          <w:kern w:val="0"/>
          <w:szCs w:val="21"/>
        </w:rPr>
        <w:t>300</w:t>
      </w:r>
      <w:r w:rsidRPr="001D2BF0">
        <w:rPr>
          <w:rFonts w:ascii="Segoe UI" w:eastAsia="宋体" w:hAnsi="Segoe UI" w:cs="Segoe UI"/>
          <w:kern w:val="0"/>
          <w:szCs w:val="21"/>
        </w:rPr>
        <w:t>指数数据来测试一下（时间范围：</w:t>
      </w:r>
      <w:r w:rsidRPr="001D2BF0">
        <w:rPr>
          <w:rFonts w:ascii="Segoe UI" w:eastAsia="宋体" w:hAnsi="Segoe UI" w:cs="Segoe UI"/>
          <w:kern w:val="0"/>
          <w:szCs w:val="21"/>
        </w:rPr>
        <w:t>2006</w:t>
      </w:r>
      <w:r w:rsidRPr="001D2BF0">
        <w:rPr>
          <w:rFonts w:ascii="Segoe UI" w:eastAsia="宋体" w:hAnsi="Segoe UI" w:cs="Segoe UI"/>
          <w:kern w:val="0"/>
          <w:szCs w:val="21"/>
        </w:rPr>
        <w:t>年</w:t>
      </w:r>
      <w:r w:rsidRPr="001D2BF0">
        <w:rPr>
          <w:rFonts w:ascii="Segoe UI" w:eastAsia="宋体" w:hAnsi="Segoe UI" w:cs="Segoe UI"/>
          <w:kern w:val="0"/>
          <w:szCs w:val="21"/>
        </w:rPr>
        <w:t>1</w:t>
      </w:r>
      <w:r w:rsidRPr="001D2BF0">
        <w:rPr>
          <w:rFonts w:ascii="Segoe UI" w:eastAsia="宋体" w:hAnsi="Segoe UI" w:cs="Segoe UI"/>
          <w:kern w:val="0"/>
          <w:szCs w:val="21"/>
        </w:rPr>
        <w:t>月至</w:t>
      </w:r>
      <w:r w:rsidRPr="001D2BF0">
        <w:rPr>
          <w:rFonts w:ascii="Segoe UI" w:eastAsia="宋体" w:hAnsi="Segoe UI" w:cs="Segoe UI"/>
          <w:kern w:val="0"/>
          <w:szCs w:val="21"/>
        </w:rPr>
        <w:t>2015</w:t>
      </w:r>
      <w:r w:rsidRPr="001D2BF0">
        <w:rPr>
          <w:rFonts w:ascii="Segoe UI" w:eastAsia="宋体" w:hAnsi="Segoe UI" w:cs="Segoe UI"/>
          <w:kern w:val="0"/>
          <w:szCs w:val="21"/>
        </w:rPr>
        <w:t>年</w:t>
      </w:r>
      <w:r w:rsidRPr="001D2BF0">
        <w:rPr>
          <w:rFonts w:ascii="Segoe UI" w:eastAsia="宋体" w:hAnsi="Segoe UI" w:cs="Segoe UI"/>
          <w:kern w:val="0"/>
          <w:szCs w:val="21"/>
        </w:rPr>
        <w:t>9</w:t>
      </w:r>
      <w:r w:rsidRPr="001D2BF0">
        <w:rPr>
          <w:rFonts w:ascii="Segoe UI" w:eastAsia="宋体" w:hAnsi="Segoe UI" w:cs="Segoe UI"/>
          <w:kern w:val="0"/>
          <w:szCs w:val="21"/>
        </w:rPr>
        <w:t>月）：</w:t>
      </w:r>
      <w:r w:rsidRPr="001D2BF0">
        <w:rPr>
          <w:rFonts w:ascii="Segoe UI" w:eastAsia="宋体" w:hAnsi="Segoe UI" w:cs="Segoe UI"/>
          <w:kern w:val="0"/>
          <w:szCs w:val="21"/>
        </w:rPr>
        <w:t>granger</w:t>
      </w:r>
      <w:r w:rsidRPr="001D2BF0">
        <w:rPr>
          <w:rFonts w:ascii="Segoe UI" w:eastAsia="宋体" w:hAnsi="Segoe UI" w:cs="Segoe UI"/>
          <w:kern w:val="0"/>
          <w:szCs w:val="21"/>
        </w:rPr>
        <w:t>因果检验，从图可以看出如按收益率标准差与日振</w:t>
      </w:r>
      <w:r w:rsidRPr="001D2BF0">
        <w:rPr>
          <w:rFonts w:ascii="Segoe UI" w:eastAsia="宋体" w:hAnsi="Segoe UI" w:cs="Segoe UI"/>
          <w:kern w:val="0"/>
          <w:szCs w:val="21"/>
        </w:rPr>
        <w:t xml:space="preserve"> </w:t>
      </w:r>
      <w:r w:rsidRPr="001D2BF0">
        <w:rPr>
          <w:rFonts w:ascii="Segoe UI" w:eastAsia="宋体" w:hAnsi="Segoe UI" w:cs="Segoe UI"/>
          <w:kern w:val="0"/>
          <w:szCs w:val="21"/>
        </w:rPr>
        <w:t>幅来计算的波动率</w:t>
      </w:r>
      <w:r w:rsidRPr="001D2BF0">
        <w:rPr>
          <w:rFonts w:ascii="Segoe UI" w:eastAsia="宋体" w:hAnsi="Segoe UI" w:cs="Segoe UI"/>
          <w:kern w:val="0"/>
          <w:szCs w:val="21"/>
        </w:rPr>
        <w:t> </w:t>
      </w:r>
      <w:r w:rsidRPr="001D2BF0">
        <w:rPr>
          <w:rFonts w:ascii="Segoe UI" w:eastAsia="宋体" w:hAnsi="Segoe UI" w:cs="Segoe UI"/>
          <w:kern w:val="0"/>
          <w:szCs w:val="21"/>
        </w:rPr>
        <w:t>，其稳定性与领先相关性都很不理想。如按此简单方法计</w:t>
      </w:r>
      <w:r w:rsidRPr="001D2BF0">
        <w:rPr>
          <w:rFonts w:ascii="Segoe UI" w:eastAsia="宋体" w:hAnsi="Segoe UI" w:cs="Segoe UI"/>
          <w:kern w:val="0"/>
          <w:szCs w:val="21"/>
        </w:rPr>
        <w:t xml:space="preserve"> </w:t>
      </w:r>
      <w:r w:rsidRPr="001D2BF0">
        <w:rPr>
          <w:rFonts w:ascii="Segoe UI" w:eastAsia="宋体" w:hAnsi="Segoe UI" w:cs="Segoe UI"/>
          <w:kern w:val="0"/>
          <w:szCs w:val="21"/>
        </w:rPr>
        <w:t>算的波动率是无法对未来收益率</w:t>
      </w:r>
      <w:proofErr w:type="gramStart"/>
      <w:r w:rsidRPr="001D2BF0">
        <w:rPr>
          <w:rFonts w:ascii="Segoe UI" w:eastAsia="宋体" w:hAnsi="Segoe UI" w:cs="Segoe UI"/>
          <w:kern w:val="0"/>
          <w:szCs w:val="21"/>
        </w:rPr>
        <w:t>做较好</w:t>
      </w:r>
      <w:proofErr w:type="gramEnd"/>
      <w:r w:rsidRPr="001D2BF0">
        <w:rPr>
          <w:rFonts w:ascii="Segoe UI" w:eastAsia="宋体" w:hAnsi="Segoe UI" w:cs="Segoe UI"/>
          <w:kern w:val="0"/>
          <w:szCs w:val="21"/>
        </w:rPr>
        <w:t>的预测。）。</w:t>
      </w:r>
    </w:p>
    <w:p w14:paraId="155ED6FB" w14:textId="77777777" w:rsidR="001D2BF0" w:rsidRDefault="001D2BF0" w:rsidP="001D2BF0">
      <w:pPr>
        <w:pStyle w:val="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波动率分解：上行波动与下行波动</w:t>
      </w:r>
    </w:p>
    <w:p w14:paraId="726A0990" w14:textId="77777777" w:rsidR="001D2BF0" w:rsidRDefault="001D2BF0" w:rsidP="001D2BF0">
      <w:pPr>
        <w:pStyle w:val="a5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由于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A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股市场做空机制相对欠缺，波动率分布并不对称。故有必要加以区分，我们把波动率区分为上行波动率与下行波动率。因此我们对上面的测试数据加以折分。对于按其振幅来计算波动率是以开盘价为基准，开盘价以上的波动定义为上行波动率，反之为下行波动率。而以标准计算是上涨日为上行波动率，市场下跌时记为上行波动率为零值，下跌时则反之。通常情况下市场处于上涨阶段时上行波动率要大于下行波动率，下跌阶段则反之，同时二者的差值我们定义为波动率剪刀差。</w:t>
      </w:r>
    </w:p>
    <w:p w14:paraId="68FDC3DC" w14:textId="77777777" w:rsidR="001D2BF0" w:rsidRDefault="001D2BF0" w:rsidP="001D2BF0">
      <w:pPr>
        <w:pStyle w:val="a5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a6"/>
          <w:rFonts w:ascii="var(--jp-content-font-family)" w:hAnsi="var(--jp-content-font-family)" w:cs="Segoe UI"/>
          <w:color w:val="000000"/>
          <w:sz w:val="21"/>
          <w:szCs w:val="21"/>
        </w:rPr>
        <w:t>振幅剪刀差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具体定义为：</w:t>
      </w:r>
    </w:p>
    <w:p w14:paraId="6A4FB426" w14:textId="77777777" w:rsidR="001D2BF0" w:rsidRDefault="001D2BF0" w:rsidP="001D2BF0">
      <w:pPr>
        <w:pStyle w:val="a5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上行波动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= (HIGH - OPEN)/OPEN</w:t>
      </w:r>
    </w:p>
    <w:p w14:paraId="0EBEFEDC" w14:textId="77777777" w:rsidR="001D2BF0" w:rsidRDefault="001D2BF0" w:rsidP="001D2BF0">
      <w:pPr>
        <w:pStyle w:val="a5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下行波动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= (OPEN - LOW)/OPEN</w:t>
      </w:r>
    </w:p>
    <w:p w14:paraId="5043E45C" w14:textId="77777777" w:rsidR="001D2BF0" w:rsidRDefault="001D2BF0" w:rsidP="001D2BF0">
      <w:pPr>
        <w:pStyle w:val="a5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剪刀差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=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上行波动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-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下行波动</w:t>
      </w:r>
    </w:p>
    <w:p w14:paraId="579C7E3A" w14:textId="77777777" w:rsidR="001D2BF0" w:rsidRDefault="001D2BF0" w:rsidP="001D2BF0">
      <w:pPr>
        <w:pStyle w:val="a5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a6"/>
          <w:rFonts w:ascii="var(--jp-content-font-family)" w:hAnsi="var(--jp-content-font-family)" w:cs="Segoe UI"/>
          <w:color w:val="000000"/>
          <w:sz w:val="21"/>
          <w:szCs w:val="21"/>
        </w:rPr>
        <w:t>收益率剪刀差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具体定义为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:</w:t>
      </w:r>
    </w:p>
    <w:p w14:paraId="29A36AFC" w14:textId="77777777" w:rsidR="001D2BF0" w:rsidRDefault="001D2BF0" w:rsidP="001D2BF0">
      <w:pPr>
        <w:pStyle w:val="a5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上行波动率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=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np.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where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ret &gt; 0 ,std ,0)</w:t>
      </w:r>
    </w:p>
    <w:p w14:paraId="7D4C1F4F" w14:textId="77777777" w:rsidR="001D2BF0" w:rsidRDefault="001D2BF0" w:rsidP="001D2BF0">
      <w:pPr>
        <w:pStyle w:val="a5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下行波动率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=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np.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where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ret &lt; 0 ,std ,0)</w:t>
      </w:r>
    </w:p>
    <w:p w14:paraId="4E05F29F" w14:textId="12ABF8D9" w:rsidR="001D2BF0" w:rsidRPr="001D2BF0" w:rsidRDefault="001D2BF0" w:rsidP="001D2BF0">
      <w:pPr>
        <w:pStyle w:val="a5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 w:hint="eastAsia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剪刀差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=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上行波动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-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下行波动</w:t>
      </w:r>
    </w:p>
    <w:p w14:paraId="2FCD013A" w14:textId="77777777" w:rsidR="001D2BF0" w:rsidRDefault="001D2BF0" w:rsidP="001D2BF0">
      <w:pPr>
        <w:pStyle w:val="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基于单向波动差构建择时策略</w:t>
      </w:r>
    </w:p>
    <w:p w14:paraId="66B4D22E" w14:textId="77777777" w:rsidR="001D2BF0" w:rsidRDefault="001D2BF0" w:rsidP="001D2BF0">
      <w:pPr>
        <w:pStyle w:val="a5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因此我们可以基于上面这个逻辑构建针对指数的择时策略，当前一天的上行波动率减去下行波动率的差值趋势（为增加稳定性，采用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60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日移动均值）</w:t>
      </w:r>
      <w:r>
        <w:rPr>
          <w:rStyle w:val="a6"/>
          <w:rFonts w:ascii="var(--jp-content-font-family)" w:hAnsi="var(--jp-content-font-family)" w:cs="Segoe UI"/>
          <w:color w:val="000000"/>
          <w:sz w:val="21"/>
          <w:szCs w:val="21"/>
        </w:rPr>
        <w:t>为正时就看多，反之则看空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。</w:t>
      </w:r>
    </w:p>
    <w:p w14:paraId="2F55BAE1" w14:textId="77777777" w:rsidR="001D2BF0" w:rsidRPr="001D2BF0" w:rsidRDefault="001D2BF0" w:rsidP="001D2BF0">
      <w:pPr>
        <w:widowControl/>
        <w:shd w:val="clear" w:color="auto" w:fill="FFFFFF"/>
        <w:spacing w:after="120"/>
        <w:jc w:val="left"/>
        <w:rPr>
          <w:rFonts w:ascii="Segoe UI" w:eastAsia="宋体" w:hAnsi="Segoe UI" w:cs="Segoe UI" w:hint="eastAsia"/>
          <w:kern w:val="0"/>
          <w:szCs w:val="21"/>
        </w:rPr>
      </w:pPr>
    </w:p>
    <w:p w14:paraId="3CC73FE3" w14:textId="4047E72D" w:rsidR="001D2BF0" w:rsidRDefault="001D2BF0">
      <w:r>
        <w:rPr>
          <w:rFonts w:hint="eastAsia"/>
        </w:rPr>
        <w:lastRenderedPageBreak/>
        <w:t>代码模型及简要：</w:t>
      </w:r>
    </w:p>
    <w:p w14:paraId="217C9240" w14:textId="54E2A66E" w:rsidR="001D2BF0" w:rsidRDefault="001D2BF0" w:rsidP="00BD64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导入沪深3</w:t>
      </w:r>
      <w:r>
        <w:t>00</w:t>
      </w:r>
      <w:r>
        <w:rPr>
          <w:rFonts w:hint="eastAsia"/>
        </w:rPr>
        <w:t>数据，计算收盘价，前收盘价，最低价和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高价，计算振幅剪刀差（上行波动和下行波动）和收益率剪刀差（上行波动率</w:t>
      </w:r>
      <w:r w:rsidR="00BD64DA">
        <w:rPr>
          <w:rFonts w:hint="eastAsia"/>
        </w:rPr>
        <w:t>和下行波动率）</w:t>
      </w:r>
    </w:p>
    <w:p w14:paraId="00C306A5" w14:textId="42573C62" w:rsidR="00BD64DA" w:rsidRDefault="00BD64DA" w:rsidP="00BD64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图像绘制，包括振幅剪刀差，收益率剪刀差和标准差与未来收益的关系</w:t>
      </w:r>
    </w:p>
    <w:p w14:paraId="27B45C56" w14:textId="74BE6C7A" w:rsidR="00BD64DA" w:rsidRDefault="00BD64DA" w:rsidP="00BD64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策略计算并回测，分别计算两个剪刀差的上行</w:t>
      </w:r>
      <w:proofErr w:type="gramStart"/>
      <w:r>
        <w:rPr>
          <w:rFonts w:hint="eastAsia"/>
        </w:rPr>
        <w:t>波动率减下行</w:t>
      </w:r>
      <w:proofErr w:type="gramEnd"/>
      <w:r>
        <w:rPr>
          <w:rFonts w:hint="eastAsia"/>
        </w:rPr>
        <w:t>波动率的差值趋势为正看多，为负看空，形成持仓信号，做差形成交易信号。</w:t>
      </w:r>
    </w:p>
    <w:p w14:paraId="48548439" w14:textId="0940A328" w:rsidR="00BD64DA" w:rsidRDefault="00BD64DA" w:rsidP="00BD64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策略收益绘制图像</w:t>
      </w:r>
    </w:p>
    <w:p w14:paraId="0FBFE138" w14:textId="487E5961" w:rsidR="00AA3B7A" w:rsidRDefault="00AA3B7A" w:rsidP="00AA3B7A"/>
    <w:p w14:paraId="3237A891" w14:textId="77777777" w:rsidR="00AA3B7A" w:rsidRPr="001D2BF0" w:rsidRDefault="00AA3B7A" w:rsidP="00AA3B7A">
      <w:pPr>
        <w:rPr>
          <w:rFonts w:hint="eastAsia"/>
        </w:rPr>
      </w:pPr>
    </w:p>
    <w:p w14:paraId="482240A2" w14:textId="7CECA632" w:rsidR="00135B7C" w:rsidRDefault="00135B7C">
      <w:r>
        <w:rPr>
          <w:rFonts w:hint="eastAsia"/>
        </w:rPr>
        <w:t>参考代码及原理出处：</w:t>
      </w:r>
    </w:p>
    <w:p w14:paraId="1DB0D0B7" w14:textId="41A0B9BE" w:rsidR="00135B7C" w:rsidRDefault="00135B7C">
      <w:hyperlink r:id="rId5" w:history="1">
        <w:r w:rsidRPr="003E29B5">
          <w:rPr>
            <w:rStyle w:val="a3"/>
          </w:rPr>
          <w:t>https://github.com/hugo2046/QuantsPlaybook/tree/master/C-%E6%8B%A9%E6%97%B6%E7%B1%BB/%E5%9F%BA%E4%BA%8E%E7%9B%B8%E5%AF%B9%E5%BC%BA%E5%BC%B1%E4%B8%8B%E5%8D%95%E5%90%91%E6%B3%A2%E5%8A%A8%E5%B7%AE%E5%80%BC%E5%BA%94%E7%94%A8</w:t>
        </w:r>
      </w:hyperlink>
    </w:p>
    <w:p w14:paraId="66870E60" w14:textId="77777777" w:rsidR="00135B7C" w:rsidRPr="00135B7C" w:rsidRDefault="00135B7C">
      <w:pPr>
        <w:rPr>
          <w:rFonts w:hint="eastAsia"/>
        </w:rPr>
      </w:pPr>
    </w:p>
    <w:sectPr w:rsidR="00135B7C" w:rsidRPr="00135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7B2D"/>
    <w:multiLevelType w:val="hybridMultilevel"/>
    <w:tmpl w:val="BE3A43C0"/>
    <w:lvl w:ilvl="0" w:tplc="702255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183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14"/>
    <w:rsid w:val="00135B7C"/>
    <w:rsid w:val="001D2BF0"/>
    <w:rsid w:val="002E68FF"/>
    <w:rsid w:val="00734B14"/>
    <w:rsid w:val="00AA3B7A"/>
    <w:rsid w:val="00BD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7E72"/>
  <w15:chartTrackingRefBased/>
  <w15:docId w15:val="{20A18AE1-95FB-458C-80A0-C2D9D303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D2B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5B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5B7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D2BF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1D2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D2BF0"/>
    <w:rPr>
      <w:b/>
      <w:bCs/>
    </w:rPr>
  </w:style>
  <w:style w:type="paragraph" w:styleId="a7">
    <w:name w:val="List Paragraph"/>
    <w:basedOn w:val="a"/>
    <w:uiPriority w:val="34"/>
    <w:qFormat/>
    <w:rsid w:val="00BD64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6279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5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ugo2046/QuantsPlaybook/tree/master/C-%E6%8B%A9%E6%97%B6%E7%B1%BB/%E5%9F%BA%E4%BA%8E%E7%9B%B8%E5%AF%B9%E5%BC%BA%E5%BC%B1%E4%B8%8B%E5%8D%95%E5%90%91%E6%B3%A2%E5%8A%A8%E5%B7%AE%E5%80%BC%E5%BA%94%E7%94%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4</cp:revision>
  <dcterms:created xsi:type="dcterms:W3CDTF">2022-09-15T15:36:00Z</dcterms:created>
  <dcterms:modified xsi:type="dcterms:W3CDTF">2022-09-15T15:45:00Z</dcterms:modified>
</cp:coreProperties>
</file>