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2E95C" w14:textId="33F27688" w:rsidR="000C4A91" w:rsidRDefault="000C4A91">
      <w:r>
        <w:rPr>
          <w:rFonts w:hint="eastAsia"/>
        </w:rPr>
        <w:t>策略逻辑：</w:t>
      </w:r>
    </w:p>
    <w:p w14:paraId="4F482A35" w14:textId="77777777" w:rsidR="000C4A91" w:rsidRPr="000C4A91" w:rsidRDefault="000C4A91" w:rsidP="000C4A91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var(--jp-content-font-family)" w:eastAsia="宋体" w:hAnsi="var(--jp-content-font-family)" w:cs="Segoe UI"/>
          <w:b/>
          <w:bCs/>
          <w:color w:val="000000"/>
          <w:kern w:val="36"/>
          <w:sz w:val="48"/>
          <w:szCs w:val="48"/>
        </w:rPr>
      </w:pPr>
      <w:proofErr w:type="spellStart"/>
      <w:r w:rsidRPr="000C4A91">
        <w:rPr>
          <w:rFonts w:ascii="var(--jp-content-font-family)" w:eastAsia="宋体" w:hAnsi="var(--jp-content-font-family)" w:cs="Segoe UI"/>
          <w:b/>
          <w:bCs/>
          <w:color w:val="000000"/>
          <w:kern w:val="36"/>
          <w:sz w:val="48"/>
          <w:szCs w:val="48"/>
        </w:rPr>
        <w:t>Tsharpe</w:t>
      </w:r>
      <w:proofErr w:type="spellEnd"/>
      <w:r w:rsidRPr="000C4A91">
        <w:rPr>
          <w:rFonts w:ascii="var(--jp-content-font-family)" w:eastAsia="宋体" w:hAnsi="var(--jp-content-font-family)" w:cs="Segoe UI"/>
          <w:b/>
          <w:bCs/>
          <w:color w:val="000000"/>
          <w:kern w:val="36"/>
          <w:sz w:val="48"/>
          <w:szCs w:val="48"/>
        </w:rPr>
        <w:t>模型演变过程</w:t>
      </w:r>
    </w:p>
    <w:p w14:paraId="1E880F7E" w14:textId="77777777" w:rsidR="000C4A91" w:rsidRPr="000C4A91" w:rsidRDefault="000C4A91" w:rsidP="000C4A91">
      <w:pPr>
        <w:widowControl/>
        <w:shd w:val="clear" w:color="auto" w:fill="FFFFFF"/>
        <w:spacing w:after="240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Robert Whitelaw</w:t>
      </w:r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（</w:t>
      </w:r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1994</w:t>
      </w:r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）中设定模型：</w:t>
      </w:r>
    </w:p>
    <w:p w14:paraId="64C71F40" w14:textId="77777777" w:rsidR="000C4A91" w:rsidRPr="000C4A91" w:rsidRDefault="000C4A91" w:rsidP="000C4A91">
      <w:pPr>
        <w:widowControl/>
        <w:shd w:val="clear" w:color="auto" w:fill="FFFFFF"/>
        <w:jc w:val="left"/>
        <w:rPr>
          <w:rFonts w:ascii="var(--jp-content-font-family)" w:eastAsia="宋体" w:hAnsi="var(--jp-content-font-family)" w:cs="Segoe UI"/>
          <w:color w:val="000000"/>
          <w:kern w:val="0"/>
          <w:szCs w:val="21"/>
        </w:rPr>
      </w:pPr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four explanatory variables-the Baa-</w:t>
      </w:r>
      <w:proofErr w:type="spellStart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Aaa</w:t>
      </w:r>
      <w:proofErr w:type="spellEnd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</w:t>
      </w:r>
      <w:proofErr w:type="spellStart"/>
      <w:proofErr w:type="gramStart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spread,the</w:t>
      </w:r>
      <w:proofErr w:type="spellEnd"/>
      <w:proofErr w:type="gramEnd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commercial paper-Treasury </w:t>
      </w:r>
      <w:proofErr w:type="spellStart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spread,the</w:t>
      </w:r>
      <w:proofErr w:type="spellEnd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one-year Treasury </w:t>
      </w:r>
      <w:proofErr w:type="spellStart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>yield,and</w:t>
      </w:r>
      <w:proofErr w:type="spellEnd"/>
      <w:r w:rsidRPr="000C4A91">
        <w:rPr>
          <w:rFonts w:ascii="var(--jp-content-font-family)" w:eastAsia="宋体" w:hAnsi="var(--jp-content-font-family)" w:cs="Segoe UI"/>
          <w:color w:val="000000"/>
          <w:kern w:val="0"/>
          <w:szCs w:val="21"/>
        </w:rPr>
        <w:t xml:space="preserve"> the dividend yield</w:t>
      </w:r>
    </w:p>
    <w:p w14:paraId="77BA0204" w14:textId="2FBD0061" w:rsidR="000C4A91" w:rsidRDefault="000C4A91">
      <w:r>
        <w:rPr>
          <w:noProof/>
        </w:rPr>
        <w:drawing>
          <wp:inline distT="0" distB="0" distL="0" distR="0" wp14:anchorId="6257A124" wp14:editId="56CDC9A1">
            <wp:extent cx="4095750" cy="16573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5CEE" w14:textId="77777777" w:rsidR="000C4A91" w:rsidRDefault="000C4A91" w:rsidP="000C4A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Robert Whitelaw</w:t>
      </w:r>
      <w:r>
        <w:rPr>
          <w:rFonts w:ascii="Segoe UI" w:hAnsi="Segoe UI" w:cs="Segoe UI"/>
          <w:sz w:val="21"/>
          <w:szCs w:val="21"/>
        </w:rPr>
        <w:t>（</w:t>
      </w:r>
      <w:r>
        <w:rPr>
          <w:rFonts w:ascii="Segoe UI" w:hAnsi="Segoe UI" w:cs="Segoe UI"/>
          <w:sz w:val="21"/>
          <w:szCs w:val="21"/>
        </w:rPr>
        <w:t>1997</w:t>
      </w:r>
      <w:r>
        <w:rPr>
          <w:rFonts w:ascii="Segoe UI" w:hAnsi="Segoe UI" w:cs="Segoe UI"/>
          <w:sz w:val="21"/>
          <w:szCs w:val="21"/>
        </w:rPr>
        <w:t>）中设定模型：</w:t>
      </w:r>
    </w:p>
    <w:p w14:paraId="17D7FC24" w14:textId="77777777" w:rsidR="000C4A91" w:rsidRDefault="000C4A91" w:rsidP="000C4A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The Baa-</w:t>
      </w:r>
      <w:proofErr w:type="spellStart"/>
      <w:r>
        <w:rPr>
          <w:rFonts w:ascii="Segoe UI" w:hAnsi="Segoe UI" w:cs="Segoe UI"/>
          <w:sz w:val="21"/>
          <w:szCs w:val="21"/>
        </w:rPr>
        <w:t>Aaa</w:t>
      </w:r>
      <w:proofErr w:type="spellEnd"/>
      <w:r>
        <w:rPr>
          <w:rFonts w:ascii="Segoe UI" w:hAnsi="Segoe UI" w:cs="Segoe UI"/>
          <w:sz w:val="21"/>
          <w:szCs w:val="21"/>
        </w:rPr>
        <w:t xml:space="preserve"> spread, the dividend yield, and the one-year yield are used in the mean equation, and the one-year yield and the </w:t>
      </w:r>
      <w:proofErr w:type="spellStart"/>
      <w:r>
        <w:rPr>
          <w:rFonts w:ascii="Segoe UI" w:hAnsi="Segoe UI" w:cs="Segoe UI"/>
          <w:sz w:val="21"/>
          <w:szCs w:val="21"/>
        </w:rPr>
        <w:t>commercialpaper</w:t>
      </w:r>
      <w:proofErr w:type="spellEnd"/>
      <w:r>
        <w:rPr>
          <w:rFonts w:ascii="Segoe UI" w:hAnsi="Segoe UI" w:cs="Segoe UI"/>
          <w:sz w:val="21"/>
          <w:szCs w:val="21"/>
        </w:rPr>
        <w:t>-Treasury spread are used in the volatility equation.</w:t>
      </w:r>
    </w:p>
    <w:p w14:paraId="00C44962" w14:textId="3FAB69CD" w:rsidR="000C4A91" w:rsidRDefault="000C4A91">
      <w:r>
        <w:rPr>
          <w:noProof/>
        </w:rPr>
        <w:drawing>
          <wp:inline distT="0" distB="0" distL="0" distR="0" wp14:anchorId="0DCB259D" wp14:editId="456E9DE0">
            <wp:extent cx="4743450" cy="1809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3D13" w14:textId="77777777" w:rsidR="000C4A91" w:rsidRDefault="000C4A91" w:rsidP="000C4A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Style w:val="a7"/>
          <w:rFonts w:ascii="Segoe UI" w:hAnsi="Segoe UI" w:cs="Segoe UI"/>
          <w:b/>
          <w:bCs/>
          <w:sz w:val="21"/>
          <w:szCs w:val="21"/>
        </w:rPr>
        <w:t>国信证券对上述解释变量做了更中国化的改变，具体如下：</w:t>
      </w:r>
    </w:p>
    <w:p w14:paraId="623DC350" w14:textId="77777777" w:rsidR="000C4A91" w:rsidRDefault="000C4A91" w:rsidP="000C4A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两个等式分别表达了对收益率和其波动性的回归。其中</w:t>
      </w:r>
      <w:r>
        <w:rPr>
          <w:rFonts w:ascii="Segoe UI" w:hAnsi="Segoe UI" w:cs="Segoe UI"/>
          <w:sz w:val="21"/>
          <w:szCs w:val="21"/>
        </w:rPr>
        <w:t>Rt+1</w:t>
      </w:r>
      <w:r>
        <w:rPr>
          <w:rFonts w:ascii="Segoe UI" w:hAnsi="Segoe UI" w:cs="Segoe UI"/>
          <w:sz w:val="21"/>
          <w:szCs w:val="21"/>
        </w:rPr>
        <w:t>指数收益</w:t>
      </w:r>
      <w:r>
        <w:rPr>
          <w:rFonts w:ascii="Segoe UI" w:hAnsi="Segoe UI" w:cs="Segoe UI"/>
          <w:sz w:val="21"/>
          <w:szCs w:val="21"/>
        </w:rPr>
        <w:t>,</w:t>
      </w:r>
      <w:proofErr w:type="spellStart"/>
      <w:r>
        <w:rPr>
          <w:rFonts w:ascii="Segoe UI" w:hAnsi="Segoe UI" w:cs="Segoe UI"/>
          <w:sz w:val="21"/>
          <w:szCs w:val="21"/>
        </w:rPr>
        <w:t>Rft</w:t>
      </w:r>
      <w:proofErr w:type="spellEnd"/>
      <w:r>
        <w:rPr>
          <w:rFonts w:ascii="Segoe UI" w:hAnsi="Segoe UI" w:cs="Segoe UI"/>
          <w:sz w:val="21"/>
          <w:szCs w:val="21"/>
        </w:rPr>
        <w:t>表示无风险利率</w:t>
      </w:r>
      <w:r>
        <w:rPr>
          <w:rFonts w:ascii="Segoe UI" w:hAnsi="Segoe UI" w:cs="Segoe UI"/>
          <w:sz w:val="21"/>
          <w:szCs w:val="21"/>
        </w:rPr>
        <w:t>,X1t</w:t>
      </w:r>
      <w:r>
        <w:rPr>
          <w:rFonts w:ascii="Segoe UI" w:hAnsi="Segoe UI" w:cs="Segoe UI"/>
          <w:sz w:val="21"/>
          <w:szCs w:val="21"/>
        </w:rPr>
        <w:t>表示</w:t>
      </w:r>
      <w:r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期的</w:t>
      </w:r>
      <w:r>
        <w:rPr>
          <w:rFonts w:ascii="Segoe UI" w:hAnsi="Segoe UI" w:cs="Segoe UI"/>
          <w:sz w:val="21"/>
          <w:szCs w:val="21"/>
        </w:rPr>
        <w:t>[M1</w:t>
      </w:r>
      <w:r>
        <w:rPr>
          <w:rFonts w:ascii="Segoe UI" w:hAnsi="Segoe UI" w:cs="Segoe UI"/>
          <w:sz w:val="21"/>
          <w:szCs w:val="21"/>
        </w:rPr>
        <w:t>同比增长率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t>指数市盈率</w:t>
      </w:r>
      <w:r>
        <w:rPr>
          <w:rFonts w:ascii="Segoe UI" w:hAnsi="Segoe UI" w:cs="Segoe UI"/>
          <w:sz w:val="21"/>
          <w:szCs w:val="21"/>
        </w:rPr>
        <w:t>]</w:t>
      </w:r>
      <w:r>
        <w:rPr>
          <w:rFonts w:ascii="Segoe UI" w:hAnsi="Segoe UI" w:cs="Segoe UI"/>
          <w:sz w:val="21"/>
          <w:szCs w:val="21"/>
        </w:rPr>
        <w:t>和一年期国债利率组成的向量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t>而</w:t>
      </w:r>
      <w:r>
        <w:rPr>
          <w:rFonts w:ascii="Segoe UI" w:hAnsi="Segoe UI" w:cs="Segoe UI"/>
          <w:sz w:val="21"/>
          <w:szCs w:val="21"/>
        </w:rPr>
        <w:t>X2t</w:t>
      </w:r>
      <w:r>
        <w:rPr>
          <w:rFonts w:ascii="Segoe UI" w:hAnsi="Segoe UI" w:cs="Segoe UI"/>
          <w:sz w:val="21"/>
          <w:szCs w:val="21"/>
        </w:rPr>
        <w:t>表示由在</w:t>
      </w:r>
      <w:r>
        <w:rPr>
          <w:rFonts w:ascii="Segoe UI" w:hAnsi="Segoe UI" w:cs="Segoe UI"/>
          <w:sz w:val="21"/>
          <w:szCs w:val="21"/>
        </w:rPr>
        <w:t>t</w:t>
      </w:r>
      <w:r>
        <w:rPr>
          <w:rFonts w:ascii="Segoe UI" w:hAnsi="Segoe UI" w:cs="Segoe UI"/>
          <w:sz w:val="21"/>
          <w:szCs w:val="21"/>
        </w:rPr>
        <w:t>期的一年期国债利率和</w:t>
      </w:r>
      <w:r>
        <w:rPr>
          <w:rFonts w:ascii="Segoe UI" w:hAnsi="Segoe UI" w:cs="Segoe UI"/>
          <w:sz w:val="21"/>
          <w:szCs w:val="21"/>
        </w:rPr>
        <w:t>[</w:t>
      </w:r>
      <w:r>
        <w:rPr>
          <w:rFonts w:ascii="Segoe UI" w:hAnsi="Segoe UI" w:cs="Segoe UI"/>
          <w:sz w:val="21"/>
          <w:szCs w:val="21"/>
        </w:rPr>
        <w:t>国债一年期即期收益率</w:t>
      </w:r>
      <w:r>
        <w:rPr>
          <w:rFonts w:ascii="Segoe UI" w:hAnsi="Segoe UI" w:cs="Segoe UI"/>
          <w:sz w:val="21"/>
          <w:szCs w:val="21"/>
        </w:rPr>
        <w:t>]</w:t>
      </w:r>
      <w:r>
        <w:rPr>
          <w:rFonts w:ascii="Segoe UI" w:hAnsi="Segoe UI" w:cs="Segoe UI"/>
          <w:sz w:val="21"/>
          <w:szCs w:val="21"/>
        </w:rPr>
        <w:t>组成的向量。</w:t>
      </w:r>
    </w:p>
    <w:p w14:paraId="767AC3DB" w14:textId="77777777" w:rsidR="000C4A91" w:rsidRDefault="000C4A91" w:rsidP="000C4A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可以看到</w:t>
      </w:r>
      <w:r>
        <w:rPr>
          <w:rFonts w:ascii="Segoe UI" w:hAnsi="Segoe UI" w:cs="Segoe UI"/>
          <w:sz w:val="21"/>
          <w:szCs w:val="21"/>
        </w:rPr>
        <w:t>1994</w:t>
      </w:r>
      <w:r>
        <w:rPr>
          <w:rFonts w:ascii="Segoe UI" w:hAnsi="Segoe UI" w:cs="Segoe UI"/>
          <w:sz w:val="21"/>
          <w:szCs w:val="21"/>
        </w:rPr>
        <w:t>年模型与</w:t>
      </w:r>
      <w:r>
        <w:rPr>
          <w:rFonts w:ascii="Segoe UI" w:hAnsi="Segoe UI" w:cs="Segoe UI"/>
          <w:sz w:val="21"/>
          <w:szCs w:val="21"/>
        </w:rPr>
        <w:t>1997</w:t>
      </w:r>
      <w:r>
        <w:rPr>
          <w:rFonts w:ascii="Segoe UI" w:hAnsi="Segoe UI" w:cs="Segoe UI"/>
          <w:sz w:val="21"/>
          <w:szCs w:val="21"/>
        </w:rPr>
        <w:t>年模型的</w:t>
      </w:r>
      <w:r>
        <w:rPr>
          <w:rStyle w:val="a6"/>
          <w:rFonts w:ascii="Segoe UI" w:hAnsi="Segoe UI" w:cs="Segoe UI"/>
          <w:sz w:val="21"/>
          <w:szCs w:val="21"/>
        </w:rPr>
        <w:t>不同</w:t>
      </w:r>
      <w:r>
        <w:rPr>
          <w:rFonts w:ascii="Segoe UI" w:hAnsi="Segoe UI" w:cs="Segoe UI"/>
          <w:sz w:val="21"/>
          <w:szCs w:val="21"/>
        </w:rPr>
        <w:t>是：</w:t>
      </w:r>
      <w:r>
        <w:rPr>
          <w:rFonts w:ascii="Segoe UI" w:hAnsi="Segoe UI" w:cs="Segoe UI"/>
          <w:sz w:val="21"/>
          <w:szCs w:val="21"/>
        </w:rPr>
        <w:t>1994</w:t>
      </w:r>
      <w:r>
        <w:rPr>
          <w:rFonts w:ascii="Segoe UI" w:hAnsi="Segoe UI" w:cs="Segoe UI"/>
          <w:sz w:val="21"/>
          <w:szCs w:val="21"/>
        </w:rPr>
        <w:t>年两步回归时</w:t>
      </w:r>
      <w:proofErr w:type="spellStart"/>
      <w:r>
        <w:rPr>
          <w:rFonts w:ascii="Segoe UI" w:hAnsi="Segoe UI" w:cs="Segoe UI"/>
          <w:sz w:val="21"/>
          <w:szCs w:val="21"/>
        </w:rPr>
        <w:t>Xt</w:t>
      </w:r>
      <w:proofErr w:type="spellEnd"/>
      <w:r>
        <w:rPr>
          <w:rFonts w:ascii="Segoe UI" w:hAnsi="Segoe UI" w:cs="Segoe UI"/>
          <w:sz w:val="21"/>
          <w:szCs w:val="21"/>
        </w:rPr>
        <w:t>表示的是同一解释变量；而</w:t>
      </w:r>
      <w:r>
        <w:rPr>
          <w:rFonts w:ascii="Segoe UI" w:hAnsi="Segoe UI" w:cs="Segoe UI"/>
          <w:sz w:val="21"/>
          <w:szCs w:val="21"/>
        </w:rPr>
        <w:t>1997</w:t>
      </w:r>
      <w:r>
        <w:rPr>
          <w:rFonts w:ascii="Segoe UI" w:hAnsi="Segoe UI" w:cs="Segoe UI"/>
          <w:sz w:val="21"/>
          <w:szCs w:val="21"/>
        </w:rPr>
        <w:t>年将解释变量拆成了两组分别为</w:t>
      </w:r>
      <w:r>
        <w:rPr>
          <w:rFonts w:ascii="Segoe UI" w:hAnsi="Segoe UI" w:cs="Segoe UI"/>
          <w:sz w:val="21"/>
          <w:szCs w:val="21"/>
        </w:rPr>
        <w:t>X1y,X2t; </w:t>
      </w:r>
      <w:r>
        <w:rPr>
          <w:rStyle w:val="a6"/>
          <w:rFonts w:ascii="Segoe UI" w:hAnsi="Segoe UI" w:cs="Segoe UI"/>
          <w:sz w:val="21"/>
          <w:szCs w:val="21"/>
        </w:rPr>
        <w:t>相同点：</w:t>
      </w:r>
      <w:r>
        <w:rPr>
          <w:rFonts w:ascii="Segoe UI" w:hAnsi="Segoe UI" w:cs="Segoe UI"/>
          <w:sz w:val="21"/>
          <w:szCs w:val="21"/>
        </w:rPr>
        <w:t>都是将第一步回归后的残差带入第二步中作为被解释的变量。</w:t>
      </w:r>
    </w:p>
    <w:p w14:paraId="5EB88E29" w14:textId="77777777" w:rsidR="000C4A91" w:rsidRDefault="000C4A91" w:rsidP="000C4A91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在执行完两步回归后得到</w:t>
      </w:r>
      <w:r>
        <w:rPr>
          <w:rFonts w:ascii="Segoe UI" w:hAnsi="Segoe UI" w:cs="Segoe UI"/>
          <w:sz w:val="21"/>
          <w:szCs w:val="21"/>
        </w:rPr>
        <w:t>β1,β2</w:t>
      </w:r>
      <w:r>
        <w:rPr>
          <w:rFonts w:ascii="Segoe UI" w:hAnsi="Segoe UI" w:cs="Segoe UI"/>
          <w:sz w:val="21"/>
          <w:szCs w:val="21"/>
        </w:rPr>
        <w:t>后通过下述公式获取</w:t>
      </w:r>
      <w:r>
        <w:rPr>
          <w:rFonts w:ascii="Segoe UI" w:hAnsi="Segoe UI" w:cs="Segoe UI"/>
          <w:sz w:val="21"/>
          <w:szCs w:val="21"/>
        </w:rPr>
        <w:t>estimated conditional Sharpe ratio</w:t>
      </w:r>
      <w:r>
        <w:rPr>
          <w:rFonts w:ascii="Segoe UI" w:hAnsi="Segoe UI" w:cs="Segoe UI"/>
          <w:sz w:val="21"/>
          <w:szCs w:val="21"/>
        </w:rPr>
        <w:t>：</w:t>
      </w:r>
    </w:p>
    <w:p w14:paraId="78C5A5FB" w14:textId="3572B56C" w:rsidR="000C4A91" w:rsidRDefault="000C4A91">
      <w:r>
        <w:rPr>
          <w:noProof/>
        </w:rPr>
        <w:lastRenderedPageBreak/>
        <w:drawing>
          <wp:inline distT="0" distB="0" distL="0" distR="0" wp14:anchorId="461199D4" wp14:editId="2C473F65">
            <wp:extent cx="2647950" cy="1419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F8BB" w14:textId="77777777" w:rsidR="004A019E" w:rsidRDefault="004A019E" w:rsidP="004A019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上述的这种模型虽然能对经济数据起到较好的预测，可是仍有不足，譬如该模型需要通过两次估算才能得到关于时变</w:t>
      </w:r>
      <w:proofErr w:type="gramStart"/>
      <w:r>
        <w:rPr>
          <w:rFonts w:ascii="Segoe UI" w:hAnsi="Segoe UI" w:cs="Segoe UI"/>
          <w:sz w:val="21"/>
          <w:szCs w:val="21"/>
        </w:rPr>
        <w:t>夏普率</w:t>
      </w:r>
      <w:proofErr w:type="gramEnd"/>
      <w:r>
        <w:rPr>
          <w:rFonts w:ascii="Segoe UI" w:hAnsi="Segoe UI" w:cs="Segoe UI"/>
          <w:sz w:val="21"/>
          <w:szCs w:val="21"/>
        </w:rPr>
        <w:t>的解释变量的系数，这样相对的误差可能会比较大，于是</w:t>
      </w:r>
      <w:r>
        <w:rPr>
          <w:rFonts w:ascii="Segoe UI" w:hAnsi="Segoe UI" w:cs="Segoe UI"/>
          <w:sz w:val="21"/>
          <w:szCs w:val="21"/>
        </w:rPr>
        <w:t>Whitelaw</w:t>
      </w:r>
      <w:r>
        <w:rPr>
          <w:rFonts w:ascii="Segoe UI" w:hAnsi="Segoe UI" w:cs="Segoe UI"/>
          <w:sz w:val="21"/>
          <w:szCs w:val="21"/>
        </w:rPr>
        <w:t>（</w:t>
      </w:r>
      <w:r>
        <w:rPr>
          <w:rFonts w:ascii="Segoe UI" w:hAnsi="Segoe UI" w:cs="Segoe UI"/>
          <w:sz w:val="21"/>
          <w:szCs w:val="21"/>
        </w:rPr>
        <w:t>1997</w:t>
      </w:r>
      <w:r>
        <w:rPr>
          <w:rFonts w:ascii="Segoe UI" w:hAnsi="Segoe UI" w:cs="Segoe UI"/>
          <w:sz w:val="21"/>
          <w:szCs w:val="21"/>
        </w:rPr>
        <w:t>）直接根据</w:t>
      </w:r>
      <w:proofErr w:type="gramStart"/>
      <w:r>
        <w:rPr>
          <w:rFonts w:ascii="Segoe UI" w:hAnsi="Segoe UI" w:cs="Segoe UI"/>
          <w:sz w:val="21"/>
          <w:szCs w:val="21"/>
        </w:rPr>
        <w:t>夏普率</w:t>
      </w:r>
      <w:proofErr w:type="gramEnd"/>
      <w:r>
        <w:rPr>
          <w:rFonts w:ascii="Segoe UI" w:hAnsi="Segoe UI" w:cs="Segoe UI"/>
          <w:sz w:val="21"/>
          <w:szCs w:val="21"/>
        </w:rPr>
        <w:t>的定义对其进行计算</w:t>
      </w:r>
    </w:p>
    <w:p w14:paraId="7247ED48" w14:textId="77777777" w:rsidR="004A019E" w:rsidRDefault="004A019E" w:rsidP="004A019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One feasible alternative is to employ more frequently sampled data (e.g., daily data) to estimate monthly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volatility.Specifically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>, monthly ratios are computed as:</w:t>
      </w:r>
    </w:p>
    <w:p w14:paraId="0CA6D05F" w14:textId="787D9192" w:rsidR="004A019E" w:rsidRDefault="004A019E">
      <w:r>
        <w:rPr>
          <w:noProof/>
        </w:rPr>
        <w:drawing>
          <wp:inline distT="0" distB="0" distL="0" distR="0" wp14:anchorId="654672BB" wp14:editId="5AAC4BCB">
            <wp:extent cx="3733800" cy="2590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F8B7C" w14:textId="77777777" w:rsidR="004A019E" w:rsidRDefault="004A019E" w:rsidP="004A019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where n indexes the daily returns within month t+1</w:t>
      </w:r>
    </w:p>
    <w:p w14:paraId="74570FAD" w14:textId="5A5AF3B0" w:rsidR="004A019E" w:rsidRDefault="004A019E" w:rsidP="004A019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得到</w:t>
      </w:r>
      <w:r>
        <w:rPr>
          <w:rFonts w:ascii="Segoe UI" w:hAnsi="Segoe UI" w:cs="Segoe UI"/>
          <w:sz w:val="21"/>
          <w:szCs w:val="21"/>
        </w:rPr>
        <w:t>St+1</w:t>
      </w:r>
      <w:r>
        <w:rPr>
          <w:rFonts w:ascii="Segoe UI" w:hAnsi="Segoe UI" w:cs="Segoe UI"/>
          <w:sz w:val="21"/>
          <w:szCs w:val="21"/>
        </w:rPr>
        <w:t>后带入下面的回归方程：</w:t>
      </w:r>
      <w:r>
        <w:rPr>
          <w:rFonts w:ascii="Segoe UI" w:hAnsi="Segoe UI" w:cs="Segoe UI"/>
          <w:sz w:val="21"/>
          <w:szCs w:val="21"/>
        </w:rPr>
        <w:t>St+1=</w:t>
      </w:r>
      <w:proofErr w:type="spellStart"/>
      <w:r>
        <w:rPr>
          <w:rFonts w:ascii="Segoe UI" w:hAnsi="Segoe UI" w:cs="Segoe UI"/>
          <w:sz w:val="21"/>
          <w:szCs w:val="21"/>
        </w:rPr>
        <w:t>Xt</w:t>
      </w:r>
      <w:proofErr w:type="spellEnd"/>
      <w:r>
        <w:rPr>
          <w:rFonts w:ascii="Segoe UI" w:hAnsi="Segoe UI" w:cs="Segoe UI"/>
          <w:sz w:val="21"/>
          <w:szCs w:val="21"/>
        </w:rPr>
        <w:t>β+ϵt+1</w:t>
      </w:r>
    </w:p>
    <w:p w14:paraId="6E4384AC" w14:textId="4CB2CC8B" w:rsidR="004A019E" w:rsidRDefault="004A019E" w:rsidP="004A019E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noProof/>
        </w:rPr>
        <w:drawing>
          <wp:inline distT="0" distB="0" distL="0" distR="0" wp14:anchorId="025DD760" wp14:editId="651C4069">
            <wp:extent cx="3400425" cy="7810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154CF" w14:textId="77777777" w:rsidR="004A019E" w:rsidRDefault="004A019E" w:rsidP="004A019E">
      <w:pPr>
        <w:pStyle w:val="a5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在国信</w:t>
      </w:r>
      <w:proofErr w:type="gramStart"/>
      <w:r>
        <w:rPr>
          <w:rFonts w:ascii="Segoe UI" w:hAnsi="Segoe UI" w:cs="Segoe UI"/>
          <w:sz w:val="21"/>
          <w:szCs w:val="21"/>
        </w:rPr>
        <w:t>研</w:t>
      </w:r>
      <w:proofErr w:type="gramEnd"/>
      <w:r>
        <w:rPr>
          <w:rFonts w:ascii="Segoe UI" w:hAnsi="Segoe UI" w:cs="Segoe UI"/>
          <w:sz w:val="21"/>
          <w:szCs w:val="21"/>
        </w:rPr>
        <w:t>报中前半部分直接使用</w:t>
      </w:r>
      <w:r>
        <w:rPr>
          <w:rFonts w:ascii="Segoe UI" w:hAnsi="Segoe UI" w:cs="Segoe UI"/>
          <w:sz w:val="21"/>
          <w:szCs w:val="21"/>
        </w:rPr>
        <w:t>St+1</w:t>
      </w:r>
      <w:r>
        <w:rPr>
          <w:rFonts w:ascii="Segoe UI" w:hAnsi="Segoe UI" w:cs="Segoe UI"/>
          <w:sz w:val="21"/>
          <w:szCs w:val="21"/>
        </w:rPr>
        <w:t>作为信号进行分析</w:t>
      </w:r>
      <w:r>
        <w:rPr>
          <w:rFonts w:ascii="Segoe UI" w:hAnsi="Segoe UI" w:cs="Segoe UI"/>
          <w:sz w:val="21"/>
          <w:szCs w:val="21"/>
        </w:rPr>
        <w:t>,</w:t>
      </w:r>
      <w:r>
        <w:rPr>
          <w:rFonts w:ascii="Segoe UI" w:hAnsi="Segoe UI" w:cs="Segoe UI"/>
          <w:sz w:val="21"/>
          <w:szCs w:val="21"/>
        </w:rPr>
        <w:t>之后才用了回归方程进行测试。</w:t>
      </w:r>
    </w:p>
    <w:p w14:paraId="0446767E" w14:textId="77777777" w:rsidR="004A019E" w:rsidRPr="004A019E" w:rsidRDefault="004A019E">
      <w:pPr>
        <w:rPr>
          <w:rFonts w:hint="eastAsia"/>
        </w:rPr>
      </w:pPr>
    </w:p>
    <w:p w14:paraId="4352A83C" w14:textId="59F45077" w:rsidR="000C4A91" w:rsidRDefault="000C4A91">
      <w:r>
        <w:rPr>
          <w:rFonts w:hint="eastAsia"/>
        </w:rPr>
        <w:t>代码模型简要：</w:t>
      </w:r>
    </w:p>
    <w:p w14:paraId="0CBFCA16" w14:textId="2B1E16E6" w:rsidR="000C4A91" w:rsidRDefault="000C4A91">
      <w:r>
        <w:rPr>
          <w:rFonts w:hint="eastAsia"/>
        </w:rPr>
        <w:t>主要包括：</w:t>
      </w:r>
    </w:p>
    <w:p w14:paraId="3C613911" w14:textId="5844B710" w:rsidR="000C4A91" w:rsidRDefault="000C4A91" w:rsidP="000C4A91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</w:t>
      </w:r>
      <w:r>
        <w:t>S</w:t>
      </w:r>
      <w:r>
        <w:rPr>
          <w:rFonts w:hint="eastAsia"/>
        </w:rPr>
        <w:t>harpe</w:t>
      </w:r>
      <w:proofErr w:type="spellEnd"/>
      <w:r>
        <w:rPr>
          <w:rFonts w:hint="eastAsia"/>
        </w:rPr>
        <w:t>的公式计算</w:t>
      </w:r>
    </w:p>
    <w:p w14:paraId="3DC7DC29" w14:textId="47E9EB66" w:rsidR="000C4A91" w:rsidRPr="004A019E" w:rsidRDefault="004A019E" w:rsidP="004A019E">
      <w:pPr>
        <w:pStyle w:val="a8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szCs w:val="21"/>
          <w:shd w:val="clear" w:color="auto" w:fill="FFFFFF"/>
        </w:rPr>
        <w:t>交易信号的生成：</w:t>
      </w:r>
      <w:r>
        <w:rPr>
          <w:rFonts w:ascii="Segoe UI" w:hAnsi="Segoe UI" w:cs="Segoe UI"/>
          <w:szCs w:val="21"/>
          <w:shd w:val="clear" w:color="auto" w:fill="FFFFFF"/>
        </w:rPr>
        <w:t>当时变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夏普率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在接近</w:t>
      </w:r>
      <w:r>
        <w:rPr>
          <w:rFonts w:ascii="Segoe UI" w:hAnsi="Segoe UI" w:cs="Segoe UI"/>
          <w:szCs w:val="21"/>
          <w:shd w:val="clear" w:color="auto" w:fill="FFFFFF"/>
        </w:rPr>
        <w:t xml:space="preserve"> 0</w:t>
      </w:r>
      <w:r>
        <w:rPr>
          <w:rFonts w:ascii="Segoe UI" w:hAnsi="Segoe UI" w:cs="Segoe UI"/>
          <w:szCs w:val="21"/>
          <w:shd w:val="clear" w:color="auto" w:fill="FFFFFF"/>
        </w:rPr>
        <w:t>的时候，指数是处于一个相对平稳的状态，而时变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夏普率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的绝对值越大，指数的波动同样也越大。于是设定两个参</w:t>
      </w:r>
      <w:r>
        <w:rPr>
          <w:rFonts w:ascii="Segoe UI" w:hAnsi="Segoe UI" w:cs="Segoe UI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Cs w:val="21"/>
          <w:shd w:val="clear" w:color="auto" w:fill="FFFFFF"/>
        </w:rPr>
        <w:t>数，</w:t>
      </w:r>
      <w:r>
        <w:rPr>
          <w:rFonts w:ascii="Segoe UI" w:hAnsi="Segoe UI" w:cs="Segoe UI"/>
          <w:szCs w:val="21"/>
          <w:shd w:val="clear" w:color="auto" w:fill="FFFFFF"/>
        </w:rPr>
        <w:t>-0.3</w:t>
      </w:r>
      <w:r>
        <w:rPr>
          <w:rFonts w:ascii="Segoe UI" w:hAnsi="Segoe UI" w:cs="Segoe UI"/>
          <w:szCs w:val="21"/>
          <w:shd w:val="clear" w:color="auto" w:fill="FFFFFF"/>
        </w:rPr>
        <w:t>与</w:t>
      </w:r>
      <w:r>
        <w:rPr>
          <w:rFonts w:ascii="Segoe UI" w:hAnsi="Segoe UI" w:cs="Segoe UI"/>
          <w:szCs w:val="21"/>
          <w:shd w:val="clear" w:color="auto" w:fill="FFFFFF"/>
        </w:rPr>
        <w:t xml:space="preserve"> 0.3</w:t>
      </w:r>
      <w:r>
        <w:rPr>
          <w:rFonts w:ascii="Segoe UI" w:hAnsi="Segoe UI" w:cs="Segoe UI"/>
          <w:szCs w:val="21"/>
          <w:shd w:val="clear" w:color="auto" w:fill="FFFFFF"/>
        </w:rPr>
        <w:t>，</w:t>
      </w:r>
      <w:r>
        <w:rPr>
          <w:rFonts w:ascii="Segoe UI" w:hAnsi="Segoe UI" w:cs="Segoe UI"/>
          <w:szCs w:val="21"/>
          <w:shd w:val="clear" w:color="auto" w:fill="FFFFFF"/>
        </w:rPr>
        <w:lastRenderedPageBreak/>
        <w:t>其中当时变</w:t>
      </w:r>
      <w:proofErr w:type="gramStart"/>
      <w:r>
        <w:rPr>
          <w:rFonts w:ascii="Segoe UI" w:hAnsi="Segoe UI" w:cs="Segoe UI"/>
          <w:szCs w:val="21"/>
          <w:shd w:val="clear" w:color="auto" w:fill="FFFFFF"/>
        </w:rPr>
        <w:t>夏普率</w:t>
      </w:r>
      <w:proofErr w:type="gramEnd"/>
      <w:r>
        <w:rPr>
          <w:rFonts w:ascii="Segoe UI" w:hAnsi="Segoe UI" w:cs="Segoe UI"/>
          <w:szCs w:val="21"/>
          <w:shd w:val="clear" w:color="auto" w:fill="FFFFFF"/>
        </w:rPr>
        <w:t>小于</w:t>
      </w:r>
      <w:r>
        <w:rPr>
          <w:rFonts w:ascii="Segoe UI" w:hAnsi="Segoe UI" w:cs="Segoe UI"/>
          <w:szCs w:val="21"/>
          <w:shd w:val="clear" w:color="auto" w:fill="FFFFFF"/>
        </w:rPr>
        <w:t>-0.3</w:t>
      </w:r>
      <w:r>
        <w:rPr>
          <w:rFonts w:ascii="Segoe UI" w:hAnsi="Segoe UI" w:cs="Segoe UI"/>
          <w:szCs w:val="21"/>
          <w:shd w:val="clear" w:color="auto" w:fill="FFFFFF"/>
        </w:rPr>
        <w:t>的时候，持有现金，大于</w:t>
      </w:r>
      <w:r>
        <w:rPr>
          <w:rFonts w:ascii="Segoe UI" w:hAnsi="Segoe UI" w:cs="Segoe UI"/>
          <w:szCs w:val="21"/>
          <w:shd w:val="clear" w:color="auto" w:fill="FFFFFF"/>
        </w:rPr>
        <w:t xml:space="preserve"> 0.3</w:t>
      </w:r>
      <w:r>
        <w:rPr>
          <w:rFonts w:ascii="Segoe UI" w:hAnsi="Segoe UI" w:cs="Segoe UI"/>
          <w:szCs w:val="21"/>
          <w:shd w:val="clear" w:color="auto" w:fill="FFFFFF"/>
        </w:rPr>
        <w:t>时将持有指数，而介于</w:t>
      </w:r>
      <w:r>
        <w:rPr>
          <w:rFonts w:ascii="Segoe UI" w:hAnsi="Segoe UI" w:cs="Segoe UI"/>
          <w:szCs w:val="21"/>
          <w:shd w:val="clear" w:color="auto" w:fill="FFFFFF"/>
        </w:rPr>
        <w:t xml:space="preserve">-0.3 </w:t>
      </w:r>
      <w:r>
        <w:rPr>
          <w:rFonts w:ascii="Segoe UI" w:hAnsi="Segoe UI" w:cs="Segoe UI"/>
          <w:szCs w:val="21"/>
          <w:shd w:val="clear" w:color="auto" w:fill="FFFFFF"/>
        </w:rPr>
        <w:t>与</w:t>
      </w:r>
      <w:r>
        <w:rPr>
          <w:rFonts w:ascii="Segoe UI" w:hAnsi="Segoe UI" w:cs="Segoe UI"/>
          <w:szCs w:val="21"/>
          <w:shd w:val="clear" w:color="auto" w:fill="FFFFFF"/>
        </w:rPr>
        <w:t xml:space="preserve"> 0.3 </w:t>
      </w:r>
      <w:r>
        <w:rPr>
          <w:rFonts w:ascii="Segoe UI" w:hAnsi="Segoe UI" w:cs="Segoe UI"/>
          <w:szCs w:val="21"/>
          <w:shd w:val="clear" w:color="auto" w:fill="FFFFFF"/>
        </w:rPr>
        <w:t>之间的，则不进行买卖。</w:t>
      </w:r>
    </w:p>
    <w:p w14:paraId="73F87CC2" w14:textId="57AE79BF" w:rsidR="004A019E" w:rsidRPr="004A019E" w:rsidRDefault="004A019E" w:rsidP="004A019E">
      <w:pPr>
        <w:pStyle w:val="a8"/>
        <w:numPr>
          <w:ilvl w:val="0"/>
          <w:numId w:val="1"/>
        </w:numPr>
        <w:ind w:firstLineChars="0"/>
      </w:pPr>
      <w:r>
        <w:rPr>
          <w:rFonts w:ascii="Segoe UI" w:hAnsi="Segoe UI" w:cs="Segoe UI" w:hint="eastAsia"/>
          <w:szCs w:val="21"/>
          <w:shd w:val="clear" w:color="auto" w:fill="FFFFFF"/>
        </w:rPr>
        <w:t>回测</w:t>
      </w:r>
    </w:p>
    <w:p w14:paraId="5B8186BA" w14:textId="66EFC84E" w:rsidR="004A019E" w:rsidRDefault="004A019E" w:rsidP="004A019E"/>
    <w:p w14:paraId="17E45039" w14:textId="77777777" w:rsidR="004A019E" w:rsidRDefault="004A019E" w:rsidP="004A019E">
      <w:pPr>
        <w:rPr>
          <w:rFonts w:hint="eastAsia"/>
        </w:rPr>
      </w:pPr>
    </w:p>
    <w:p w14:paraId="107CBF79" w14:textId="62FEC4DB" w:rsidR="0036592D" w:rsidRDefault="00E201EE">
      <w:r>
        <w:rPr>
          <w:rFonts w:hint="eastAsia"/>
        </w:rPr>
        <w:t>参考代码及原理出处：</w:t>
      </w:r>
    </w:p>
    <w:p w14:paraId="1344928F" w14:textId="012FBE67" w:rsidR="00E201EE" w:rsidRDefault="00E201EE">
      <w:hyperlink r:id="rId10" w:history="1">
        <w:r w:rsidRPr="00583A3B">
          <w:rPr>
            <w:rStyle w:val="a3"/>
          </w:rPr>
          <w:t>https://github.com/hugo2046/Quantitative-analysis/tree/master/C-%E6%8B%A9%E6%97%B6%E7%B1%BB/%E6%97%B6%E5%8F%98%E5%A4%8F%E6%99%AE</w:t>
        </w:r>
      </w:hyperlink>
    </w:p>
    <w:p w14:paraId="41DC092D" w14:textId="77777777" w:rsidR="00E201EE" w:rsidRPr="00E201EE" w:rsidRDefault="00E201EE">
      <w:pPr>
        <w:rPr>
          <w:rFonts w:hint="eastAsia"/>
        </w:rPr>
      </w:pPr>
    </w:p>
    <w:sectPr w:rsidR="00E201EE" w:rsidRPr="00E201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F12FD"/>
    <w:multiLevelType w:val="hybridMultilevel"/>
    <w:tmpl w:val="5E988062"/>
    <w:lvl w:ilvl="0" w:tplc="B762D8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61821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98"/>
    <w:rsid w:val="000C4A91"/>
    <w:rsid w:val="0036592D"/>
    <w:rsid w:val="004A019E"/>
    <w:rsid w:val="005E348B"/>
    <w:rsid w:val="00CA1798"/>
    <w:rsid w:val="00E2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5F1F5"/>
  <w15:chartTrackingRefBased/>
  <w15:docId w15:val="{E0C3697A-D7DA-4C3D-9F46-E6CA3E640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4A9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01E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201EE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0C4A91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0C4A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C4A91"/>
    <w:rPr>
      <w:b/>
      <w:bCs/>
    </w:rPr>
  </w:style>
  <w:style w:type="character" w:styleId="a7">
    <w:name w:val="Emphasis"/>
    <w:basedOn w:val="a0"/>
    <w:uiPriority w:val="20"/>
    <w:qFormat/>
    <w:rsid w:val="000C4A91"/>
    <w:rPr>
      <w:i/>
      <w:iCs/>
    </w:rPr>
  </w:style>
  <w:style w:type="paragraph" w:styleId="a8">
    <w:name w:val="List Paragraph"/>
    <w:basedOn w:val="a"/>
    <w:uiPriority w:val="34"/>
    <w:qFormat/>
    <w:rsid w:val="000C4A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68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855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3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6677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73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44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529325">
                          <w:blockQuote w:val="1"/>
                          <w:marLeft w:val="480"/>
                          <w:marRight w:val="48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0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67304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hugo2046/Quantitative-analysis/tree/master/C-%E6%8B%A9%E6%97%B6%E7%B1%BB/%E6%97%B6%E5%8F%98%E5%A4%8F%E6%99%A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3</cp:revision>
  <dcterms:created xsi:type="dcterms:W3CDTF">2022-09-10T01:18:00Z</dcterms:created>
  <dcterms:modified xsi:type="dcterms:W3CDTF">2022-09-10T01:53:00Z</dcterms:modified>
</cp:coreProperties>
</file>