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6A02" w14:textId="35C95C2E" w:rsidR="00E31A1E" w:rsidRDefault="00174584">
      <w:r>
        <w:rPr>
          <w:rFonts w:hint="eastAsia"/>
        </w:rPr>
        <w:t>策略逻辑：</w:t>
      </w:r>
    </w:p>
    <w:p w14:paraId="08E232F2" w14:textId="11FAD55D" w:rsidR="00174584" w:rsidRDefault="00174584">
      <w:r>
        <w:t>波动率指数（VIX）是芝加哥期权交易所（CBOE）1993 年引入的，用作权益市场波 动率的基准指数，在 2003 年其计算方法改为一种与模型无关的波动率指数。新 VIX 指数 基于标普 500，利用涵盖广泛执行价范围的看涨和看跌期权加权价格计算，反映了市场对 未来 30 天波动率的整体预期。偏度指数（SKEW）是对隐含波动率曲线斜率（“波动率微 笑”的偏斜）的一种全局测量。“波动率微笑”偏斜时，往往与资产价格大幅波动，其对数 收益率不再服从正态分布，即出现所谓“尾部”风险有关，从而导致一侧执行价（虚值或 实值）的期权价格对应的隐含波动率显著升高。SKEW 指数由 CBOE 于 2010 年引入，用 一组虚值期权构成的组合价格来刻画标普500收益率的偏度，及其隐含的市场价格“尾部” 风险。与 VIX 指数一样，SKEW 指数也是一种不依赖定期权价模型的方法。目前，CBOE 的 VIX 指数已不仅仅是一种抽象的概念，而且拥有了基于 VIX 指数的 VIX 期货、ETN 和 期权，成为一种可交易的波动率衍生品。</w:t>
      </w:r>
    </w:p>
    <w:p w14:paraId="5ED80875" w14:textId="441B3F3D" w:rsidR="00174584" w:rsidRDefault="00174584">
      <w:r>
        <w:t>VIX 指数采用标的相同的一组期权来计算，这些期权的价格反映了市场对未来波动率 的期望水平。计算 VIX 指数的一般公式为：</w:t>
      </w:r>
    </w:p>
    <w:p w14:paraId="6455EC03" w14:textId="22EBAFBE" w:rsidR="00174584" w:rsidRDefault="00174584" w:rsidP="00174584">
      <w:pPr>
        <w:jc w:val="center"/>
      </w:pPr>
      <w:r>
        <w:rPr>
          <w:noProof/>
        </w:rPr>
        <w:drawing>
          <wp:inline distT="0" distB="0" distL="0" distR="0" wp14:anchorId="343D39B5" wp14:editId="2BDB9B90">
            <wp:extent cx="2419368" cy="5191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C9FD" w14:textId="4DC5DF9F" w:rsidR="00174584" w:rsidRDefault="00174584" w:rsidP="00174584">
      <w:pPr>
        <w:jc w:val="left"/>
      </w:pPr>
      <w:r>
        <w:t>SKEW 衍生自标的价格的偏度，用</w:t>
      </w:r>
      <w:r>
        <w:rPr>
          <w:rFonts w:ascii="Cambria Math" w:hAnsi="Cambria Math" w:cs="Cambria Math"/>
        </w:rPr>
        <w:t>𝑆</w:t>
      </w:r>
      <w:r>
        <w:t>表示。</w:t>
      </w:r>
      <w:r>
        <w:rPr>
          <w:rFonts w:ascii="Cambria Math" w:hAnsi="Cambria Math" w:cs="Cambria Math"/>
        </w:rPr>
        <w:t>𝑆</w:t>
      </w:r>
      <w:r>
        <w:t>的定义与统计偏度系数相似：</w:t>
      </w:r>
    </w:p>
    <w:p w14:paraId="3B20A8BC" w14:textId="33CFD34F" w:rsidR="00174584" w:rsidRDefault="00174584" w:rsidP="00174584">
      <w:pPr>
        <w:jc w:val="center"/>
      </w:pPr>
      <w:r>
        <w:rPr>
          <w:noProof/>
        </w:rPr>
        <w:drawing>
          <wp:inline distT="0" distB="0" distL="0" distR="0" wp14:anchorId="49F8AC26" wp14:editId="63F11C19">
            <wp:extent cx="1223971" cy="5762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3971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4A93" w14:textId="44F1B326" w:rsidR="00174584" w:rsidRDefault="004B58B7" w:rsidP="00174584">
      <w:pPr>
        <w:jc w:val="left"/>
      </w:pPr>
      <w:r>
        <w:t>VIX 指数由近月与次近月不同执行价虚值期权价格计算，反映了市场对标的资产未来 已实现波动率的预期，是市场恐慌情绪的“温度计”。VIX 指数同时也体现了期权当前的整 体价格水平，对 VIX 指数本身的预测也具有了现实价值。目前 CBOE 已推出基于 VIX 指 数的期货和期权，使波动率本身也变成一种可交易的资产。尽管目前尚无基于 50ETF 期权 VIX 指数的交易工具，但预测 50ETF 期权 VIX 指数仍然对 50ETF 期权的定价和交易策略 选择具有重要意义。 根据上述对 VIX 指数长记忆性特征的分析，我们提出一种简单的基于布林线的 VIX 多 空策略，模拟对 VIX 指数的多空交易。提出该策略并不是要交易 VIX 指数本身，而是为了 检验对 VIX 指数的预测能力，以及基于其产生做多或做空波动率交易信号的可能性。 以下图 45中展现了VIX指数及其20日均线，以及其上下1个和2个标准差的布林带。 可以看出，VIX 指数在运行过程中，如果向上突破第 1 根布林线上轨时，往往会继续向上 运动；如果向下突破第 1 根布林线下轨时，则往往会继续向下运动。这是 VIX 指数长记忆 性的另一种体现。而当 VIX 指数向上突破第 2 根布林线上轨时，或向下突破第 2 根布林线 下轨时，则大概率回调。这又显示了 VIX 指数整体上是均值回复的。只有在少数情况 VIX 指数持续向一个方向发展，会沿着第 2 根布林线上轨或下轨连续运动。可以直观地认为， VIX 指数的“记忆性”保持在 2 个标准差以内。</w:t>
      </w:r>
    </w:p>
    <w:p w14:paraId="07727F77" w14:textId="4E90B6B8" w:rsidR="004B58B7" w:rsidRDefault="004B58B7" w:rsidP="00174584">
      <w:pPr>
        <w:jc w:val="left"/>
      </w:pPr>
    </w:p>
    <w:p w14:paraId="20BE9D6B" w14:textId="354759EF" w:rsidR="004B58B7" w:rsidRDefault="004B58B7" w:rsidP="00174584">
      <w:pPr>
        <w:jc w:val="left"/>
      </w:pPr>
      <w:r>
        <w:rPr>
          <w:rFonts w:hint="eastAsia"/>
        </w:rPr>
        <w:t>代码模型简要：</w:t>
      </w:r>
    </w:p>
    <w:p w14:paraId="2B079833" w14:textId="0366A080" w:rsidR="004B58B7" w:rsidRDefault="004B58B7" w:rsidP="004B58B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calc</w:t>
      </w:r>
      <w:r>
        <w:t>_func.py</w:t>
      </w:r>
      <w:r>
        <w:rPr>
          <w:rFonts w:hint="eastAsia"/>
        </w:rPr>
        <w:t>：主要为计算V</w:t>
      </w:r>
      <w:r>
        <w:t>IX</w:t>
      </w:r>
      <w:r>
        <w:rPr>
          <w:rFonts w:hint="eastAsia"/>
        </w:rPr>
        <w:t>和S</w:t>
      </w:r>
      <w:r>
        <w:t>KEW</w:t>
      </w:r>
      <w:r>
        <w:rPr>
          <w:rFonts w:hint="eastAsia"/>
        </w:rPr>
        <w:t>等相关核心指标的方法函数：</w:t>
      </w:r>
    </w:p>
    <w:p w14:paraId="1327F88A" w14:textId="170E9E85" w:rsidR="004B58B7" w:rsidRDefault="004B58B7" w:rsidP="004B58B7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F3B06AF" wp14:editId="15166432">
            <wp:extent cx="5274310" cy="4393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B51" w14:textId="3D2C0CF0" w:rsidR="004B58B7" w:rsidRDefault="004B58B7" w:rsidP="004B58B7">
      <w:pPr>
        <w:pStyle w:val="a5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3858563" wp14:editId="43439E90">
            <wp:extent cx="5274310" cy="4150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8B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A2B807" wp14:editId="480D3160">
            <wp:extent cx="5274310" cy="14954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1D97" w14:textId="3B0E6576" w:rsidR="004B58B7" w:rsidRDefault="004B58B7" w:rsidP="004B58B7">
      <w:pPr>
        <w:pStyle w:val="a5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2B718A6" wp14:editId="133D5F2C">
            <wp:extent cx="5274310" cy="3566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8B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95F8A8" wp14:editId="3555E3BC">
            <wp:extent cx="5274310" cy="3936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2241" w14:textId="3C37A355" w:rsidR="004B58B7" w:rsidRDefault="004B58B7" w:rsidP="004B58B7">
      <w:pPr>
        <w:pStyle w:val="a5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2、C</w:t>
      </w:r>
      <w:r>
        <w:rPr>
          <w:noProof/>
        </w:rPr>
        <w:t>-VIX</w:t>
      </w:r>
      <w:r>
        <w:rPr>
          <w:rFonts w:hint="eastAsia"/>
          <w:noProof/>
        </w:rPr>
        <w:t>_</w:t>
      </w:r>
      <w:r>
        <w:rPr>
          <w:noProof/>
        </w:rPr>
        <w:t>demo.py</w:t>
      </w:r>
      <w:r>
        <w:rPr>
          <w:rFonts w:hint="eastAsia"/>
          <w:noProof/>
        </w:rPr>
        <w:t>：</w:t>
      </w:r>
    </w:p>
    <w:p w14:paraId="3D81CD45" w14:textId="6E31A9FA" w:rsidR="004B58B7" w:rsidRDefault="00D8115B" w:rsidP="004B58B7">
      <w:pPr>
        <w:pStyle w:val="a5"/>
        <w:ind w:left="360" w:firstLineChars="0" w:firstLine="0"/>
        <w:jc w:val="left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ain函数</w:t>
      </w:r>
      <w:r w:rsidR="004B58B7">
        <w:rPr>
          <w:rFonts w:hint="eastAsia"/>
          <w:noProof/>
        </w:rPr>
        <w:t>主要包括：</w:t>
      </w:r>
    </w:p>
    <w:p w14:paraId="74EF222B" w14:textId="16C806D5" w:rsidR="004B58B7" w:rsidRDefault="00D8115B" w:rsidP="00D8115B">
      <w:pPr>
        <w:pStyle w:val="a5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数据的读取、加载和预处理，并计算出V</w:t>
      </w:r>
      <w:r>
        <w:rPr>
          <w:noProof/>
        </w:rPr>
        <w:t>IX</w:t>
      </w:r>
      <w:r>
        <w:rPr>
          <w:rFonts w:hint="eastAsia"/>
          <w:noProof/>
        </w:rPr>
        <w:t>和S</w:t>
      </w:r>
      <w:r>
        <w:rPr>
          <w:noProof/>
        </w:rPr>
        <w:t>KEW</w:t>
      </w:r>
    </w:p>
    <w:p w14:paraId="7B39B759" w14:textId="6753C437" w:rsidR="00D8115B" w:rsidRDefault="00D8115B" w:rsidP="00D8115B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  <w:noProof/>
        </w:rPr>
        <w:t>图表绘制，分别绘制V</w:t>
      </w:r>
      <w:r>
        <w:rPr>
          <w:noProof/>
        </w:rPr>
        <w:t>IX</w:t>
      </w:r>
      <w:r>
        <w:rPr>
          <w:rFonts w:hint="eastAsia"/>
          <w:noProof/>
        </w:rPr>
        <w:t>和S</w:t>
      </w:r>
      <w:r>
        <w:rPr>
          <w:noProof/>
        </w:rPr>
        <w:t>KEW</w:t>
      </w:r>
      <w:r>
        <w:rPr>
          <w:rFonts w:hint="eastAsia"/>
          <w:noProof/>
        </w:rPr>
        <w:t>与沪深3</w:t>
      </w:r>
      <w:r>
        <w:rPr>
          <w:noProof/>
        </w:rPr>
        <w:t>00</w:t>
      </w:r>
      <w:r>
        <w:rPr>
          <w:rFonts w:hint="eastAsia"/>
          <w:noProof/>
        </w:rPr>
        <w:t>的收盘价数据的走势关系，以及信号与指数收益的未来5日，未来2</w:t>
      </w:r>
      <w:r>
        <w:rPr>
          <w:noProof/>
        </w:rPr>
        <w:t>0</w:t>
      </w:r>
      <w:r>
        <w:rPr>
          <w:rFonts w:hint="eastAsia"/>
          <w:noProof/>
        </w:rPr>
        <w:t>日和未来6</w:t>
      </w:r>
      <w:r>
        <w:rPr>
          <w:noProof/>
        </w:rPr>
        <w:t>0</w:t>
      </w:r>
      <w:r>
        <w:rPr>
          <w:rFonts w:hint="eastAsia"/>
          <w:noProof/>
        </w:rPr>
        <w:t>日的九宫格图关系</w:t>
      </w:r>
    </w:p>
    <w:p w14:paraId="139B5198" w14:textId="2CB55903" w:rsidR="00D8115B" w:rsidRDefault="00D8115B" w:rsidP="00D8115B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  <w:noProof/>
        </w:rPr>
        <w:t>持仓信号以及交易信号计算，根据V</w:t>
      </w:r>
      <w:r>
        <w:rPr>
          <w:noProof/>
        </w:rPr>
        <w:t>IX</w:t>
      </w:r>
      <w:r>
        <w:rPr>
          <w:rFonts w:hint="eastAsia"/>
          <w:noProof/>
        </w:rPr>
        <w:t>指数构造价格上下轨，滚动</w:t>
      </w:r>
      <w:r>
        <w:rPr>
          <w:noProof/>
        </w:rPr>
        <w:t>240</w:t>
      </w:r>
      <w:r>
        <w:rPr>
          <w:rFonts w:hint="eastAsia"/>
          <w:noProof/>
        </w:rPr>
        <w:t>日的8</w:t>
      </w:r>
      <w:r>
        <w:rPr>
          <w:noProof/>
        </w:rPr>
        <w:t>5%</w:t>
      </w:r>
      <w:r>
        <w:rPr>
          <w:rFonts w:hint="eastAsia"/>
          <w:noProof/>
        </w:rPr>
        <w:t>构成上轨，滚动2</w:t>
      </w:r>
      <w:r>
        <w:rPr>
          <w:noProof/>
        </w:rPr>
        <w:t>40</w:t>
      </w:r>
      <w:r>
        <w:rPr>
          <w:rFonts w:hint="eastAsia"/>
          <w:noProof/>
        </w:rPr>
        <w:t>日的2</w:t>
      </w:r>
      <w:r>
        <w:rPr>
          <w:noProof/>
        </w:rPr>
        <w:t>0%</w:t>
      </w:r>
      <w:r>
        <w:rPr>
          <w:rFonts w:hint="eastAsia"/>
          <w:noProof/>
        </w:rPr>
        <w:t>构成下轨，下破下轨开仓，上突上轨平仓。</w:t>
      </w:r>
    </w:p>
    <w:p w14:paraId="4424890E" w14:textId="36C9C061" w:rsidR="00D8115B" w:rsidRDefault="00D8115B" w:rsidP="00D8115B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  <w:noProof/>
        </w:rPr>
        <w:t>回测</w:t>
      </w:r>
    </w:p>
    <w:p w14:paraId="3D185AF0" w14:textId="6F15CE1B" w:rsidR="00174584" w:rsidRDefault="00174584">
      <w:r>
        <w:rPr>
          <w:rFonts w:hint="eastAsia"/>
        </w:rPr>
        <w:t>参考代码及原理出处：</w:t>
      </w:r>
    </w:p>
    <w:p w14:paraId="3290CB02" w14:textId="30C853F2" w:rsidR="00174584" w:rsidRDefault="00174584">
      <w:hyperlink r:id="rId12" w:history="1">
        <w:r w:rsidRPr="0094201A">
          <w:rPr>
            <w:rStyle w:val="a3"/>
          </w:rPr>
          <w:t>https://github.com/hugo2046/Quantitative-analysis/tree/master/C-%E6%8B%A9%E6%97%B6%E7%B1%BB/C-VIX%E4%B8%AD%E5%9B%BD%E7%89%88VIX%E7%BC%96%E5%88%B6%E6%89%8B%E5%86%8C</w:t>
        </w:r>
      </w:hyperlink>
    </w:p>
    <w:p w14:paraId="06F34470" w14:textId="77777777" w:rsidR="00174584" w:rsidRPr="00174584" w:rsidRDefault="00174584">
      <w:pPr>
        <w:rPr>
          <w:rFonts w:hint="eastAsia"/>
        </w:rPr>
      </w:pPr>
    </w:p>
    <w:sectPr w:rsidR="00174584" w:rsidRPr="00174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EE6"/>
    <w:multiLevelType w:val="hybridMultilevel"/>
    <w:tmpl w:val="386CF584"/>
    <w:lvl w:ilvl="0" w:tplc="433A902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69BC12C0"/>
    <w:multiLevelType w:val="hybridMultilevel"/>
    <w:tmpl w:val="0908CAFA"/>
    <w:lvl w:ilvl="0" w:tplc="37C04D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80278842">
    <w:abstractNumId w:val="1"/>
  </w:num>
  <w:num w:numId="2" w16cid:durableId="43444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30"/>
    <w:rsid w:val="00174584"/>
    <w:rsid w:val="00336730"/>
    <w:rsid w:val="004B58B7"/>
    <w:rsid w:val="00D8115B"/>
    <w:rsid w:val="00E3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14B1E"/>
  <w15:chartTrackingRefBased/>
  <w15:docId w15:val="{D450B62B-DDD3-4E7B-8707-71F02795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45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7458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B58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ugo2046/Quantitative-analysis/tree/master/C-%E6%8B%A9%E6%97%B6%E7%B1%BB/C-VIX%E4%B8%AD%E5%9B%BD%E7%89%88VIX%E7%BC%96%E5%88%B6%E6%89%8B%E5%86%8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嘉瑞</dc:creator>
  <cp:keywords/>
  <dc:description/>
  <cp:lastModifiedBy>陆 嘉瑞</cp:lastModifiedBy>
  <cp:revision>2</cp:revision>
  <dcterms:created xsi:type="dcterms:W3CDTF">2022-09-05T05:22:00Z</dcterms:created>
  <dcterms:modified xsi:type="dcterms:W3CDTF">2022-09-05T05:36:00Z</dcterms:modified>
</cp:coreProperties>
</file>