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Abdul Latif Jameel Water and Food Security Lab: 1430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Aeronautics and Astronautics: 1035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Anthropology: 1360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Architecture: 1250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Biological Engineering: 1135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Biology: 1105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Biotechnology Process Engineering Center: 1295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Brain &amp; Cognitive Sciences: 1040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Center for Biomedical Engineering: 1280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Center for Biomedical Innovation: 1375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Center for Environmental Health Sciences: 1235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Center for Global Change Science: 1340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Center for International Studies: 1300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Center for Matl Science and Engineering: 1120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Center for Real Estate: 1260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Center for Transportation &amp; Logistics: 1155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Chemical Engineering: 1060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Chemistry: 1090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Civil and Environmental Engineering: 1015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 Sci &amp; Artificial Intelligence Lab: 1005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Comparative Media Studies: 1370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Comparative Media Studies/Writing: 1435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Ctr for Education Computing Initiatives: 1240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Deshpande Center for Technological Innov: 1315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Design Laboratory: 1450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Division of Comparative Medicine: 1325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Earth System Initiative: 1220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Earth, Atmospheric &amp;  Planetary Sciences: 1170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Earth, Atmospheric &amp; Planetary Sciences : 1390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Economics: 1080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Edgerton Center: 1380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Electrical Engineering-Computer Science: 1140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Engineering Systems Division: 1230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Francis Bitter Magnet Laboratory: 1330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Harvard/MIT Division of HST: 1145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Haystack Observatory: 1355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Health Science &amp; Technology: 1225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History: 1480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Industrial Performance Center: 1335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Institute for Data, Systems, and Society: 1410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Institute for Medical Eng. and Science: 1150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Institute for Soldier Nanotechnologies: 1095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Kavli Inst for Astrophysics &amp; Space Rsrh: 1210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Koch Inst - Integrative Cancer Research: 1100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Kuwait-MIT Center for Natural Resources: 1020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Lab for Electromagnetic Electronic Sys: 1275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Lab for Information &amp; Decision Systems: 1160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Lab For Manufacturing &amp; Productivity: 1215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Laboratory for Nuclear Science: 1200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Lemelson MIT Program: 1405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Linguistics &amp; Philosophy: 1245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Literature: 1485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Masdar: 1025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Materials Processing Center: 1050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Materials Research Laboratory: 1385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Materials Science and Engineering: 1125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Mathematics: 1195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McGovern Institute for Brain Research: 1180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Mechanical Engineering: 1000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Media Laboratory: 1185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Microsystems Technology Laboratories: 1055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MIT Energy Initiative: 1045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MIT Environmental Solutions Initiative: 1415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MIT INNOVATION INITIATIVE: 1445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MIT-IBM AI Laboratory: 1470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MIT-Portugal Program: 1065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Mit-Sutd Collaboration: 1255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MIT.nano : 1400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Music &amp; Theater Arts: 1365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Nuclear Reactor Laboratory: 1350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Nuclear Science and Engineering: 1075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Office of Digital Learning: 1455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Office of Experiential Learning: 1420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Office of the Provost: 1425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Open Learning: 1460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Operations Research Center: 1110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Physics: 1085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Picower Institute for Learning &amp; Memory: 1320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Plasma Science and Fusion Center: 1265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Political Science: 1130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Program In Art, Culture And Technology: 1495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Research Laboratory of Electronics: 1030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S'Pore-Mit Alliance For Res. And Tech.: 1010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School Human Arts Soc Sci: 1035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School of Architecture &amp; Planning: 1345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School of Engineering: 1115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School of Management: 1070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School of Science: 1290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Science, Technology, &amp;amp; Society: 1310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Science, Technology, &amp;amp; Society: 1440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Sea Grant College Program: 1270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Simons Center For The Social Brain: 1190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Singapore/MIT Alliance: 1285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Skolkovo: 1175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Sociotechnical Systems Research Center: 1165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Supply Chain Mangement Program: 1475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Technology &amp; Development Prgm: 1395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Broad Institute: 1465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Urban Studies &amp; Planning: 1205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8eaed"/>
          <w:sz w:val="18"/>
          <w:szCs w:val="18"/>
          <w:shd w:fill="202124" w:val="clear"/>
        </w:rPr>
      </w:pPr>
      <w:r w:rsidDel="00000000" w:rsidR="00000000" w:rsidRPr="00000000">
        <w:rPr>
          <w:rtl w:val="0"/>
        </w:rPr>
        <w:t xml:space="preserve">Writing &amp; Humanistic Studies: 1490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