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Aeronautics and Astronautics: 8926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Anthropology: 16113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Architecture: 8927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Biological Engineering: 8928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Biology: 8929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Brain and Cognitive Sciences: 8930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Chemical Engineering: 8931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Chemistry: 8932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Civil and Environmental Engineering: 8933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Comparative Media Studies/Writing Program: 16128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Earth, Atmospheric and Planetary Sciences: 8935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Economics: 8936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Electrical Engineering and Computer Sciences: 8937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Engineering System Divisions: 8938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Foreign Languages and Literatures: 16105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Health Sciences and Technology: 8939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History: 16114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Linguistics and Philosophy: 8940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Literature: 16127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Management: 8941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Materials Science and Engineering: 8944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Mathematics: 8943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Mechanical Engineering: 8944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Media Arts and Sciences: 8945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Nuclear Science and Engineering: 8946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Physics: 8950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Political Science: 8951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e8eaed"/>
          <w:sz w:val="18"/>
          <w:szCs w:val="18"/>
          <w:shd w:fill="202124" w:val="clear"/>
        </w:rPr>
      </w:pPr>
      <w:r w:rsidDel="00000000" w:rsidR="00000000" w:rsidRPr="00000000">
        <w:rPr>
          <w:rtl w:val="0"/>
        </w:rPr>
        <w:t xml:space="preserve">Urban Studies and Planning: 8954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