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BFE5" w14:textId="2AF261F1" w:rsidR="00CD5C5F" w:rsidRPr="002A0AAF" w:rsidRDefault="00103730" w:rsidP="00CD5C5F">
      <w:pPr>
        <w:autoSpaceDE w:val="0"/>
        <w:autoSpaceDN w:val="0"/>
        <w:spacing w:before="1" w:line="360" w:lineRule="auto"/>
        <w:ind w:right="439"/>
        <w:jc w:val="left"/>
        <w:rPr>
          <w:rFonts w:ascii="Times New Roman" w:hAnsi="Times New Roman"/>
          <w:b/>
          <w:bCs/>
          <w:w w:val="105"/>
          <w:sz w:val="32"/>
          <w:szCs w:val="32"/>
        </w:rPr>
      </w:pPr>
      <w:r w:rsidRPr="002A0AAF">
        <w:rPr>
          <w:rFonts w:ascii="Times New Roman" w:hAnsi="Times New Roman"/>
          <w:b/>
          <w:bCs/>
          <w:w w:val="105"/>
          <w:sz w:val="32"/>
          <w:szCs w:val="32"/>
        </w:rPr>
        <w:t>Supporting Information for</w:t>
      </w:r>
    </w:p>
    <w:p w14:paraId="2FA413A6" w14:textId="7841AF77" w:rsidR="00103730" w:rsidRPr="002A0AAF" w:rsidRDefault="00103730" w:rsidP="00CD5C5F">
      <w:pPr>
        <w:autoSpaceDE w:val="0"/>
        <w:autoSpaceDN w:val="0"/>
        <w:spacing w:before="1" w:line="360" w:lineRule="auto"/>
        <w:ind w:right="439"/>
        <w:jc w:val="left"/>
        <w:rPr>
          <w:rFonts w:ascii="Times New Roman" w:hAnsi="Times New Roman"/>
          <w:b/>
          <w:bCs/>
          <w:w w:val="105"/>
          <w:sz w:val="30"/>
          <w:szCs w:val="30"/>
        </w:rPr>
      </w:pPr>
      <w:r w:rsidRPr="002A0AAF">
        <w:rPr>
          <w:rFonts w:ascii="Times New Roman" w:hAnsi="Times New Roman"/>
          <w:b/>
          <w:bCs/>
          <w:w w:val="105"/>
          <w:sz w:val="30"/>
          <w:szCs w:val="30"/>
        </w:rPr>
        <w:t>Multi-objective Energy Planning for China’s Dual Carbon Goals</w:t>
      </w:r>
    </w:p>
    <w:p w14:paraId="276CEAE4" w14:textId="7B010A4D" w:rsidR="00103730" w:rsidRPr="00103730" w:rsidRDefault="00103730" w:rsidP="00103730">
      <w:pPr>
        <w:spacing w:afterLines="50" w:after="120"/>
        <w:rPr>
          <w:rFonts w:ascii="Times New Roman" w:hAnsi="Times New Roman"/>
          <w:sz w:val="22"/>
          <w:vertAlign w:val="superscript"/>
        </w:rPr>
      </w:pPr>
      <w:r w:rsidRPr="00103730">
        <w:rPr>
          <w:rFonts w:ascii="Times New Roman" w:hAnsi="Times New Roman"/>
          <w:sz w:val="22"/>
        </w:rPr>
        <w:t>Xiaoping Jia</w:t>
      </w:r>
      <w:r w:rsidRPr="00103730">
        <w:rPr>
          <w:rFonts w:ascii="Times New Roman" w:hAnsi="Times New Roman"/>
          <w:sz w:val="22"/>
          <w:vertAlign w:val="superscript"/>
        </w:rPr>
        <w:t>1</w:t>
      </w:r>
      <w:r w:rsidRPr="00103730">
        <w:rPr>
          <w:rFonts w:ascii="Times New Roman" w:hAnsi="Times New Roman"/>
          <w:sz w:val="22"/>
        </w:rPr>
        <w:t>, Yanmei Zhang</w:t>
      </w:r>
      <w:r w:rsidRPr="00103730">
        <w:rPr>
          <w:rFonts w:ascii="Times New Roman" w:hAnsi="Times New Roman"/>
          <w:sz w:val="22"/>
          <w:vertAlign w:val="superscript"/>
        </w:rPr>
        <w:t>1</w:t>
      </w:r>
      <w:r w:rsidRPr="00103730">
        <w:rPr>
          <w:rFonts w:ascii="Times New Roman" w:hAnsi="Times New Roman"/>
          <w:sz w:val="22"/>
        </w:rPr>
        <w:t>, Raymond R. Tan</w:t>
      </w:r>
      <w:r w:rsidRPr="00103730">
        <w:rPr>
          <w:rFonts w:ascii="Times New Roman" w:hAnsi="Times New Roman"/>
          <w:sz w:val="22"/>
          <w:vertAlign w:val="superscript"/>
        </w:rPr>
        <w:t>2</w:t>
      </w:r>
      <w:r w:rsidRPr="00103730">
        <w:rPr>
          <w:rFonts w:ascii="Times New Roman" w:hAnsi="Times New Roman"/>
          <w:sz w:val="22"/>
        </w:rPr>
        <w:t>, Zhiwei Li</w:t>
      </w:r>
      <w:r w:rsidRPr="00103730">
        <w:rPr>
          <w:rFonts w:ascii="Times New Roman" w:hAnsi="Times New Roman"/>
          <w:sz w:val="22"/>
          <w:vertAlign w:val="superscript"/>
        </w:rPr>
        <w:t>3</w:t>
      </w:r>
      <w:r w:rsidRPr="00103730">
        <w:rPr>
          <w:rFonts w:ascii="Times New Roman" w:hAnsi="Times New Roman"/>
          <w:sz w:val="22"/>
        </w:rPr>
        <w:t>, Siqi Wang</w:t>
      </w:r>
      <w:r w:rsidRPr="00103730">
        <w:rPr>
          <w:rFonts w:ascii="Times New Roman" w:hAnsi="Times New Roman"/>
          <w:sz w:val="22"/>
          <w:vertAlign w:val="superscript"/>
        </w:rPr>
        <w:t>5</w:t>
      </w:r>
      <w:r w:rsidRPr="00103730">
        <w:rPr>
          <w:rFonts w:ascii="Times New Roman" w:hAnsi="Times New Roman"/>
          <w:sz w:val="22"/>
        </w:rPr>
        <w:t>, Fang Wang</w:t>
      </w:r>
      <w:r w:rsidRPr="00103730">
        <w:rPr>
          <w:rFonts w:ascii="Times New Roman" w:hAnsi="Times New Roman"/>
          <w:sz w:val="22"/>
          <w:vertAlign w:val="superscript"/>
        </w:rPr>
        <w:t>1,4*</w:t>
      </w:r>
      <w:r w:rsidRPr="00103730">
        <w:rPr>
          <w:rFonts w:ascii="Times New Roman" w:hAnsi="Times New Roman"/>
          <w:sz w:val="22"/>
        </w:rPr>
        <w:t>, Kai Fang</w:t>
      </w:r>
      <w:r w:rsidRPr="00103730">
        <w:rPr>
          <w:rFonts w:ascii="Times New Roman" w:hAnsi="Times New Roman"/>
          <w:sz w:val="22"/>
          <w:vertAlign w:val="superscript"/>
        </w:rPr>
        <w:t>5,6</w:t>
      </w:r>
      <w:r w:rsidR="00423EDD">
        <w:rPr>
          <w:rFonts w:ascii="Times New Roman" w:hAnsi="Times New Roman"/>
          <w:sz w:val="22"/>
          <w:vertAlign w:val="superscript"/>
        </w:rPr>
        <w:t>*</w:t>
      </w:r>
    </w:p>
    <w:p w14:paraId="187BF5D0" w14:textId="77777777" w:rsidR="00103730" w:rsidRPr="00103730" w:rsidRDefault="00103730" w:rsidP="00103730">
      <w:pPr>
        <w:rPr>
          <w:rFonts w:ascii="Times New Roman" w:hAnsi="Times New Roman"/>
          <w:i/>
          <w:sz w:val="20"/>
        </w:rPr>
      </w:pPr>
      <w:bookmarkStart w:id="0" w:name="_Hlk96957573"/>
      <w:r w:rsidRPr="00103730">
        <w:rPr>
          <w:rFonts w:ascii="Times New Roman" w:hAnsi="Times New Roman"/>
          <w:i/>
          <w:sz w:val="20"/>
          <w:vertAlign w:val="superscript"/>
        </w:rPr>
        <w:t>1</w:t>
      </w:r>
      <w:r w:rsidRPr="00103730">
        <w:rPr>
          <w:rFonts w:ascii="Times New Roman" w:hAnsi="Times New Roman"/>
          <w:i/>
          <w:sz w:val="20"/>
        </w:rPr>
        <w:t xml:space="preserve"> School of Environment and Safety Engineering, Qingdao University of Science and Technology, Qingdao 266042, China</w:t>
      </w:r>
    </w:p>
    <w:p w14:paraId="6691DCE4" w14:textId="77777777" w:rsidR="00103730" w:rsidRPr="00103730" w:rsidRDefault="00103730" w:rsidP="00103730">
      <w:pPr>
        <w:autoSpaceDE w:val="0"/>
        <w:autoSpaceDN w:val="0"/>
        <w:adjustRightInd w:val="0"/>
        <w:jc w:val="left"/>
        <w:rPr>
          <w:rFonts w:ascii="Times New Roman" w:hAnsi="Times New Roman"/>
          <w:i/>
          <w:color w:val="0D0D0D" w:themeColor="text1" w:themeTint="F2"/>
          <w:sz w:val="20"/>
        </w:rPr>
      </w:pPr>
      <w:r w:rsidRPr="00103730">
        <w:rPr>
          <w:rFonts w:ascii="Times New Roman" w:hAnsi="Times New Roman"/>
          <w:i/>
          <w:color w:val="0D0D0D" w:themeColor="text1" w:themeTint="F2"/>
          <w:sz w:val="20"/>
          <w:vertAlign w:val="superscript"/>
        </w:rPr>
        <w:t>2</w:t>
      </w:r>
      <w:r w:rsidRPr="00103730">
        <w:rPr>
          <w:rFonts w:ascii="Times New Roman" w:hAnsi="Times New Roman"/>
          <w:i/>
          <w:color w:val="0D0D0D" w:themeColor="text1" w:themeTint="F2"/>
          <w:sz w:val="20"/>
        </w:rPr>
        <w:t xml:space="preserve"> Department of Chemical Engineering, De La Salle University, Manila 0922, Philippines </w:t>
      </w:r>
    </w:p>
    <w:p w14:paraId="04D3F6BE" w14:textId="77777777" w:rsidR="00103730" w:rsidRPr="00103730" w:rsidRDefault="00103730" w:rsidP="00103730">
      <w:pPr>
        <w:autoSpaceDE w:val="0"/>
        <w:autoSpaceDN w:val="0"/>
        <w:adjustRightInd w:val="0"/>
        <w:jc w:val="left"/>
        <w:rPr>
          <w:rFonts w:ascii="Times New Roman" w:hAnsi="Times New Roman"/>
          <w:sz w:val="20"/>
        </w:rPr>
      </w:pPr>
      <w:r w:rsidRPr="00103730">
        <w:rPr>
          <w:rFonts w:ascii="Times New Roman" w:hAnsi="Times New Roman"/>
          <w:i/>
          <w:color w:val="0D0D0D" w:themeColor="text1" w:themeTint="F2"/>
          <w:sz w:val="20"/>
          <w:vertAlign w:val="superscript"/>
        </w:rPr>
        <w:t xml:space="preserve">3 </w:t>
      </w:r>
      <w:r w:rsidRPr="00103730">
        <w:rPr>
          <w:rFonts w:ascii="Times New Roman" w:hAnsi="Times New Roman"/>
          <w:i/>
          <w:color w:val="0D0D0D" w:themeColor="text1" w:themeTint="F2"/>
          <w:sz w:val="20"/>
        </w:rPr>
        <w:t>School of Chemistry and Chemical Engineering, Hefei University of Technology, Hefei, China</w:t>
      </w:r>
      <w:r w:rsidRPr="00103730" w:rsidDel="00585DFD">
        <w:rPr>
          <w:rFonts w:ascii="Times New Roman" w:hAnsi="Times New Roman"/>
          <w:i/>
          <w:color w:val="0D0D0D" w:themeColor="text1" w:themeTint="F2"/>
          <w:sz w:val="20"/>
        </w:rPr>
        <w:t xml:space="preserve"> </w:t>
      </w:r>
    </w:p>
    <w:p w14:paraId="52AD7751" w14:textId="77777777" w:rsidR="00103730" w:rsidRPr="00103730" w:rsidRDefault="00103730" w:rsidP="00103730">
      <w:pPr>
        <w:ind w:left="100" w:hangingChars="50" w:hanging="100"/>
        <w:rPr>
          <w:rFonts w:ascii="Times New Roman" w:hAnsi="Times New Roman"/>
          <w:i/>
          <w:sz w:val="20"/>
        </w:rPr>
      </w:pPr>
      <w:r w:rsidRPr="00103730">
        <w:rPr>
          <w:rFonts w:ascii="Times New Roman" w:hAnsi="Times New Roman"/>
          <w:i/>
          <w:sz w:val="20"/>
          <w:vertAlign w:val="superscript"/>
        </w:rPr>
        <w:t xml:space="preserve">4 </w:t>
      </w:r>
      <w:r w:rsidRPr="00103730">
        <w:rPr>
          <w:rFonts w:ascii="Times New Roman" w:hAnsi="Times New Roman"/>
          <w:i/>
          <w:sz w:val="20"/>
        </w:rPr>
        <w:t>Sino-Geman Engineering College, Qingdao University of Science and Technology, Qingdao 266042, China</w:t>
      </w:r>
    </w:p>
    <w:p w14:paraId="63C74347" w14:textId="77777777" w:rsidR="00103730" w:rsidRPr="00103730" w:rsidRDefault="00103730" w:rsidP="00103730">
      <w:pPr>
        <w:rPr>
          <w:rFonts w:ascii="Times New Roman" w:hAnsi="Times New Roman"/>
          <w:i/>
          <w:sz w:val="20"/>
        </w:rPr>
      </w:pPr>
      <w:r w:rsidRPr="00103730">
        <w:rPr>
          <w:rFonts w:ascii="Times New Roman" w:hAnsi="Times New Roman"/>
          <w:i/>
          <w:sz w:val="20"/>
          <w:vertAlign w:val="superscript"/>
        </w:rPr>
        <w:t xml:space="preserve">5 </w:t>
      </w:r>
      <w:r w:rsidRPr="00103730">
        <w:rPr>
          <w:rFonts w:ascii="Times New Roman" w:hAnsi="Times New Roman"/>
          <w:i/>
          <w:sz w:val="20"/>
        </w:rPr>
        <w:t>School of Public Affairs, Zhejiang University, Hangzhou 310058, China</w:t>
      </w:r>
    </w:p>
    <w:p w14:paraId="29BC7BF2" w14:textId="2DB9FF00" w:rsidR="004840B0" w:rsidRPr="00423EDD" w:rsidRDefault="00103730" w:rsidP="00423EDD">
      <w:pPr>
        <w:ind w:left="100" w:hangingChars="50" w:hanging="100"/>
        <w:rPr>
          <w:rFonts w:ascii="Times New Roman" w:hAnsi="Times New Roman"/>
          <w:i/>
          <w:sz w:val="20"/>
        </w:rPr>
      </w:pPr>
      <w:r w:rsidRPr="00103730">
        <w:rPr>
          <w:rFonts w:ascii="Times New Roman" w:hAnsi="Times New Roman"/>
          <w:i/>
          <w:sz w:val="20"/>
          <w:vertAlign w:val="superscript"/>
        </w:rPr>
        <w:t xml:space="preserve">6 </w:t>
      </w:r>
      <w:r w:rsidRPr="00103730">
        <w:rPr>
          <w:rFonts w:ascii="Times New Roman" w:hAnsi="Times New Roman"/>
          <w:i/>
          <w:sz w:val="20"/>
        </w:rPr>
        <w:t>Center of Social Welfare and Governance, Zhejiang University, Hangzhou 310058, China</w:t>
      </w:r>
      <w:bookmarkEnd w:id="0"/>
    </w:p>
    <w:p w14:paraId="634FD492" w14:textId="77777777" w:rsidR="00CD5C5F" w:rsidRDefault="00CD5C5F" w:rsidP="000B5610">
      <w:pPr>
        <w:pStyle w:val="TESupportingInformation"/>
        <w:spacing w:after="240"/>
        <w:ind w:firstLine="0"/>
        <w:jc w:val="left"/>
      </w:pPr>
    </w:p>
    <w:p w14:paraId="75457266" w14:textId="639817C9" w:rsidR="00DD6DBB" w:rsidRDefault="00DD6DBB" w:rsidP="004E7185">
      <w:pPr>
        <w:pStyle w:val="FAAuthorInfoSubtitle"/>
      </w:pPr>
      <w:r w:rsidRPr="00DD6DBB">
        <w:t>Corresponding Author</w:t>
      </w:r>
      <w:r w:rsidR="0048196F">
        <w:rPr>
          <w:rFonts w:hint="eastAsia"/>
          <w:lang w:eastAsia="zh-CN"/>
        </w:rPr>
        <w:t>s</w:t>
      </w:r>
    </w:p>
    <w:p w14:paraId="40F0124A" w14:textId="77777777" w:rsidR="00C54307" w:rsidRDefault="00423EDD" w:rsidP="00C54307">
      <w:pPr>
        <w:pStyle w:val="TAMainText"/>
        <w:spacing w:line="240" w:lineRule="auto"/>
        <w:ind w:firstLine="0"/>
        <w:rPr>
          <w:lang w:eastAsia="zh-CN"/>
        </w:rPr>
      </w:pPr>
      <w:r>
        <w:rPr>
          <w:lang w:eastAsia="zh-CN"/>
        </w:rPr>
        <w:t>Ph.D. Fang Wang</w:t>
      </w:r>
    </w:p>
    <w:p w14:paraId="23DBB385" w14:textId="1020447C" w:rsidR="00423EDD" w:rsidRDefault="00423EDD" w:rsidP="00C54307">
      <w:pPr>
        <w:pStyle w:val="TAMainText"/>
        <w:spacing w:line="240" w:lineRule="auto"/>
        <w:ind w:firstLine="0"/>
        <w:rPr>
          <w:lang w:eastAsia="zh-CN"/>
        </w:rPr>
      </w:pPr>
      <w:r>
        <w:rPr>
          <w:rFonts w:hint="eastAsia"/>
          <w:lang w:eastAsia="zh-CN"/>
        </w:rPr>
        <w:t>E</w:t>
      </w:r>
      <w:r>
        <w:rPr>
          <w:lang w:eastAsia="zh-CN"/>
        </w:rPr>
        <w:t xml:space="preserve">-mail: </w:t>
      </w:r>
      <w:r w:rsidR="00C54307" w:rsidRPr="00C54307">
        <w:rPr>
          <w:lang w:eastAsia="zh-CN"/>
        </w:rPr>
        <w:t>wangf@qust.edu.cn</w:t>
      </w:r>
    </w:p>
    <w:p w14:paraId="7B4C3474" w14:textId="7388879A" w:rsidR="00C54307" w:rsidRDefault="00C54307" w:rsidP="00423EDD">
      <w:pPr>
        <w:pStyle w:val="TAMainText"/>
        <w:ind w:firstLine="0"/>
        <w:rPr>
          <w:lang w:eastAsia="zh-CN"/>
        </w:rPr>
      </w:pPr>
    </w:p>
    <w:p w14:paraId="57C720DF" w14:textId="5B2EBB08" w:rsidR="00C54307" w:rsidRDefault="00C54307" w:rsidP="00C54307">
      <w:pPr>
        <w:pStyle w:val="TAMainText"/>
        <w:spacing w:line="240" w:lineRule="auto"/>
        <w:ind w:firstLine="0"/>
        <w:rPr>
          <w:lang w:eastAsia="zh-CN"/>
        </w:rPr>
      </w:pPr>
      <w:r>
        <w:rPr>
          <w:rFonts w:hint="eastAsia"/>
          <w:lang w:eastAsia="zh-CN"/>
        </w:rPr>
        <w:t>P</w:t>
      </w:r>
      <w:r>
        <w:rPr>
          <w:lang w:eastAsia="zh-CN"/>
        </w:rPr>
        <w:t>h.D. Kai Fang</w:t>
      </w:r>
    </w:p>
    <w:p w14:paraId="2AC9F84D" w14:textId="7CDC452A" w:rsidR="00C54307" w:rsidRPr="00C54307" w:rsidRDefault="00C54307" w:rsidP="00C54307">
      <w:pPr>
        <w:pStyle w:val="TAMainText"/>
        <w:spacing w:line="240" w:lineRule="auto"/>
        <w:ind w:firstLine="0"/>
        <w:rPr>
          <w:lang w:eastAsia="zh-CN"/>
        </w:rPr>
      </w:pPr>
      <w:r>
        <w:rPr>
          <w:rFonts w:hint="eastAsia"/>
          <w:lang w:eastAsia="zh-CN"/>
        </w:rPr>
        <w:t>E</w:t>
      </w:r>
      <w:r>
        <w:rPr>
          <w:lang w:eastAsia="zh-CN"/>
        </w:rPr>
        <w:t>-mail: fangk@zju.edu.cn</w:t>
      </w:r>
    </w:p>
    <w:p w14:paraId="750BBCA8" w14:textId="3C4BF61F" w:rsidR="009246AD" w:rsidRDefault="009246AD" w:rsidP="000B5610">
      <w:pPr>
        <w:pStyle w:val="SNSynopsisTOC"/>
        <w:spacing w:after="240"/>
        <w:jc w:val="left"/>
      </w:pPr>
    </w:p>
    <w:p w14:paraId="492DD29C" w14:textId="647CEB95" w:rsidR="00EA77AF" w:rsidRDefault="007F6ED9" w:rsidP="00EA77AF">
      <w:pPr>
        <w:pStyle w:val="SNSynopsisTOC"/>
        <w:spacing w:after="240"/>
        <w:jc w:val="left"/>
        <w:rPr>
          <w:lang w:eastAsia="zh-CN"/>
        </w:rPr>
      </w:pPr>
      <w:r>
        <w:rPr>
          <w:lang w:eastAsia="zh-CN"/>
        </w:rPr>
        <w:t>1</w:t>
      </w:r>
      <w:r w:rsidR="00292452">
        <w:rPr>
          <w:lang w:eastAsia="zh-CN"/>
        </w:rPr>
        <w:t>1</w:t>
      </w:r>
      <w:r w:rsidR="00EA77AF">
        <w:rPr>
          <w:rFonts w:hint="eastAsia"/>
          <w:lang w:eastAsia="zh-CN"/>
        </w:rPr>
        <w:t xml:space="preserve"> </w:t>
      </w:r>
      <w:r w:rsidR="00EA77AF">
        <w:rPr>
          <w:lang w:eastAsia="zh-CN"/>
        </w:rPr>
        <w:t>pages</w:t>
      </w:r>
      <w:r w:rsidR="004E7054">
        <w:rPr>
          <w:lang w:eastAsia="zh-CN"/>
        </w:rPr>
        <w:t xml:space="preserve"> (including cover page)</w:t>
      </w:r>
    </w:p>
    <w:p w14:paraId="45E69299" w14:textId="6098FAB2" w:rsidR="00C30F6B" w:rsidRDefault="002E6039" w:rsidP="000B5610">
      <w:pPr>
        <w:pStyle w:val="SNSynopsisTOC"/>
        <w:spacing w:after="240"/>
        <w:jc w:val="left"/>
        <w:rPr>
          <w:lang w:eastAsia="zh-CN"/>
        </w:rPr>
      </w:pPr>
      <w:r>
        <w:rPr>
          <w:lang w:eastAsia="zh-CN"/>
        </w:rPr>
        <w:t>8</w:t>
      </w:r>
      <w:r w:rsidR="0059724E">
        <w:rPr>
          <w:lang w:eastAsia="zh-CN"/>
        </w:rPr>
        <w:t xml:space="preserve"> </w:t>
      </w:r>
      <w:r w:rsidR="00C30F6B">
        <w:rPr>
          <w:lang w:eastAsia="zh-CN"/>
        </w:rPr>
        <w:t>T</w:t>
      </w:r>
      <w:r w:rsidR="0059724E">
        <w:rPr>
          <w:lang w:eastAsia="zh-CN"/>
        </w:rPr>
        <w:t>ables</w:t>
      </w:r>
      <w:r w:rsidR="00C30F6B">
        <w:rPr>
          <w:lang w:eastAsia="zh-CN"/>
        </w:rPr>
        <w:t xml:space="preserve"> (S1-S</w:t>
      </w:r>
      <w:r w:rsidR="00B36A55">
        <w:rPr>
          <w:lang w:eastAsia="zh-CN"/>
        </w:rPr>
        <w:t>8</w:t>
      </w:r>
      <w:r w:rsidR="00C30F6B">
        <w:rPr>
          <w:lang w:eastAsia="zh-CN"/>
        </w:rPr>
        <w:t>)</w:t>
      </w:r>
      <w:r w:rsidR="0059724E">
        <w:rPr>
          <w:lang w:eastAsia="zh-CN"/>
        </w:rPr>
        <w:t xml:space="preserve"> </w:t>
      </w:r>
    </w:p>
    <w:p w14:paraId="602EA4FF" w14:textId="79409D09" w:rsidR="00EA77AF" w:rsidRDefault="00A34959" w:rsidP="000B5610">
      <w:pPr>
        <w:pStyle w:val="SNSynopsisTOC"/>
        <w:spacing w:after="240"/>
        <w:jc w:val="left"/>
        <w:rPr>
          <w:lang w:eastAsia="zh-CN"/>
        </w:rPr>
      </w:pPr>
      <w:r>
        <w:rPr>
          <w:lang w:eastAsia="zh-CN"/>
        </w:rPr>
        <w:t>5</w:t>
      </w:r>
      <w:r w:rsidR="0059724E">
        <w:rPr>
          <w:lang w:eastAsia="zh-CN"/>
        </w:rPr>
        <w:t xml:space="preserve"> </w:t>
      </w:r>
      <w:r w:rsidR="00C30F6B">
        <w:rPr>
          <w:lang w:eastAsia="zh-CN"/>
        </w:rPr>
        <w:t>F</w:t>
      </w:r>
      <w:r w:rsidR="0059724E">
        <w:rPr>
          <w:lang w:eastAsia="zh-CN"/>
        </w:rPr>
        <w:t>igure</w:t>
      </w:r>
      <w:r w:rsidR="003B11BE">
        <w:rPr>
          <w:lang w:eastAsia="zh-CN"/>
        </w:rPr>
        <w:t>s</w:t>
      </w:r>
      <w:r w:rsidR="00C30F6B">
        <w:rPr>
          <w:lang w:eastAsia="zh-CN"/>
        </w:rPr>
        <w:t xml:space="preserve"> (S1</w:t>
      </w:r>
      <w:r w:rsidR="003B11BE">
        <w:rPr>
          <w:lang w:eastAsia="zh-CN"/>
        </w:rPr>
        <w:t>-S5</w:t>
      </w:r>
      <w:r w:rsidR="00C30F6B">
        <w:rPr>
          <w:lang w:eastAsia="zh-CN"/>
        </w:rPr>
        <w:t>)</w:t>
      </w:r>
      <w:r w:rsidR="003B7907">
        <w:rPr>
          <w:lang w:eastAsia="zh-CN"/>
        </w:rPr>
        <w:t xml:space="preserve"> </w:t>
      </w:r>
    </w:p>
    <w:p w14:paraId="50F76F98" w14:textId="2F22E04D" w:rsidR="00EA77AF" w:rsidRDefault="00EA77AF" w:rsidP="000B5610">
      <w:pPr>
        <w:pStyle w:val="SNSynopsisTOC"/>
        <w:spacing w:after="240"/>
        <w:jc w:val="left"/>
      </w:pPr>
    </w:p>
    <w:p w14:paraId="6803ACBB" w14:textId="70067C10" w:rsidR="00A53D89" w:rsidRDefault="00A53D89" w:rsidP="000B5610">
      <w:pPr>
        <w:pStyle w:val="SNSynopsisTOC"/>
        <w:spacing w:after="240"/>
        <w:jc w:val="left"/>
      </w:pPr>
    </w:p>
    <w:p w14:paraId="43D274DD" w14:textId="7BDA1048" w:rsidR="00A53D89" w:rsidRDefault="00A53D89" w:rsidP="000B5610">
      <w:pPr>
        <w:pStyle w:val="SNSynopsisTOC"/>
        <w:spacing w:after="240"/>
        <w:jc w:val="left"/>
      </w:pPr>
    </w:p>
    <w:p w14:paraId="77AF9DBA" w14:textId="2742E747" w:rsidR="00A53D89" w:rsidRDefault="00A53D89" w:rsidP="000B5610">
      <w:pPr>
        <w:pStyle w:val="SNSynopsisTOC"/>
        <w:spacing w:after="240"/>
        <w:jc w:val="left"/>
      </w:pPr>
    </w:p>
    <w:p w14:paraId="4CAF4843" w14:textId="48892E6D" w:rsidR="00A53D89" w:rsidRPr="00D8711E" w:rsidRDefault="00A53D89" w:rsidP="000B5610">
      <w:pPr>
        <w:pStyle w:val="SNSynopsisTOC"/>
        <w:spacing w:after="240"/>
        <w:jc w:val="left"/>
        <w:rPr>
          <w:b/>
          <w:bCs/>
          <w:sz w:val="32"/>
          <w:szCs w:val="32"/>
          <w:lang w:eastAsia="zh-CN"/>
        </w:rPr>
      </w:pPr>
      <w:r w:rsidRPr="00D8711E">
        <w:rPr>
          <w:rFonts w:hint="eastAsia"/>
          <w:b/>
          <w:bCs/>
          <w:sz w:val="32"/>
          <w:szCs w:val="32"/>
          <w:lang w:eastAsia="zh-CN"/>
        </w:rPr>
        <w:t>C</w:t>
      </w:r>
      <w:r w:rsidRPr="00D8711E">
        <w:rPr>
          <w:b/>
          <w:bCs/>
          <w:sz w:val="32"/>
          <w:szCs w:val="32"/>
          <w:lang w:eastAsia="zh-CN"/>
        </w:rPr>
        <w:t>ontents</w:t>
      </w:r>
    </w:p>
    <w:p w14:paraId="0FC2C0FC" w14:textId="421C7426" w:rsidR="000A259E" w:rsidRDefault="00067115" w:rsidP="005A6890">
      <w:pPr>
        <w:pStyle w:val="TESupportingInformation"/>
      </w:pPr>
      <w:r w:rsidRPr="00FC6854">
        <w:rPr>
          <w:lang w:eastAsia="zh-CN"/>
        </w:rPr>
        <w:t xml:space="preserve">S1: </w:t>
      </w:r>
      <w:r w:rsidR="00FC6854" w:rsidRPr="00FC6854">
        <w:t xml:space="preserve">Industrial </w:t>
      </w:r>
      <w:r w:rsidR="006C74D5">
        <w:t>c</w:t>
      </w:r>
      <w:r w:rsidR="00FC6854" w:rsidRPr="00FC6854">
        <w:t>lassification</w:t>
      </w:r>
    </w:p>
    <w:p w14:paraId="46F17BEF" w14:textId="263664B8" w:rsidR="000A259E" w:rsidRPr="000A259E" w:rsidRDefault="000A259E" w:rsidP="005A6890">
      <w:pPr>
        <w:pStyle w:val="TESupportingInformation"/>
      </w:pPr>
      <w:r w:rsidRPr="000A259E">
        <w:rPr>
          <w:lang w:eastAsia="zh-CN"/>
        </w:rPr>
        <w:t xml:space="preserve">S2: </w:t>
      </w:r>
      <w:r w:rsidRPr="000A259E">
        <w:t>Disaggregation of China's input-output tables</w:t>
      </w:r>
    </w:p>
    <w:p w14:paraId="6D639DB9" w14:textId="747E98CB" w:rsidR="005A6890" w:rsidRPr="00E6296D" w:rsidRDefault="005A6890" w:rsidP="005A6890">
      <w:pPr>
        <w:pStyle w:val="TESupportingInformation"/>
        <w:rPr>
          <w:szCs w:val="24"/>
          <w:lang w:eastAsia="zh-CN"/>
        </w:rPr>
      </w:pPr>
      <w:r w:rsidRPr="00E6296D">
        <w:rPr>
          <w:rFonts w:hint="eastAsia"/>
          <w:szCs w:val="24"/>
          <w:lang w:eastAsia="zh-CN"/>
        </w:rPr>
        <w:t>S</w:t>
      </w:r>
      <w:r w:rsidR="00E01697">
        <w:rPr>
          <w:szCs w:val="24"/>
          <w:lang w:eastAsia="zh-CN"/>
        </w:rPr>
        <w:t>3</w:t>
      </w:r>
      <w:r w:rsidRPr="00E6296D">
        <w:rPr>
          <w:szCs w:val="24"/>
          <w:lang w:eastAsia="zh-CN"/>
        </w:rPr>
        <w:t xml:space="preserve">: Data </w:t>
      </w:r>
      <w:r w:rsidR="006C74D5">
        <w:rPr>
          <w:szCs w:val="24"/>
          <w:lang w:eastAsia="zh-CN"/>
        </w:rPr>
        <w:t>s</w:t>
      </w:r>
      <w:r w:rsidRPr="00E6296D">
        <w:rPr>
          <w:szCs w:val="24"/>
          <w:lang w:eastAsia="zh-CN"/>
        </w:rPr>
        <w:t>ources</w:t>
      </w:r>
    </w:p>
    <w:p w14:paraId="2AE77105" w14:textId="069552DB" w:rsidR="00120D2B" w:rsidRDefault="00120D2B" w:rsidP="00120D2B">
      <w:pPr>
        <w:pStyle w:val="TESupportingInformation"/>
        <w:rPr>
          <w:szCs w:val="24"/>
          <w:lang w:eastAsia="zh-CN"/>
        </w:rPr>
      </w:pPr>
      <w:r w:rsidRPr="00E6296D">
        <w:rPr>
          <w:rFonts w:hint="eastAsia"/>
          <w:szCs w:val="24"/>
          <w:lang w:eastAsia="zh-CN"/>
        </w:rPr>
        <w:t>S</w:t>
      </w:r>
      <w:r>
        <w:rPr>
          <w:szCs w:val="24"/>
          <w:lang w:eastAsia="zh-CN"/>
        </w:rPr>
        <w:t>4</w:t>
      </w:r>
      <w:r w:rsidRPr="00E6296D">
        <w:rPr>
          <w:szCs w:val="24"/>
          <w:lang w:eastAsia="zh-CN"/>
        </w:rPr>
        <w:t>: Relevant electricity data</w:t>
      </w:r>
    </w:p>
    <w:p w14:paraId="22FB991C" w14:textId="37B88920" w:rsidR="00FC6854" w:rsidRPr="00E6296D" w:rsidRDefault="005A6890" w:rsidP="005A6890">
      <w:pPr>
        <w:pStyle w:val="TESupportingInformation"/>
        <w:rPr>
          <w:szCs w:val="24"/>
          <w:lang w:eastAsia="zh-CN"/>
        </w:rPr>
      </w:pPr>
      <w:r w:rsidRPr="00E6296D">
        <w:rPr>
          <w:rFonts w:hint="eastAsia"/>
          <w:szCs w:val="24"/>
          <w:lang w:eastAsia="zh-CN"/>
        </w:rPr>
        <w:t>S</w:t>
      </w:r>
      <w:r w:rsidR="00120D2B">
        <w:rPr>
          <w:szCs w:val="24"/>
          <w:lang w:eastAsia="zh-CN"/>
        </w:rPr>
        <w:t>5</w:t>
      </w:r>
      <w:r w:rsidRPr="00E6296D">
        <w:rPr>
          <w:szCs w:val="24"/>
          <w:lang w:eastAsia="zh-CN"/>
        </w:rPr>
        <w:t xml:space="preserve">: </w:t>
      </w:r>
      <w:r w:rsidRPr="00E6296D">
        <w:rPr>
          <w:iCs/>
          <w:szCs w:val="24"/>
        </w:rPr>
        <w:t>Forecasting energy consumption</w:t>
      </w:r>
    </w:p>
    <w:p w14:paraId="53C96151" w14:textId="66480F2F" w:rsidR="00FC6854" w:rsidRDefault="003828BA" w:rsidP="00F77551">
      <w:pPr>
        <w:pStyle w:val="TESupportingInformation"/>
        <w:rPr>
          <w:lang w:eastAsia="zh-CN"/>
        </w:rPr>
      </w:pPr>
      <w:r>
        <w:rPr>
          <w:rFonts w:hint="eastAsia"/>
          <w:lang w:eastAsia="zh-CN"/>
        </w:rPr>
        <w:t>S</w:t>
      </w:r>
      <w:r w:rsidR="00E01697">
        <w:rPr>
          <w:lang w:eastAsia="zh-CN"/>
        </w:rPr>
        <w:t>6</w:t>
      </w:r>
      <w:r>
        <w:rPr>
          <w:lang w:eastAsia="zh-CN"/>
        </w:rPr>
        <w:t>:</w:t>
      </w:r>
      <w:r w:rsidR="007D181F" w:rsidRPr="007D181F">
        <w:t xml:space="preserve"> </w:t>
      </w:r>
      <w:r w:rsidR="0043709B">
        <w:t>Extended figures</w:t>
      </w:r>
    </w:p>
    <w:p w14:paraId="7E98472E" w14:textId="32EFB11D" w:rsidR="00FC6854" w:rsidRDefault="00FC6854" w:rsidP="000B5610">
      <w:pPr>
        <w:pStyle w:val="SNSynopsisTOC"/>
        <w:spacing w:after="240"/>
        <w:jc w:val="left"/>
        <w:rPr>
          <w:lang w:eastAsia="zh-CN"/>
        </w:rPr>
      </w:pPr>
    </w:p>
    <w:p w14:paraId="306A73B0" w14:textId="7EE4EBB8" w:rsidR="00FC6854" w:rsidRDefault="00FC6854" w:rsidP="000B5610">
      <w:pPr>
        <w:pStyle w:val="SNSynopsisTOC"/>
        <w:spacing w:after="240"/>
        <w:jc w:val="left"/>
        <w:rPr>
          <w:lang w:eastAsia="zh-CN"/>
        </w:rPr>
      </w:pPr>
    </w:p>
    <w:p w14:paraId="2F33E84F" w14:textId="7563D8EA" w:rsidR="00FC6854" w:rsidRDefault="00FC6854" w:rsidP="000B5610">
      <w:pPr>
        <w:pStyle w:val="SNSynopsisTOC"/>
        <w:spacing w:after="240"/>
        <w:jc w:val="left"/>
        <w:rPr>
          <w:lang w:eastAsia="zh-CN"/>
        </w:rPr>
      </w:pPr>
    </w:p>
    <w:p w14:paraId="12858E62" w14:textId="28B4055E" w:rsidR="00FC6854" w:rsidRDefault="00FC6854" w:rsidP="000B5610">
      <w:pPr>
        <w:pStyle w:val="SNSynopsisTOC"/>
        <w:spacing w:after="240"/>
        <w:jc w:val="left"/>
        <w:rPr>
          <w:lang w:eastAsia="zh-CN"/>
        </w:rPr>
      </w:pPr>
    </w:p>
    <w:p w14:paraId="1D3EB0BB" w14:textId="4C6306E0" w:rsidR="00FC6854" w:rsidRDefault="00FC6854" w:rsidP="000B5610">
      <w:pPr>
        <w:pStyle w:val="SNSynopsisTOC"/>
        <w:spacing w:after="240"/>
        <w:jc w:val="left"/>
        <w:rPr>
          <w:lang w:eastAsia="zh-CN"/>
        </w:rPr>
      </w:pPr>
    </w:p>
    <w:p w14:paraId="0E0B9818" w14:textId="6DD68697" w:rsidR="00FC6854" w:rsidRDefault="00FC6854" w:rsidP="000B5610">
      <w:pPr>
        <w:pStyle w:val="SNSynopsisTOC"/>
        <w:spacing w:after="240"/>
        <w:jc w:val="left"/>
        <w:rPr>
          <w:lang w:eastAsia="zh-CN"/>
        </w:rPr>
      </w:pPr>
    </w:p>
    <w:p w14:paraId="35660CB5" w14:textId="2EF50374" w:rsidR="00FC6854" w:rsidRDefault="00FC6854" w:rsidP="000B5610">
      <w:pPr>
        <w:pStyle w:val="SNSynopsisTOC"/>
        <w:spacing w:after="240"/>
        <w:jc w:val="left"/>
        <w:rPr>
          <w:lang w:eastAsia="zh-CN"/>
        </w:rPr>
      </w:pPr>
    </w:p>
    <w:p w14:paraId="08924CEA" w14:textId="32339446" w:rsidR="00E01697" w:rsidRDefault="00E01697" w:rsidP="000B5610">
      <w:pPr>
        <w:pStyle w:val="SNSynopsisTOC"/>
        <w:spacing w:after="240"/>
        <w:jc w:val="left"/>
        <w:rPr>
          <w:lang w:eastAsia="zh-CN"/>
        </w:rPr>
      </w:pPr>
    </w:p>
    <w:p w14:paraId="7FCC162C" w14:textId="537B8088" w:rsidR="00B36A55" w:rsidRDefault="00B36A55" w:rsidP="000B5610">
      <w:pPr>
        <w:pStyle w:val="SNSynopsisTOC"/>
        <w:spacing w:after="240"/>
        <w:jc w:val="left"/>
        <w:rPr>
          <w:lang w:eastAsia="zh-CN"/>
        </w:rPr>
      </w:pPr>
    </w:p>
    <w:p w14:paraId="43FEC6A2" w14:textId="77777777" w:rsidR="00B36A55" w:rsidRDefault="00B36A55" w:rsidP="000B5610">
      <w:pPr>
        <w:pStyle w:val="SNSynopsisTOC"/>
        <w:spacing w:after="240"/>
        <w:jc w:val="left"/>
        <w:rPr>
          <w:lang w:eastAsia="zh-CN"/>
        </w:rPr>
      </w:pPr>
    </w:p>
    <w:p w14:paraId="03F881CF" w14:textId="77777777" w:rsidR="00E01697" w:rsidRPr="00E01697" w:rsidRDefault="00E01697" w:rsidP="000B5610">
      <w:pPr>
        <w:pStyle w:val="SNSynopsisTOC"/>
        <w:spacing w:after="240"/>
        <w:jc w:val="left"/>
        <w:rPr>
          <w:lang w:eastAsia="zh-CN"/>
        </w:rPr>
      </w:pPr>
    </w:p>
    <w:p w14:paraId="1D1696DD" w14:textId="525F8571" w:rsidR="00FC6854" w:rsidRPr="00A60C0C" w:rsidRDefault="00A60C0C" w:rsidP="000B5610">
      <w:pPr>
        <w:pStyle w:val="SNSynopsisTOC"/>
        <w:spacing w:after="240"/>
        <w:jc w:val="left"/>
        <w:rPr>
          <w:b/>
          <w:bCs/>
          <w:sz w:val="28"/>
          <w:szCs w:val="28"/>
          <w:lang w:eastAsia="zh-CN"/>
        </w:rPr>
      </w:pPr>
      <w:r w:rsidRPr="00A60C0C">
        <w:rPr>
          <w:rFonts w:hint="eastAsia"/>
          <w:b/>
          <w:bCs/>
          <w:sz w:val="28"/>
          <w:szCs w:val="28"/>
          <w:lang w:eastAsia="zh-CN"/>
        </w:rPr>
        <w:lastRenderedPageBreak/>
        <w:t>S</w:t>
      </w:r>
      <w:r w:rsidRPr="00A60C0C">
        <w:rPr>
          <w:b/>
          <w:bCs/>
          <w:sz w:val="28"/>
          <w:szCs w:val="28"/>
          <w:lang w:eastAsia="zh-CN"/>
        </w:rPr>
        <w:t xml:space="preserve">1: </w:t>
      </w:r>
      <w:r w:rsidRPr="00A60C0C">
        <w:rPr>
          <w:rFonts w:ascii="Times New Roman" w:hAnsi="Times New Roman"/>
          <w:b/>
          <w:bCs/>
          <w:sz w:val="28"/>
          <w:szCs w:val="28"/>
        </w:rPr>
        <w:t xml:space="preserve">Industrial </w:t>
      </w:r>
      <w:r w:rsidR="00BB34AA">
        <w:rPr>
          <w:rFonts w:ascii="Times New Roman" w:hAnsi="Times New Roman"/>
          <w:b/>
          <w:bCs/>
          <w:sz w:val="28"/>
          <w:szCs w:val="28"/>
        </w:rPr>
        <w:t>c</w:t>
      </w:r>
      <w:r w:rsidRPr="00A60C0C">
        <w:rPr>
          <w:rFonts w:ascii="Times New Roman" w:hAnsi="Times New Roman"/>
          <w:b/>
          <w:bCs/>
          <w:sz w:val="28"/>
          <w:szCs w:val="28"/>
        </w:rPr>
        <w:t>lassification</w:t>
      </w:r>
    </w:p>
    <w:p w14:paraId="1003AC8B" w14:textId="06A651B6" w:rsidR="00FC6854" w:rsidRPr="00CA0120" w:rsidRDefault="00FC6854" w:rsidP="00CA0120">
      <w:pPr>
        <w:jc w:val="left"/>
        <w:rPr>
          <w:rFonts w:ascii="Times New Roman" w:hAnsi="Times New Roman"/>
          <w:szCs w:val="24"/>
        </w:rPr>
      </w:pPr>
      <w:r w:rsidRPr="00CA0120">
        <w:rPr>
          <w:rFonts w:ascii="Times New Roman" w:hAnsi="Times New Roman"/>
          <w:szCs w:val="24"/>
        </w:rPr>
        <w:t>Table S1. Industrial Classification</w:t>
      </w:r>
    </w:p>
    <w:tbl>
      <w:tblPr>
        <w:tblStyle w:val="ac"/>
        <w:tblW w:w="5000" w:type="pct"/>
        <w:tblLook w:val="04A0" w:firstRow="1" w:lastRow="0" w:firstColumn="1" w:lastColumn="0" w:noHBand="0" w:noVBand="1"/>
      </w:tblPr>
      <w:tblGrid>
        <w:gridCol w:w="1884"/>
        <w:gridCol w:w="2698"/>
        <w:gridCol w:w="2698"/>
        <w:gridCol w:w="1034"/>
        <w:gridCol w:w="1036"/>
      </w:tblGrid>
      <w:tr w:rsidR="00FC6854" w:rsidRPr="00FC6854" w14:paraId="1075B488" w14:textId="77777777" w:rsidTr="00F77551">
        <w:tc>
          <w:tcPr>
            <w:tcW w:w="5000" w:type="pct"/>
            <w:gridSpan w:val="5"/>
          </w:tcPr>
          <w:p w14:paraId="77FF192C" w14:textId="77777777" w:rsidR="00FC6854" w:rsidRPr="00FC6854" w:rsidRDefault="00FC6854" w:rsidP="00FC6854">
            <w:pPr>
              <w:jc w:val="left"/>
              <w:textAlignment w:val="baseline"/>
              <w:rPr>
                <w:rFonts w:ascii="Times New Roman" w:hAnsi="Times New Roman" w:cs="Times New Roman"/>
                <w:b/>
                <w:color w:val="000000"/>
                <w:kern w:val="24"/>
                <w:sz w:val="18"/>
                <w:szCs w:val="18"/>
              </w:rPr>
            </w:pPr>
            <w:r w:rsidRPr="00FC6854">
              <w:rPr>
                <w:rFonts w:ascii="Times New Roman" w:hAnsi="Times New Roman" w:cs="Times New Roman"/>
                <w:b/>
                <w:color w:val="000000"/>
                <w:kern w:val="24"/>
                <w:sz w:val="18"/>
                <w:szCs w:val="18"/>
              </w:rPr>
              <w:t>Primary industry (Agriculture): Agriculture, Forestry, Animal Husbandry and Fisheries</w:t>
            </w:r>
          </w:p>
        </w:tc>
      </w:tr>
      <w:tr w:rsidR="00FC6854" w:rsidRPr="00FC6854" w14:paraId="00DD60B9" w14:textId="77777777" w:rsidTr="00F77551">
        <w:tc>
          <w:tcPr>
            <w:tcW w:w="5000" w:type="pct"/>
            <w:gridSpan w:val="5"/>
          </w:tcPr>
          <w:p w14:paraId="0E9B8F84" w14:textId="77777777" w:rsidR="00FC6854" w:rsidRPr="00FC6854" w:rsidRDefault="00FC6854" w:rsidP="00FC6854">
            <w:pPr>
              <w:jc w:val="left"/>
              <w:textAlignment w:val="baseline"/>
              <w:rPr>
                <w:rFonts w:ascii="Times New Roman" w:hAnsi="Times New Roman" w:cs="Times New Roman"/>
                <w:b/>
                <w:color w:val="000000"/>
                <w:kern w:val="24"/>
                <w:sz w:val="18"/>
                <w:szCs w:val="18"/>
              </w:rPr>
            </w:pPr>
            <w:r w:rsidRPr="00FC6854">
              <w:rPr>
                <w:rFonts w:ascii="Times New Roman" w:hAnsi="Times New Roman" w:cs="Times New Roman"/>
                <w:b/>
                <w:color w:val="000000"/>
                <w:kern w:val="24"/>
                <w:sz w:val="18"/>
                <w:szCs w:val="18"/>
              </w:rPr>
              <w:t>Secondary industry: Industry (including extractive industries, manufacturing, electricity, etc.) and construction</w:t>
            </w:r>
          </w:p>
        </w:tc>
      </w:tr>
      <w:tr w:rsidR="00FC6854" w:rsidRPr="00FC6854" w14:paraId="6B336E3B" w14:textId="77777777" w:rsidTr="00F77551">
        <w:tc>
          <w:tcPr>
            <w:tcW w:w="1007" w:type="pct"/>
          </w:tcPr>
          <w:p w14:paraId="47D43B4D"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Mining</w:t>
            </w:r>
          </w:p>
        </w:tc>
        <w:tc>
          <w:tcPr>
            <w:tcW w:w="1443" w:type="pct"/>
          </w:tcPr>
          <w:p w14:paraId="33F3C540"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Nonmetallic Mineral Manufacturing</w:t>
            </w:r>
          </w:p>
        </w:tc>
        <w:tc>
          <w:tcPr>
            <w:tcW w:w="1443" w:type="pct"/>
          </w:tcPr>
          <w:p w14:paraId="29E30A1C"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Machinery and equipment manufacturing</w:t>
            </w:r>
          </w:p>
        </w:tc>
        <w:tc>
          <w:tcPr>
            <w:tcW w:w="1107" w:type="pct"/>
            <w:gridSpan w:val="2"/>
          </w:tcPr>
          <w:p w14:paraId="06079031"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Construction</w:t>
            </w:r>
          </w:p>
        </w:tc>
      </w:tr>
      <w:tr w:rsidR="00FC6854" w:rsidRPr="00FC6854" w14:paraId="748E0944" w14:textId="77777777" w:rsidTr="00F77551">
        <w:tc>
          <w:tcPr>
            <w:tcW w:w="1007" w:type="pct"/>
          </w:tcPr>
          <w:p w14:paraId="2F18C3BF"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Other Manufacturing</w:t>
            </w:r>
          </w:p>
        </w:tc>
        <w:tc>
          <w:tcPr>
            <w:tcW w:w="1443" w:type="pct"/>
          </w:tcPr>
          <w:p w14:paraId="641A4908"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Metal Products Manufacturing</w:t>
            </w:r>
          </w:p>
        </w:tc>
        <w:tc>
          <w:tcPr>
            <w:tcW w:w="1443" w:type="pct"/>
          </w:tcPr>
          <w:p w14:paraId="5F709F28"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Food, beverage manufacturing and tobacco products industry</w:t>
            </w:r>
          </w:p>
        </w:tc>
        <w:tc>
          <w:tcPr>
            <w:tcW w:w="1107" w:type="pct"/>
            <w:gridSpan w:val="2"/>
          </w:tcPr>
          <w:p w14:paraId="7E96A6E8"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Chemical Industry</w:t>
            </w:r>
          </w:p>
        </w:tc>
      </w:tr>
      <w:tr w:rsidR="00FC6854" w:rsidRPr="00FC6854" w14:paraId="60EE0C40" w14:textId="77777777" w:rsidTr="00F77551">
        <w:tc>
          <w:tcPr>
            <w:tcW w:w="1007" w:type="pct"/>
          </w:tcPr>
          <w:p w14:paraId="080660A1"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Textile, clothing and leather products manufacturing</w:t>
            </w:r>
          </w:p>
        </w:tc>
        <w:tc>
          <w:tcPr>
            <w:tcW w:w="1443" w:type="pct"/>
          </w:tcPr>
          <w:p w14:paraId="77B5BBC1"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Coking, gas and oil processing industry</w:t>
            </w:r>
          </w:p>
        </w:tc>
        <w:tc>
          <w:tcPr>
            <w:tcW w:w="1443" w:type="pct"/>
          </w:tcPr>
          <w:p w14:paraId="11F0CEF5"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Electricity, heat and water production and supply industry</w:t>
            </w:r>
          </w:p>
        </w:tc>
        <w:tc>
          <w:tcPr>
            <w:tcW w:w="1107" w:type="pct"/>
            <w:gridSpan w:val="2"/>
          </w:tcPr>
          <w:p w14:paraId="5E403996" w14:textId="77777777" w:rsidR="00FC6854" w:rsidRPr="00FC6854" w:rsidRDefault="00FC6854" w:rsidP="00FC6854">
            <w:pPr>
              <w:jc w:val="left"/>
              <w:textAlignment w:val="baseline"/>
              <w:rPr>
                <w:rFonts w:ascii="Times New Roman" w:hAnsi="Times New Roman" w:cs="Times New Roman"/>
                <w:color w:val="000000"/>
                <w:kern w:val="24"/>
                <w:sz w:val="18"/>
                <w:szCs w:val="18"/>
              </w:rPr>
            </w:pPr>
          </w:p>
        </w:tc>
      </w:tr>
      <w:tr w:rsidR="00FC6854" w:rsidRPr="00FC6854" w14:paraId="19C2C35A" w14:textId="77777777" w:rsidTr="00F77551">
        <w:tc>
          <w:tcPr>
            <w:tcW w:w="5000" w:type="pct"/>
            <w:gridSpan w:val="5"/>
          </w:tcPr>
          <w:p w14:paraId="2758EE82" w14:textId="77777777" w:rsidR="00FC6854" w:rsidRPr="00FC6854" w:rsidRDefault="00FC6854" w:rsidP="00FC6854">
            <w:pPr>
              <w:jc w:val="left"/>
              <w:textAlignment w:val="baseline"/>
              <w:rPr>
                <w:rFonts w:ascii="Times New Roman" w:hAnsi="Times New Roman" w:cs="Times New Roman"/>
                <w:b/>
                <w:color w:val="000000"/>
                <w:kern w:val="24"/>
                <w:sz w:val="18"/>
                <w:szCs w:val="18"/>
              </w:rPr>
            </w:pPr>
            <w:r w:rsidRPr="00FC6854">
              <w:rPr>
                <w:rFonts w:ascii="Times New Roman" w:hAnsi="Times New Roman" w:cs="Times New Roman"/>
                <w:b/>
                <w:color w:val="000000"/>
                <w:kern w:val="24"/>
                <w:sz w:val="18"/>
                <w:szCs w:val="18"/>
              </w:rPr>
              <w:t>Tertiary industry: In addition to the Primary and Secondary industry (distribution sector and service sector)</w:t>
            </w:r>
          </w:p>
        </w:tc>
      </w:tr>
      <w:tr w:rsidR="00FC6854" w:rsidRPr="00FC6854" w14:paraId="7B525CFE" w14:textId="77777777" w:rsidTr="00F77551">
        <w:tc>
          <w:tcPr>
            <w:tcW w:w="1007" w:type="pct"/>
          </w:tcPr>
          <w:p w14:paraId="5FCD0A2B"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Housing, leasing and business services</w:t>
            </w:r>
          </w:p>
        </w:tc>
        <w:tc>
          <w:tcPr>
            <w:tcW w:w="1443" w:type="pct"/>
          </w:tcPr>
          <w:p w14:paraId="580BEF7B"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Transportation, storage and postal services, information transmission, computer services and software industry</w:t>
            </w:r>
          </w:p>
        </w:tc>
        <w:tc>
          <w:tcPr>
            <w:tcW w:w="1443" w:type="pct"/>
          </w:tcPr>
          <w:p w14:paraId="5CEF360C"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Wholesale and retail trade, accommodation and catering</w:t>
            </w:r>
          </w:p>
        </w:tc>
        <w:tc>
          <w:tcPr>
            <w:tcW w:w="553" w:type="pct"/>
          </w:tcPr>
          <w:p w14:paraId="5FF94792"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Financial Industry</w:t>
            </w:r>
          </w:p>
        </w:tc>
        <w:tc>
          <w:tcPr>
            <w:tcW w:w="554" w:type="pct"/>
          </w:tcPr>
          <w:p w14:paraId="793B8460" w14:textId="77777777" w:rsidR="00FC6854" w:rsidRPr="00FC6854" w:rsidRDefault="00FC6854" w:rsidP="00FC6854">
            <w:pPr>
              <w:jc w:val="left"/>
              <w:textAlignment w:val="baseline"/>
              <w:rPr>
                <w:rFonts w:ascii="Times New Roman" w:hAnsi="Times New Roman" w:cs="Times New Roman"/>
                <w:color w:val="000000"/>
                <w:kern w:val="24"/>
                <w:sz w:val="18"/>
                <w:szCs w:val="18"/>
              </w:rPr>
            </w:pPr>
            <w:r w:rsidRPr="00FC6854">
              <w:rPr>
                <w:rFonts w:ascii="Times New Roman" w:hAnsi="Times New Roman" w:cs="Times New Roman"/>
                <w:color w:val="000000"/>
                <w:kern w:val="24"/>
                <w:sz w:val="18"/>
                <w:szCs w:val="18"/>
              </w:rPr>
              <w:t>Other Services</w:t>
            </w:r>
          </w:p>
        </w:tc>
      </w:tr>
    </w:tbl>
    <w:p w14:paraId="14A81A3F" w14:textId="03130F83" w:rsidR="00FC6854" w:rsidRDefault="00FC6854" w:rsidP="000B5610">
      <w:pPr>
        <w:pStyle w:val="SNSynopsisTOC"/>
        <w:spacing w:after="240"/>
        <w:jc w:val="left"/>
        <w:rPr>
          <w:lang w:eastAsia="zh-CN"/>
        </w:rPr>
      </w:pPr>
    </w:p>
    <w:p w14:paraId="1E65D9C3" w14:textId="1DDB0DA0" w:rsidR="00AA43C4" w:rsidRPr="00A70DFF" w:rsidRDefault="00EC7180" w:rsidP="00A70DFF">
      <w:pPr>
        <w:jc w:val="left"/>
        <w:rPr>
          <w:rFonts w:ascii="Times New Roman" w:hAnsi="Times New Roman"/>
          <w:b/>
          <w:bCs/>
          <w:szCs w:val="24"/>
        </w:rPr>
      </w:pPr>
      <w:r w:rsidRPr="00EC7180">
        <w:rPr>
          <w:rFonts w:hint="eastAsia"/>
          <w:b/>
          <w:bCs/>
          <w:lang w:eastAsia="zh-CN"/>
        </w:rPr>
        <w:t>S</w:t>
      </w:r>
      <w:r w:rsidRPr="00EC7180">
        <w:rPr>
          <w:b/>
          <w:bCs/>
          <w:lang w:eastAsia="zh-CN"/>
        </w:rPr>
        <w:t>2:</w:t>
      </w:r>
      <w:r w:rsidRPr="00EC7180">
        <w:rPr>
          <w:rFonts w:ascii="Times New Roman" w:hAnsi="Times New Roman"/>
          <w:b/>
          <w:bCs/>
          <w:szCs w:val="24"/>
        </w:rPr>
        <w:t xml:space="preserve"> Disaggregation of China's input-output tables</w:t>
      </w:r>
    </w:p>
    <w:p w14:paraId="445FC5BD" w14:textId="29A95E68" w:rsidR="00AA43C4" w:rsidRPr="0015048E" w:rsidRDefault="00AA43C4" w:rsidP="00AA43C4">
      <w:pPr>
        <w:jc w:val="left"/>
        <w:rPr>
          <w:rFonts w:ascii="Times New Roman" w:hAnsi="Times New Roman"/>
          <w:szCs w:val="24"/>
        </w:rPr>
      </w:pPr>
      <w:r w:rsidRPr="0015048E">
        <w:rPr>
          <w:rFonts w:ascii="Times New Roman" w:hAnsi="Times New Roman"/>
          <w:szCs w:val="24"/>
        </w:rPr>
        <w:t>Table S2. Disaggregated IO table</w:t>
      </w:r>
    </w:p>
    <w:tbl>
      <w:tblPr>
        <w:tblStyle w:val="ac"/>
        <w:tblW w:w="5000" w:type="pct"/>
        <w:tblLook w:val="04A0" w:firstRow="1" w:lastRow="0" w:firstColumn="1" w:lastColumn="0" w:noHBand="0" w:noVBand="1"/>
      </w:tblPr>
      <w:tblGrid>
        <w:gridCol w:w="897"/>
        <w:gridCol w:w="739"/>
        <w:gridCol w:w="898"/>
        <w:gridCol w:w="741"/>
        <w:gridCol w:w="916"/>
        <w:gridCol w:w="645"/>
        <w:gridCol w:w="720"/>
        <w:gridCol w:w="555"/>
        <w:gridCol w:w="967"/>
        <w:gridCol w:w="935"/>
        <w:gridCol w:w="720"/>
        <w:gridCol w:w="617"/>
      </w:tblGrid>
      <w:tr w:rsidR="00AA43C4" w:rsidRPr="00AA43C4" w14:paraId="6D626C4F" w14:textId="77777777" w:rsidTr="00A70DFF">
        <w:tc>
          <w:tcPr>
            <w:tcW w:w="480" w:type="pct"/>
            <w:vAlign w:val="center"/>
          </w:tcPr>
          <w:p w14:paraId="2931AA78" w14:textId="77777777" w:rsidR="00AA43C4" w:rsidRPr="00AA43C4" w:rsidRDefault="00AA43C4" w:rsidP="00F77551">
            <w:pPr>
              <w:jc w:val="center"/>
              <w:rPr>
                <w:rFonts w:ascii="Times New Roman" w:hAnsi="Times New Roman" w:cs="Times New Roman"/>
                <w:sz w:val="15"/>
                <w:szCs w:val="15"/>
              </w:rPr>
            </w:pPr>
          </w:p>
        </w:tc>
        <w:tc>
          <w:tcPr>
            <w:tcW w:w="1271" w:type="pct"/>
            <w:gridSpan w:val="3"/>
            <w:vAlign w:val="center"/>
          </w:tcPr>
          <w:p w14:paraId="71658A05"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Intermediate demand</w:t>
            </w:r>
          </w:p>
        </w:tc>
        <w:tc>
          <w:tcPr>
            <w:tcW w:w="2534" w:type="pct"/>
            <w:gridSpan w:val="6"/>
            <w:vAlign w:val="center"/>
          </w:tcPr>
          <w:p w14:paraId="5F6CC625" w14:textId="1F71B1E1"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F</w:t>
            </w:r>
            <w:r w:rsidR="009330E7">
              <w:rPr>
                <w:rFonts w:ascii="Times New Roman" w:hAnsi="Times New Roman" w:cs="Times New Roman"/>
                <w:sz w:val="15"/>
                <w:szCs w:val="15"/>
              </w:rPr>
              <w:t xml:space="preserve">ixed Investment </w:t>
            </w:r>
            <w:r w:rsidR="00D0415A">
              <w:rPr>
                <w:rFonts w:ascii="Times New Roman" w:hAnsi="Times New Roman" w:cs="Times New Roman"/>
                <w:sz w:val="15"/>
                <w:szCs w:val="15"/>
              </w:rPr>
              <w:t>of</w:t>
            </w:r>
            <w:r w:rsidR="009330E7">
              <w:rPr>
                <w:rFonts w:ascii="Times New Roman" w:hAnsi="Times New Roman" w:cs="Times New Roman"/>
                <w:sz w:val="15"/>
                <w:szCs w:val="15"/>
              </w:rPr>
              <w:t xml:space="preserve"> Electricity (FIE)</w:t>
            </w:r>
          </w:p>
        </w:tc>
        <w:tc>
          <w:tcPr>
            <w:tcW w:w="385" w:type="pct"/>
            <w:vMerge w:val="restart"/>
          </w:tcPr>
          <w:p w14:paraId="6AFA5BAC" w14:textId="70EE6B81" w:rsidR="00AA43C4" w:rsidRPr="00AA43C4" w:rsidRDefault="00AA43C4" w:rsidP="00F77551">
            <w:pPr>
              <w:rPr>
                <w:rFonts w:ascii="Times New Roman" w:hAnsi="Times New Roman" w:cs="Times New Roman"/>
                <w:sz w:val="15"/>
                <w:szCs w:val="15"/>
              </w:rPr>
            </w:pPr>
            <w:r w:rsidRPr="00AA43C4">
              <w:rPr>
                <w:rFonts w:ascii="Times New Roman" w:hAnsi="Times New Roman" w:cs="Times New Roman"/>
                <w:sz w:val="15"/>
                <w:szCs w:val="15"/>
              </w:rPr>
              <w:t>Final demand except FIE</w:t>
            </w:r>
          </w:p>
        </w:tc>
        <w:tc>
          <w:tcPr>
            <w:tcW w:w="330" w:type="pct"/>
            <w:vMerge w:val="restart"/>
            <w:vAlign w:val="center"/>
          </w:tcPr>
          <w:p w14:paraId="219BB459" w14:textId="77777777" w:rsidR="00AA43C4" w:rsidRPr="00AA43C4" w:rsidRDefault="00AA43C4" w:rsidP="00F77551">
            <w:pPr>
              <w:rPr>
                <w:rFonts w:ascii="Times New Roman" w:hAnsi="Times New Roman" w:cs="Times New Roman"/>
                <w:sz w:val="15"/>
                <w:szCs w:val="15"/>
              </w:rPr>
            </w:pPr>
            <w:r w:rsidRPr="00AA43C4">
              <w:rPr>
                <w:rFonts w:ascii="Times New Roman" w:hAnsi="Times New Roman" w:cs="Times New Roman"/>
                <w:sz w:val="15"/>
                <w:szCs w:val="15"/>
              </w:rPr>
              <w:t>Total output</w:t>
            </w:r>
          </w:p>
        </w:tc>
      </w:tr>
      <w:tr w:rsidR="003C78B5" w:rsidRPr="00AA43C4" w14:paraId="2C689E71" w14:textId="77777777" w:rsidTr="00A70DFF">
        <w:tc>
          <w:tcPr>
            <w:tcW w:w="480" w:type="pct"/>
            <w:vAlign w:val="center"/>
          </w:tcPr>
          <w:p w14:paraId="73E1F274" w14:textId="77777777" w:rsidR="00AA43C4" w:rsidRPr="00AA43C4" w:rsidRDefault="00AA43C4" w:rsidP="00F77551">
            <w:pPr>
              <w:jc w:val="center"/>
              <w:rPr>
                <w:rFonts w:ascii="Times New Roman" w:hAnsi="Times New Roman" w:cs="Times New Roman"/>
                <w:sz w:val="15"/>
                <w:szCs w:val="15"/>
              </w:rPr>
            </w:pPr>
          </w:p>
        </w:tc>
        <w:tc>
          <w:tcPr>
            <w:tcW w:w="395" w:type="pct"/>
            <w:tcBorders>
              <w:bottom w:val="single" w:sz="4" w:space="0" w:color="auto"/>
            </w:tcBorders>
            <w:vAlign w:val="center"/>
          </w:tcPr>
          <w:p w14:paraId="3E1F51BD"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Primary industry</w:t>
            </w:r>
          </w:p>
        </w:tc>
        <w:tc>
          <w:tcPr>
            <w:tcW w:w="480" w:type="pct"/>
            <w:tcBorders>
              <w:bottom w:val="single" w:sz="4" w:space="0" w:color="auto"/>
            </w:tcBorders>
            <w:vAlign w:val="center"/>
          </w:tcPr>
          <w:p w14:paraId="528F9467"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Secondary industry</w:t>
            </w:r>
          </w:p>
        </w:tc>
        <w:tc>
          <w:tcPr>
            <w:tcW w:w="395" w:type="pct"/>
            <w:tcBorders>
              <w:bottom w:val="single" w:sz="4" w:space="0" w:color="auto"/>
            </w:tcBorders>
            <w:vAlign w:val="center"/>
          </w:tcPr>
          <w:p w14:paraId="693D1DF7"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Tertiary industry</w:t>
            </w:r>
          </w:p>
        </w:tc>
        <w:tc>
          <w:tcPr>
            <w:tcW w:w="490" w:type="pct"/>
            <w:tcBorders>
              <w:bottom w:val="single" w:sz="4" w:space="0" w:color="auto"/>
            </w:tcBorders>
            <w:vAlign w:val="center"/>
          </w:tcPr>
          <w:p w14:paraId="68B371CE"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Coal-Fired</w:t>
            </w:r>
          </w:p>
        </w:tc>
        <w:tc>
          <w:tcPr>
            <w:tcW w:w="345" w:type="pct"/>
            <w:tcBorders>
              <w:bottom w:val="single" w:sz="4" w:space="0" w:color="auto"/>
            </w:tcBorders>
            <w:vAlign w:val="center"/>
          </w:tcPr>
          <w:p w14:paraId="4721ED50"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Nature Gas</w:t>
            </w:r>
          </w:p>
        </w:tc>
        <w:tc>
          <w:tcPr>
            <w:tcW w:w="385" w:type="pct"/>
            <w:tcBorders>
              <w:bottom w:val="single" w:sz="4" w:space="0" w:color="auto"/>
            </w:tcBorders>
            <w:vAlign w:val="center"/>
          </w:tcPr>
          <w:p w14:paraId="7B99EB1A"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Nuclear</w:t>
            </w:r>
          </w:p>
        </w:tc>
        <w:tc>
          <w:tcPr>
            <w:tcW w:w="297" w:type="pct"/>
            <w:tcBorders>
              <w:bottom w:val="single" w:sz="4" w:space="0" w:color="auto"/>
            </w:tcBorders>
            <w:vAlign w:val="center"/>
          </w:tcPr>
          <w:p w14:paraId="5ADD4ADE" w14:textId="77777777" w:rsidR="00AA43C4" w:rsidRPr="003C78B5" w:rsidRDefault="00AA43C4" w:rsidP="00F77551">
            <w:pPr>
              <w:jc w:val="center"/>
              <w:rPr>
                <w:rFonts w:ascii="Times New Roman" w:hAnsi="Times New Roman" w:cs="Times New Roman"/>
                <w:sz w:val="15"/>
                <w:szCs w:val="15"/>
              </w:rPr>
            </w:pPr>
            <w:r w:rsidRPr="003C78B5">
              <w:rPr>
                <w:rFonts w:ascii="Times New Roman" w:hAnsi="Times New Roman" w:cs="Times New Roman"/>
                <w:sz w:val="15"/>
                <w:szCs w:val="15"/>
              </w:rPr>
              <w:t>Wind</w:t>
            </w:r>
          </w:p>
        </w:tc>
        <w:tc>
          <w:tcPr>
            <w:tcW w:w="517" w:type="pct"/>
            <w:tcBorders>
              <w:bottom w:val="single" w:sz="4" w:space="0" w:color="auto"/>
            </w:tcBorders>
            <w:vAlign w:val="center"/>
          </w:tcPr>
          <w:p w14:paraId="768DFB64" w14:textId="3B9832A3" w:rsidR="00AA43C4" w:rsidRPr="003C78B5" w:rsidRDefault="00AA43C4" w:rsidP="00F77551">
            <w:pPr>
              <w:jc w:val="center"/>
              <w:rPr>
                <w:rFonts w:ascii="Times New Roman" w:hAnsi="Times New Roman" w:cs="Times New Roman"/>
                <w:sz w:val="15"/>
                <w:szCs w:val="15"/>
              </w:rPr>
            </w:pPr>
            <w:r w:rsidRPr="003C78B5">
              <w:rPr>
                <w:rFonts w:ascii="Times New Roman" w:hAnsi="Times New Roman" w:cs="Times New Roman"/>
                <w:sz w:val="15"/>
                <w:szCs w:val="15"/>
              </w:rPr>
              <w:t xml:space="preserve">Solar </w:t>
            </w:r>
            <w:r w:rsidR="003C78B5" w:rsidRPr="003C78B5">
              <w:rPr>
                <w:rFonts w:ascii="Times New Roman" w:hAnsi="Times New Roman" w:cs="Times New Roman"/>
                <w:sz w:val="15"/>
                <w:szCs w:val="15"/>
              </w:rPr>
              <w:t>photovoltaic</w:t>
            </w:r>
          </w:p>
        </w:tc>
        <w:tc>
          <w:tcPr>
            <w:tcW w:w="499" w:type="pct"/>
            <w:tcBorders>
              <w:bottom w:val="single" w:sz="4" w:space="0" w:color="auto"/>
            </w:tcBorders>
            <w:vAlign w:val="center"/>
          </w:tcPr>
          <w:p w14:paraId="3FF215E0"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Other Renewable</w:t>
            </w:r>
          </w:p>
        </w:tc>
        <w:tc>
          <w:tcPr>
            <w:tcW w:w="385" w:type="pct"/>
            <w:vMerge/>
            <w:tcBorders>
              <w:bottom w:val="single" w:sz="4" w:space="0" w:color="auto"/>
            </w:tcBorders>
            <w:vAlign w:val="center"/>
          </w:tcPr>
          <w:p w14:paraId="453E179A" w14:textId="77777777" w:rsidR="00AA43C4" w:rsidRPr="00AA43C4" w:rsidRDefault="00AA43C4" w:rsidP="00F77551">
            <w:pPr>
              <w:jc w:val="center"/>
              <w:rPr>
                <w:rFonts w:ascii="Times New Roman" w:hAnsi="Times New Roman" w:cs="Times New Roman"/>
                <w:sz w:val="15"/>
                <w:szCs w:val="15"/>
              </w:rPr>
            </w:pPr>
          </w:p>
        </w:tc>
        <w:tc>
          <w:tcPr>
            <w:tcW w:w="330" w:type="pct"/>
            <w:vMerge/>
            <w:tcBorders>
              <w:bottom w:val="single" w:sz="4" w:space="0" w:color="auto"/>
            </w:tcBorders>
            <w:vAlign w:val="center"/>
          </w:tcPr>
          <w:p w14:paraId="7A1C57FE" w14:textId="77777777" w:rsidR="00AA43C4" w:rsidRPr="00AA43C4" w:rsidRDefault="00AA43C4" w:rsidP="00F77551">
            <w:pPr>
              <w:jc w:val="center"/>
              <w:rPr>
                <w:rFonts w:ascii="Times New Roman" w:hAnsi="Times New Roman" w:cs="Times New Roman"/>
                <w:sz w:val="15"/>
                <w:szCs w:val="15"/>
              </w:rPr>
            </w:pPr>
          </w:p>
        </w:tc>
      </w:tr>
      <w:tr w:rsidR="003C78B5" w:rsidRPr="00AA43C4" w14:paraId="437D0D40" w14:textId="77777777" w:rsidTr="00A70DFF">
        <w:tc>
          <w:tcPr>
            <w:tcW w:w="480" w:type="pct"/>
            <w:vAlign w:val="center"/>
          </w:tcPr>
          <w:p w14:paraId="44930F92"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Primary industry</w:t>
            </w:r>
          </w:p>
        </w:tc>
        <w:tc>
          <w:tcPr>
            <w:tcW w:w="395" w:type="pct"/>
            <w:tcBorders>
              <w:bottom w:val="nil"/>
              <w:right w:val="nil"/>
            </w:tcBorders>
            <w:vAlign w:val="center"/>
          </w:tcPr>
          <w:p w14:paraId="58C9288F"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11</m:t>
                    </m:r>
                  </m:sub>
                </m:sSub>
              </m:oMath>
            </m:oMathPara>
          </w:p>
        </w:tc>
        <w:tc>
          <w:tcPr>
            <w:tcW w:w="480" w:type="pct"/>
            <w:tcBorders>
              <w:left w:val="nil"/>
              <w:bottom w:val="nil"/>
              <w:right w:val="nil"/>
            </w:tcBorders>
            <w:vAlign w:val="center"/>
          </w:tcPr>
          <w:p w14:paraId="3825CB98"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12</m:t>
                    </m:r>
                  </m:sub>
                </m:sSub>
              </m:oMath>
            </m:oMathPara>
          </w:p>
        </w:tc>
        <w:tc>
          <w:tcPr>
            <w:tcW w:w="395" w:type="pct"/>
            <w:tcBorders>
              <w:left w:val="nil"/>
              <w:bottom w:val="nil"/>
              <w:right w:val="nil"/>
            </w:tcBorders>
            <w:vAlign w:val="center"/>
          </w:tcPr>
          <w:p w14:paraId="1D00514D"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13</m:t>
                    </m:r>
                  </m:sub>
                </m:sSub>
              </m:oMath>
            </m:oMathPara>
          </w:p>
        </w:tc>
        <w:tc>
          <w:tcPr>
            <w:tcW w:w="490" w:type="pct"/>
            <w:tcBorders>
              <w:left w:val="nil"/>
              <w:bottom w:val="nil"/>
              <w:right w:val="nil"/>
            </w:tcBorders>
            <w:vAlign w:val="center"/>
          </w:tcPr>
          <w:p w14:paraId="303BAA99"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11</m:t>
                    </m:r>
                  </m:sub>
                </m:sSub>
              </m:oMath>
            </m:oMathPara>
          </w:p>
        </w:tc>
        <w:tc>
          <w:tcPr>
            <w:tcW w:w="345" w:type="pct"/>
            <w:tcBorders>
              <w:left w:val="nil"/>
              <w:bottom w:val="nil"/>
              <w:right w:val="nil"/>
            </w:tcBorders>
            <w:vAlign w:val="center"/>
          </w:tcPr>
          <w:p w14:paraId="7C0C8F30"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12</m:t>
                    </m:r>
                  </m:sub>
                </m:sSub>
              </m:oMath>
            </m:oMathPara>
          </w:p>
        </w:tc>
        <w:tc>
          <w:tcPr>
            <w:tcW w:w="385" w:type="pct"/>
            <w:tcBorders>
              <w:left w:val="nil"/>
              <w:bottom w:val="nil"/>
              <w:right w:val="nil"/>
            </w:tcBorders>
            <w:vAlign w:val="center"/>
          </w:tcPr>
          <w:p w14:paraId="08DE1BF4"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13</m:t>
                    </m:r>
                  </m:sub>
                </m:sSub>
              </m:oMath>
            </m:oMathPara>
          </w:p>
        </w:tc>
        <w:tc>
          <w:tcPr>
            <w:tcW w:w="297" w:type="pct"/>
            <w:tcBorders>
              <w:left w:val="nil"/>
              <w:bottom w:val="nil"/>
              <w:right w:val="nil"/>
            </w:tcBorders>
            <w:vAlign w:val="center"/>
          </w:tcPr>
          <w:p w14:paraId="4BE30854"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14</m:t>
                    </m:r>
                  </m:sub>
                </m:sSub>
              </m:oMath>
            </m:oMathPara>
          </w:p>
        </w:tc>
        <w:tc>
          <w:tcPr>
            <w:tcW w:w="517" w:type="pct"/>
            <w:tcBorders>
              <w:left w:val="nil"/>
              <w:bottom w:val="nil"/>
              <w:right w:val="nil"/>
            </w:tcBorders>
            <w:vAlign w:val="center"/>
          </w:tcPr>
          <w:p w14:paraId="5FC34A31"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15</m:t>
                    </m:r>
                  </m:sub>
                </m:sSub>
              </m:oMath>
            </m:oMathPara>
          </w:p>
        </w:tc>
        <w:tc>
          <w:tcPr>
            <w:tcW w:w="499" w:type="pct"/>
            <w:tcBorders>
              <w:left w:val="nil"/>
              <w:bottom w:val="nil"/>
              <w:right w:val="nil"/>
            </w:tcBorders>
            <w:vAlign w:val="center"/>
          </w:tcPr>
          <w:p w14:paraId="6202252C"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16</m:t>
                    </m:r>
                  </m:sub>
                </m:sSub>
              </m:oMath>
            </m:oMathPara>
          </w:p>
        </w:tc>
        <w:tc>
          <w:tcPr>
            <w:tcW w:w="385" w:type="pct"/>
            <w:tcBorders>
              <w:left w:val="nil"/>
              <w:bottom w:val="nil"/>
              <w:right w:val="nil"/>
            </w:tcBorders>
            <w:vAlign w:val="center"/>
          </w:tcPr>
          <w:p w14:paraId="0758EDFE" w14:textId="77777777" w:rsidR="00AA43C4" w:rsidRPr="00AA43C4" w:rsidRDefault="002A6075" w:rsidP="00F77551">
            <w:pPr>
              <w:jc w:val="center"/>
              <w:rPr>
                <w:rFonts w:ascii="Times New Roman" w:hAnsi="Times New Roman" w:cs="Times New Roman"/>
                <w:sz w:val="15"/>
                <w:szCs w:val="15"/>
              </w:rPr>
            </w:pPr>
            <m:oMathPara>
              <m:oMath>
                <m:acc>
                  <m:accPr>
                    <m:chr m:val="̃"/>
                    <m:ctrlPr>
                      <w:rPr>
                        <w:rFonts w:ascii="Cambria Math" w:hAnsi="Cambria Math" w:cs="Times New Roman"/>
                        <w:i/>
                        <w:iCs/>
                        <w:color w:val="000000"/>
                        <w:kern w:val="24"/>
                        <w:sz w:val="15"/>
                        <w:szCs w:val="15"/>
                      </w:rPr>
                    </m:ctrlPr>
                  </m:accPr>
                  <m:e>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f</m:t>
                        </m:r>
                      </m:e>
                      <m:sub>
                        <m:r>
                          <w:rPr>
                            <w:rFonts w:ascii="Cambria Math" w:hAnsi="Cambria Math" w:cs="Times New Roman"/>
                            <w:color w:val="000000"/>
                            <w:kern w:val="24"/>
                            <w:sz w:val="15"/>
                            <w:szCs w:val="15"/>
                          </w:rPr>
                          <m:t>1</m:t>
                        </m:r>
                      </m:sub>
                    </m:sSub>
                  </m:e>
                </m:acc>
              </m:oMath>
            </m:oMathPara>
          </w:p>
        </w:tc>
        <w:tc>
          <w:tcPr>
            <w:tcW w:w="330" w:type="pct"/>
            <w:tcBorders>
              <w:left w:val="nil"/>
              <w:bottom w:val="nil"/>
            </w:tcBorders>
            <w:vAlign w:val="center"/>
          </w:tcPr>
          <w:p w14:paraId="79AED70D"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X</m:t>
                    </m:r>
                  </m:e>
                  <m:sub>
                    <m:r>
                      <w:rPr>
                        <w:rFonts w:ascii="Cambria Math" w:hAnsi="Cambria Math" w:cs="Times New Roman"/>
                        <w:color w:val="000000"/>
                        <w:kern w:val="24"/>
                        <w:sz w:val="15"/>
                        <w:szCs w:val="15"/>
                      </w:rPr>
                      <m:t>1</m:t>
                    </m:r>
                  </m:sub>
                </m:sSub>
              </m:oMath>
            </m:oMathPara>
          </w:p>
        </w:tc>
      </w:tr>
      <w:tr w:rsidR="003C78B5" w:rsidRPr="00AA43C4" w14:paraId="3F13DE69" w14:textId="77777777" w:rsidTr="00A70DFF">
        <w:tc>
          <w:tcPr>
            <w:tcW w:w="480" w:type="pct"/>
            <w:vAlign w:val="center"/>
          </w:tcPr>
          <w:p w14:paraId="2F723016"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Secondary industry</w:t>
            </w:r>
          </w:p>
        </w:tc>
        <w:tc>
          <w:tcPr>
            <w:tcW w:w="395" w:type="pct"/>
            <w:tcBorders>
              <w:top w:val="nil"/>
              <w:bottom w:val="nil"/>
              <w:right w:val="nil"/>
            </w:tcBorders>
            <w:vAlign w:val="center"/>
          </w:tcPr>
          <w:p w14:paraId="4AAB7BAE"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21</m:t>
                    </m:r>
                  </m:sub>
                </m:sSub>
              </m:oMath>
            </m:oMathPara>
          </w:p>
        </w:tc>
        <w:tc>
          <w:tcPr>
            <w:tcW w:w="480" w:type="pct"/>
            <w:tcBorders>
              <w:top w:val="nil"/>
              <w:left w:val="nil"/>
              <w:bottom w:val="nil"/>
              <w:right w:val="nil"/>
            </w:tcBorders>
            <w:vAlign w:val="center"/>
          </w:tcPr>
          <w:p w14:paraId="2FB4AB30"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22</m:t>
                    </m:r>
                  </m:sub>
                </m:sSub>
              </m:oMath>
            </m:oMathPara>
          </w:p>
        </w:tc>
        <w:tc>
          <w:tcPr>
            <w:tcW w:w="395" w:type="pct"/>
            <w:tcBorders>
              <w:top w:val="nil"/>
              <w:left w:val="nil"/>
              <w:bottom w:val="nil"/>
              <w:right w:val="nil"/>
            </w:tcBorders>
            <w:vAlign w:val="center"/>
          </w:tcPr>
          <w:p w14:paraId="41181645"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23</m:t>
                    </m:r>
                  </m:sub>
                </m:sSub>
              </m:oMath>
            </m:oMathPara>
          </w:p>
        </w:tc>
        <w:tc>
          <w:tcPr>
            <w:tcW w:w="490" w:type="pct"/>
            <w:tcBorders>
              <w:top w:val="nil"/>
              <w:left w:val="nil"/>
              <w:bottom w:val="nil"/>
              <w:right w:val="nil"/>
            </w:tcBorders>
            <w:vAlign w:val="center"/>
          </w:tcPr>
          <w:p w14:paraId="541B39FE"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21</m:t>
                    </m:r>
                  </m:sub>
                </m:sSub>
              </m:oMath>
            </m:oMathPara>
          </w:p>
        </w:tc>
        <w:tc>
          <w:tcPr>
            <w:tcW w:w="345" w:type="pct"/>
            <w:tcBorders>
              <w:top w:val="nil"/>
              <w:left w:val="nil"/>
              <w:bottom w:val="nil"/>
              <w:right w:val="nil"/>
            </w:tcBorders>
            <w:vAlign w:val="center"/>
          </w:tcPr>
          <w:p w14:paraId="338CB8D0"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22</m:t>
                    </m:r>
                  </m:sub>
                </m:sSub>
              </m:oMath>
            </m:oMathPara>
          </w:p>
        </w:tc>
        <w:tc>
          <w:tcPr>
            <w:tcW w:w="385" w:type="pct"/>
            <w:tcBorders>
              <w:top w:val="nil"/>
              <w:left w:val="nil"/>
              <w:bottom w:val="nil"/>
              <w:right w:val="nil"/>
            </w:tcBorders>
            <w:vAlign w:val="center"/>
          </w:tcPr>
          <w:p w14:paraId="389AE0D9"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23</m:t>
                    </m:r>
                  </m:sub>
                </m:sSub>
              </m:oMath>
            </m:oMathPara>
          </w:p>
        </w:tc>
        <w:tc>
          <w:tcPr>
            <w:tcW w:w="297" w:type="pct"/>
            <w:tcBorders>
              <w:top w:val="nil"/>
              <w:left w:val="nil"/>
              <w:bottom w:val="nil"/>
              <w:right w:val="nil"/>
            </w:tcBorders>
            <w:vAlign w:val="center"/>
          </w:tcPr>
          <w:p w14:paraId="28B0C424"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24</m:t>
                    </m:r>
                  </m:sub>
                </m:sSub>
              </m:oMath>
            </m:oMathPara>
          </w:p>
        </w:tc>
        <w:tc>
          <w:tcPr>
            <w:tcW w:w="517" w:type="pct"/>
            <w:tcBorders>
              <w:top w:val="nil"/>
              <w:left w:val="nil"/>
              <w:bottom w:val="nil"/>
              <w:right w:val="nil"/>
            </w:tcBorders>
            <w:vAlign w:val="center"/>
          </w:tcPr>
          <w:p w14:paraId="206174B8"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25</m:t>
                    </m:r>
                  </m:sub>
                </m:sSub>
              </m:oMath>
            </m:oMathPara>
          </w:p>
        </w:tc>
        <w:tc>
          <w:tcPr>
            <w:tcW w:w="499" w:type="pct"/>
            <w:tcBorders>
              <w:top w:val="nil"/>
              <w:left w:val="nil"/>
              <w:bottom w:val="nil"/>
              <w:right w:val="nil"/>
            </w:tcBorders>
            <w:vAlign w:val="center"/>
          </w:tcPr>
          <w:p w14:paraId="55C76FF0"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26</m:t>
                    </m:r>
                  </m:sub>
                </m:sSub>
              </m:oMath>
            </m:oMathPara>
          </w:p>
        </w:tc>
        <w:tc>
          <w:tcPr>
            <w:tcW w:w="385" w:type="pct"/>
            <w:tcBorders>
              <w:top w:val="nil"/>
              <w:left w:val="nil"/>
              <w:bottom w:val="nil"/>
              <w:right w:val="nil"/>
            </w:tcBorders>
            <w:vAlign w:val="center"/>
          </w:tcPr>
          <w:p w14:paraId="5F1E33C3" w14:textId="77777777" w:rsidR="00AA43C4" w:rsidRPr="00AA43C4" w:rsidRDefault="002A6075" w:rsidP="00F77551">
            <w:pPr>
              <w:jc w:val="center"/>
              <w:rPr>
                <w:rFonts w:ascii="Times New Roman" w:hAnsi="Times New Roman" w:cs="Times New Roman"/>
                <w:sz w:val="15"/>
                <w:szCs w:val="15"/>
              </w:rPr>
            </w:pPr>
            <m:oMathPara>
              <m:oMath>
                <m:acc>
                  <m:accPr>
                    <m:chr m:val="̃"/>
                    <m:ctrlPr>
                      <w:rPr>
                        <w:rFonts w:ascii="Cambria Math" w:hAnsi="Cambria Math" w:cs="Times New Roman"/>
                        <w:i/>
                        <w:iCs/>
                        <w:color w:val="000000"/>
                        <w:kern w:val="24"/>
                        <w:sz w:val="15"/>
                        <w:szCs w:val="15"/>
                      </w:rPr>
                    </m:ctrlPr>
                  </m:accPr>
                  <m:e>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f</m:t>
                        </m:r>
                      </m:e>
                      <m:sub>
                        <m:r>
                          <w:rPr>
                            <w:rFonts w:ascii="Cambria Math" w:hAnsi="Cambria Math" w:cs="Times New Roman"/>
                            <w:color w:val="000000"/>
                            <w:kern w:val="24"/>
                            <w:sz w:val="15"/>
                            <w:szCs w:val="15"/>
                          </w:rPr>
                          <m:t>2</m:t>
                        </m:r>
                      </m:sub>
                    </m:sSub>
                  </m:e>
                </m:acc>
              </m:oMath>
            </m:oMathPara>
          </w:p>
        </w:tc>
        <w:tc>
          <w:tcPr>
            <w:tcW w:w="330" w:type="pct"/>
            <w:tcBorders>
              <w:top w:val="nil"/>
              <w:left w:val="nil"/>
              <w:bottom w:val="nil"/>
            </w:tcBorders>
            <w:vAlign w:val="center"/>
          </w:tcPr>
          <w:p w14:paraId="24B4970F"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X</m:t>
                    </m:r>
                  </m:e>
                  <m:sub>
                    <m:r>
                      <w:rPr>
                        <w:rFonts w:ascii="Cambria Math" w:hAnsi="Cambria Math" w:cs="Times New Roman"/>
                        <w:color w:val="000000"/>
                        <w:kern w:val="24"/>
                        <w:sz w:val="15"/>
                        <w:szCs w:val="15"/>
                      </w:rPr>
                      <m:t>2</m:t>
                    </m:r>
                  </m:sub>
                </m:sSub>
              </m:oMath>
            </m:oMathPara>
          </w:p>
        </w:tc>
      </w:tr>
      <w:tr w:rsidR="003C78B5" w:rsidRPr="00AA43C4" w14:paraId="7E91F4ED" w14:textId="77777777" w:rsidTr="00A70DFF">
        <w:tc>
          <w:tcPr>
            <w:tcW w:w="480" w:type="pct"/>
            <w:vAlign w:val="center"/>
          </w:tcPr>
          <w:p w14:paraId="78483251"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Tertiary industry</w:t>
            </w:r>
          </w:p>
        </w:tc>
        <w:tc>
          <w:tcPr>
            <w:tcW w:w="395" w:type="pct"/>
            <w:tcBorders>
              <w:top w:val="nil"/>
              <w:bottom w:val="single" w:sz="4" w:space="0" w:color="auto"/>
              <w:right w:val="nil"/>
            </w:tcBorders>
            <w:vAlign w:val="center"/>
          </w:tcPr>
          <w:p w14:paraId="04BF34E8"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31</m:t>
                    </m:r>
                  </m:sub>
                </m:sSub>
              </m:oMath>
            </m:oMathPara>
          </w:p>
        </w:tc>
        <w:tc>
          <w:tcPr>
            <w:tcW w:w="480" w:type="pct"/>
            <w:tcBorders>
              <w:top w:val="nil"/>
              <w:left w:val="nil"/>
              <w:bottom w:val="single" w:sz="4" w:space="0" w:color="auto"/>
              <w:right w:val="nil"/>
            </w:tcBorders>
            <w:vAlign w:val="center"/>
          </w:tcPr>
          <w:p w14:paraId="365D55EA"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32</m:t>
                    </m:r>
                  </m:sub>
                </m:sSub>
              </m:oMath>
            </m:oMathPara>
          </w:p>
        </w:tc>
        <w:tc>
          <w:tcPr>
            <w:tcW w:w="395" w:type="pct"/>
            <w:tcBorders>
              <w:top w:val="nil"/>
              <w:left w:val="nil"/>
              <w:bottom w:val="single" w:sz="4" w:space="0" w:color="auto"/>
              <w:right w:val="nil"/>
            </w:tcBorders>
            <w:vAlign w:val="center"/>
          </w:tcPr>
          <w:p w14:paraId="35B5BD3D"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a</m:t>
                    </m:r>
                  </m:e>
                  <m:sub>
                    <m:r>
                      <w:rPr>
                        <w:rFonts w:ascii="Cambria Math" w:hAnsi="Cambria Math" w:cs="Times New Roman"/>
                        <w:color w:val="000000"/>
                        <w:kern w:val="24"/>
                        <w:sz w:val="15"/>
                        <w:szCs w:val="15"/>
                      </w:rPr>
                      <m:t>33</m:t>
                    </m:r>
                  </m:sub>
                </m:sSub>
              </m:oMath>
            </m:oMathPara>
          </w:p>
        </w:tc>
        <w:tc>
          <w:tcPr>
            <w:tcW w:w="490" w:type="pct"/>
            <w:tcBorders>
              <w:top w:val="nil"/>
              <w:left w:val="nil"/>
              <w:right w:val="nil"/>
            </w:tcBorders>
            <w:vAlign w:val="center"/>
          </w:tcPr>
          <w:p w14:paraId="18298EBA"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31</m:t>
                    </m:r>
                  </m:sub>
                </m:sSub>
              </m:oMath>
            </m:oMathPara>
          </w:p>
        </w:tc>
        <w:tc>
          <w:tcPr>
            <w:tcW w:w="345" w:type="pct"/>
            <w:tcBorders>
              <w:top w:val="nil"/>
              <w:left w:val="nil"/>
              <w:right w:val="nil"/>
            </w:tcBorders>
            <w:vAlign w:val="center"/>
          </w:tcPr>
          <w:p w14:paraId="0D552694"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32</m:t>
                    </m:r>
                  </m:sub>
                </m:sSub>
              </m:oMath>
            </m:oMathPara>
          </w:p>
        </w:tc>
        <w:tc>
          <w:tcPr>
            <w:tcW w:w="385" w:type="pct"/>
            <w:tcBorders>
              <w:top w:val="nil"/>
              <w:left w:val="nil"/>
              <w:right w:val="nil"/>
            </w:tcBorders>
            <w:vAlign w:val="center"/>
          </w:tcPr>
          <w:p w14:paraId="16B5A74D"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33</m:t>
                    </m:r>
                  </m:sub>
                </m:sSub>
              </m:oMath>
            </m:oMathPara>
          </w:p>
        </w:tc>
        <w:tc>
          <w:tcPr>
            <w:tcW w:w="297" w:type="pct"/>
            <w:tcBorders>
              <w:top w:val="nil"/>
              <w:left w:val="nil"/>
              <w:right w:val="nil"/>
            </w:tcBorders>
            <w:vAlign w:val="center"/>
          </w:tcPr>
          <w:p w14:paraId="51DFFCE7"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34</m:t>
                    </m:r>
                  </m:sub>
                </m:sSub>
              </m:oMath>
            </m:oMathPara>
          </w:p>
        </w:tc>
        <w:tc>
          <w:tcPr>
            <w:tcW w:w="517" w:type="pct"/>
            <w:tcBorders>
              <w:top w:val="nil"/>
              <w:left w:val="nil"/>
              <w:right w:val="nil"/>
            </w:tcBorders>
            <w:vAlign w:val="center"/>
          </w:tcPr>
          <w:p w14:paraId="18F61225"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35</m:t>
                    </m:r>
                  </m:sub>
                </m:sSub>
              </m:oMath>
            </m:oMathPara>
          </w:p>
        </w:tc>
        <w:tc>
          <w:tcPr>
            <w:tcW w:w="499" w:type="pct"/>
            <w:tcBorders>
              <w:top w:val="nil"/>
              <w:left w:val="nil"/>
              <w:right w:val="nil"/>
            </w:tcBorders>
            <w:vAlign w:val="center"/>
          </w:tcPr>
          <w:p w14:paraId="3322E252"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k</m:t>
                    </m:r>
                  </m:e>
                  <m:sub>
                    <m:r>
                      <w:rPr>
                        <w:rFonts w:ascii="Cambria Math" w:hAnsi="Cambria Math" w:cs="Times New Roman"/>
                        <w:color w:val="000000"/>
                        <w:kern w:val="24"/>
                        <w:sz w:val="15"/>
                        <w:szCs w:val="15"/>
                      </w:rPr>
                      <m:t>36</m:t>
                    </m:r>
                  </m:sub>
                </m:sSub>
              </m:oMath>
            </m:oMathPara>
          </w:p>
        </w:tc>
        <w:tc>
          <w:tcPr>
            <w:tcW w:w="385" w:type="pct"/>
            <w:tcBorders>
              <w:top w:val="nil"/>
              <w:left w:val="nil"/>
              <w:right w:val="nil"/>
            </w:tcBorders>
            <w:vAlign w:val="center"/>
          </w:tcPr>
          <w:p w14:paraId="5C512533" w14:textId="77777777" w:rsidR="00AA43C4" w:rsidRPr="00AA43C4" w:rsidRDefault="002A6075" w:rsidP="00F77551">
            <w:pPr>
              <w:jc w:val="center"/>
              <w:rPr>
                <w:rFonts w:ascii="Times New Roman" w:hAnsi="Times New Roman" w:cs="Times New Roman"/>
                <w:sz w:val="15"/>
                <w:szCs w:val="15"/>
              </w:rPr>
            </w:pPr>
            <m:oMathPara>
              <m:oMath>
                <m:acc>
                  <m:accPr>
                    <m:chr m:val="̃"/>
                    <m:ctrlPr>
                      <w:rPr>
                        <w:rFonts w:ascii="Cambria Math" w:hAnsi="Cambria Math" w:cs="Times New Roman"/>
                        <w:i/>
                        <w:iCs/>
                        <w:color w:val="000000"/>
                        <w:kern w:val="24"/>
                        <w:sz w:val="15"/>
                        <w:szCs w:val="15"/>
                      </w:rPr>
                    </m:ctrlPr>
                  </m:accPr>
                  <m:e>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f</m:t>
                        </m:r>
                      </m:e>
                      <m:sub>
                        <m:r>
                          <w:rPr>
                            <w:rFonts w:ascii="Cambria Math" w:hAnsi="Cambria Math" w:cs="Times New Roman"/>
                            <w:color w:val="000000"/>
                            <w:kern w:val="24"/>
                            <w:sz w:val="15"/>
                            <w:szCs w:val="15"/>
                          </w:rPr>
                          <m:t>3</m:t>
                        </m:r>
                      </m:sub>
                    </m:sSub>
                  </m:e>
                </m:acc>
              </m:oMath>
            </m:oMathPara>
          </w:p>
        </w:tc>
        <w:tc>
          <w:tcPr>
            <w:tcW w:w="330" w:type="pct"/>
            <w:tcBorders>
              <w:top w:val="nil"/>
              <w:left w:val="nil"/>
            </w:tcBorders>
            <w:vAlign w:val="center"/>
          </w:tcPr>
          <w:p w14:paraId="300D0552"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X</m:t>
                    </m:r>
                  </m:e>
                  <m:sub>
                    <m:r>
                      <w:rPr>
                        <w:rFonts w:ascii="Cambria Math" w:hAnsi="Cambria Math" w:cs="Times New Roman"/>
                        <w:color w:val="000000"/>
                        <w:kern w:val="24"/>
                        <w:sz w:val="15"/>
                        <w:szCs w:val="15"/>
                      </w:rPr>
                      <m:t>3</m:t>
                    </m:r>
                  </m:sub>
                </m:sSub>
              </m:oMath>
            </m:oMathPara>
          </w:p>
        </w:tc>
      </w:tr>
      <w:tr w:rsidR="00AA43C4" w:rsidRPr="00AA43C4" w14:paraId="7C106B52" w14:textId="77777777" w:rsidTr="00A70DFF">
        <w:tc>
          <w:tcPr>
            <w:tcW w:w="480" w:type="pct"/>
            <w:vAlign w:val="center"/>
          </w:tcPr>
          <w:p w14:paraId="406E15A5" w14:textId="77777777" w:rsidR="00AA43C4" w:rsidRPr="00AA43C4" w:rsidRDefault="00AA43C4" w:rsidP="00F77551">
            <w:pPr>
              <w:jc w:val="center"/>
              <w:rPr>
                <w:rFonts w:ascii="Times New Roman" w:hAnsi="Times New Roman" w:cs="Times New Roman"/>
                <w:sz w:val="15"/>
                <w:szCs w:val="15"/>
              </w:rPr>
            </w:pPr>
            <w:r w:rsidRPr="00AA43C4">
              <w:rPr>
                <w:rFonts w:ascii="Times New Roman" w:hAnsi="Times New Roman" w:cs="Times New Roman"/>
                <w:sz w:val="15"/>
                <w:szCs w:val="15"/>
              </w:rPr>
              <w:t>Added</w:t>
            </w:r>
          </w:p>
        </w:tc>
        <w:tc>
          <w:tcPr>
            <w:tcW w:w="395" w:type="pct"/>
            <w:tcBorders>
              <w:bottom w:val="single" w:sz="4" w:space="0" w:color="auto"/>
              <w:right w:val="nil"/>
            </w:tcBorders>
            <w:vAlign w:val="center"/>
          </w:tcPr>
          <w:p w14:paraId="5A4123FF"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Z</m:t>
                    </m:r>
                  </m:e>
                  <m:sub>
                    <m:r>
                      <w:rPr>
                        <w:rFonts w:ascii="Cambria Math" w:hAnsi="Cambria Math" w:cs="Times New Roman"/>
                        <w:color w:val="000000"/>
                        <w:kern w:val="24"/>
                        <w:sz w:val="15"/>
                        <w:szCs w:val="15"/>
                      </w:rPr>
                      <m:t>1</m:t>
                    </m:r>
                  </m:sub>
                </m:sSub>
              </m:oMath>
            </m:oMathPara>
          </w:p>
        </w:tc>
        <w:tc>
          <w:tcPr>
            <w:tcW w:w="480" w:type="pct"/>
            <w:tcBorders>
              <w:left w:val="nil"/>
              <w:bottom w:val="single" w:sz="4" w:space="0" w:color="auto"/>
              <w:right w:val="nil"/>
            </w:tcBorders>
            <w:vAlign w:val="center"/>
          </w:tcPr>
          <w:p w14:paraId="100ECB4D"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Z</m:t>
                    </m:r>
                  </m:e>
                  <m:sub>
                    <m:r>
                      <w:rPr>
                        <w:rFonts w:ascii="Cambria Math" w:hAnsi="Cambria Math" w:cs="Times New Roman"/>
                        <w:color w:val="000000"/>
                        <w:kern w:val="24"/>
                        <w:sz w:val="15"/>
                        <w:szCs w:val="15"/>
                      </w:rPr>
                      <m:t>2</m:t>
                    </m:r>
                  </m:sub>
                </m:sSub>
              </m:oMath>
            </m:oMathPara>
          </w:p>
        </w:tc>
        <w:tc>
          <w:tcPr>
            <w:tcW w:w="395" w:type="pct"/>
            <w:tcBorders>
              <w:left w:val="nil"/>
              <w:bottom w:val="single" w:sz="4" w:space="0" w:color="auto"/>
            </w:tcBorders>
            <w:vAlign w:val="center"/>
          </w:tcPr>
          <w:p w14:paraId="2299FE66" w14:textId="77777777" w:rsidR="00AA43C4" w:rsidRPr="00AA43C4" w:rsidRDefault="002A6075" w:rsidP="00F77551">
            <w:pPr>
              <w:jc w:val="center"/>
              <w:rPr>
                <w:rFonts w:ascii="Times New Roman" w:hAnsi="Times New Roman" w:cs="Times New Roman"/>
                <w:sz w:val="15"/>
                <w:szCs w:val="15"/>
              </w:rPr>
            </w:pPr>
            <m:oMathPara>
              <m:oMath>
                <m:sSub>
                  <m:sSubPr>
                    <m:ctrlPr>
                      <w:rPr>
                        <w:rFonts w:ascii="Cambria Math" w:hAnsi="Cambria Math" w:cs="Times New Roman"/>
                        <w:i/>
                        <w:iCs/>
                        <w:color w:val="000000"/>
                        <w:kern w:val="24"/>
                        <w:sz w:val="15"/>
                        <w:szCs w:val="15"/>
                      </w:rPr>
                    </m:ctrlPr>
                  </m:sSubPr>
                  <m:e>
                    <m:r>
                      <w:rPr>
                        <w:rFonts w:ascii="Cambria Math" w:hAnsi="Cambria Math" w:cs="Times New Roman"/>
                        <w:color w:val="000000"/>
                        <w:kern w:val="24"/>
                        <w:sz w:val="15"/>
                        <w:szCs w:val="15"/>
                      </w:rPr>
                      <m:t>Z</m:t>
                    </m:r>
                  </m:e>
                  <m:sub>
                    <m:r>
                      <w:rPr>
                        <w:rFonts w:ascii="Cambria Math" w:hAnsi="Cambria Math" w:cs="Times New Roman"/>
                        <w:color w:val="000000"/>
                        <w:kern w:val="24"/>
                        <w:sz w:val="15"/>
                        <w:szCs w:val="15"/>
                      </w:rPr>
                      <m:t>3</m:t>
                    </m:r>
                  </m:sub>
                </m:sSub>
              </m:oMath>
            </m:oMathPara>
          </w:p>
        </w:tc>
        <w:tc>
          <w:tcPr>
            <w:tcW w:w="3250" w:type="pct"/>
            <w:gridSpan w:val="8"/>
            <w:vAlign w:val="center"/>
          </w:tcPr>
          <w:p w14:paraId="08C15617" w14:textId="77777777" w:rsidR="00AA43C4" w:rsidRPr="00AA43C4" w:rsidRDefault="00AA43C4" w:rsidP="00F77551">
            <w:pPr>
              <w:jc w:val="center"/>
              <w:rPr>
                <w:rFonts w:ascii="Times New Roman" w:hAnsi="Times New Roman" w:cs="Times New Roman"/>
                <w:sz w:val="15"/>
                <w:szCs w:val="15"/>
              </w:rPr>
            </w:pPr>
          </w:p>
        </w:tc>
      </w:tr>
    </w:tbl>
    <w:p w14:paraId="26EB2357" w14:textId="77777777" w:rsidR="00A70DFF" w:rsidRDefault="00A70DFF" w:rsidP="00A70DFF">
      <w:pPr>
        <w:rPr>
          <w:rFonts w:ascii="Palatino Linotype" w:hAnsi="Palatino Linotype"/>
          <w:sz w:val="22"/>
        </w:rPr>
      </w:pPr>
    </w:p>
    <w:p w14:paraId="46E0FE50" w14:textId="30D64393" w:rsidR="00A70DFF" w:rsidRPr="00A70DFF" w:rsidRDefault="00A70DFF" w:rsidP="00A70DFF">
      <w:pPr>
        <w:pStyle w:val="TESupportingInformation"/>
        <w:ind w:firstLine="0"/>
      </w:pPr>
      <w:r w:rsidRPr="00A70DFF">
        <w:t>The above table satisfies the row-wise and column-wise input-output balance equations.</w:t>
      </w:r>
    </w:p>
    <w:p w14:paraId="40892F56" w14:textId="77777777" w:rsidR="00A70DFF" w:rsidRPr="00A70DFF" w:rsidRDefault="002A6075" w:rsidP="00A70DFF">
      <w:pPr>
        <w:pStyle w:val="TESupportingInformation"/>
      </w:pPr>
      <m:oMath>
        <m:nary>
          <m:naryPr>
            <m:chr m:val="∑"/>
            <m:ctrlPr>
              <w:rPr>
                <w:rFonts w:ascii="Cambria Math" w:hAnsi="Cambria Math"/>
                <w:i/>
                <w:iCs/>
              </w:rPr>
            </m:ctrlPr>
          </m:naryPr>
          <m:sub>
            <m:r>
              <w:rPr>
                <w:rFonts w:ascii="Cambria Math" w:hAnsi="Cambria Math"/>
              </w:rPr>
              <m:t>j=1</m:t>
            </m:r>
          </m:sub>
          <m:sup>
            <m:r>
              <w:rPr>
                <w:rFonts w:ascii="Cambria Math" w:hAnsi="Cambria Math"/>
              </w:rPr>
              <m:t>3</m:t>
            </m:r>
          </m:sup>
          <m:e>
            <m:sSub>
              <m:sSubPr>
                <m:ctrlPr>
                  <w:rPr>
                    <w:rFonts w:ascii="Cambria Math" w:hAnsi="Cambria Math"/>
                    <w:i/>
                    <w:iCs/>
                  </w:rPr>
                </m:ctrlPr>
              </m:sSubPr>
              <m:e>
                <m:r>
                  <w:rPr>
                    <w:rFonts w:ascii="Cambria Math" w:hAnsi="Cambria Math"/>
                  </w:rPr>
                  <m:t>a</m:t>
                </m:r>
              </m:e>
              <m:sub>
                <m:r>
                  <w:rPr>
                    <w:rFonts w:ascii="Cambria Math" w:hAnsi="Cambria Math"/>
                  </w:rPr>
                  <m:t>ij</m:t>
                </m:r>
              </m:sub>
            </m:sSub>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j=1</m:t>
                </m:r>
              </m:sub>
              <m:sup>
                <m:r>
                  <w:rPr>
                    <w:rFonts w:ascii="Cambria Math" w:hAnsi="Cambria Math"/>
                  </w:rPr>
                  <m:t>3</m:t>
                </m:r>
              </m:sup>
              <m:e>
                <m:sSub>
                  <m:sSubPr>
                    <m:ctrlPr>
                      <w:rPr>
                        <w:rFonts w:ascii="Cambria Math" w:hAnsi="Cambria Math"/>
                        <w:i/>
                        <w:iCs/>
                      </w:rPr>
                    </m:ctrlPr>
                  </m:sSubPr>
                  <m:e>
                    <m:r>
                      <w:rPr>
                        <w:rFonts w:ascii="Cambria Math" w:hAnsi="Cambria Math"/>
                      </w:rPr>
                      <m:t>k</m:t>
                    </m:r>
                  </m:e>
                  <m:sub>
                    <m:r>
                      <w:rPr>
                        <w:rFonts w:ascii="Cambria Math" w:hAnsi="Cambria Math"/>
                      </w:rPr>
                      <m:t>ij</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f</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e>
            </m:nary>
          </m:e>
        </m:nary>
      </m:oMath>
      <w:r w:rsidR="00A70DFF" w:rsidRPr="00A70DFF">
        <w:rPr>
          <w:iCs/>
        </w:rPr>
        <w:t xml:space="preserve">    (1)</w:t>
      </w:r>
    </w:p>
    <w:p w14:paraId="69E9BBC6" w14:textId="77777777" w:rsidR="00A70DFF" w:rsidRPr="00A70DFF" w:rsidRDefault="002A6075" w:rsidP="00A70DFF">
      <w:pPr>
        <w:pStyle w:val="TESupportingInformation"/>
        <w:rPr>
          <w:iCs/>
        </w:rPr>
      </w:pPr>
      <m:oMath>
        <m:nary>
          <m:naryPr>
            <m:chr m:val="∑"/>
            <m:ctrlPr>
              <w:rPr>
                <w:rFonts w:ascii="Cambria Math" w:hAnsi="Cambria Math"/>
                <w:i/>
                <w:iCs/>
              </w:rPr>
            </m:ctrlPr>
          </m:naryPr>
          <m:sub>
            <m:r>
              <w:rPr>
                <w:rFonts w:ascii="Cambria Math" w:hAnsi="Cambria Math"/>
              </w:rPr>
              <m:t>i=1</m:t>
            </m:r>
          </m:sub>
          <m:sup>
            <m:r>
              <w:rPr>
                <w:rFonts w:ascii="Cambria Math" w:hAnsi="Cambria Math"/>
              </w:rPr>
              <m:t>3</m:t>
            </m:r>
          </m:sup>
          <m:e>
            <m:sSub>
              <m:sSubPr>
                <m:ctrlPr>
                  <w:rPr>
                    <w:rFonts w:ascii="Cambria Math" w:hAnsi="Cambria Math"/>
                    <w:i/>
                    <w:iCs/>
                  </w:rPr>
                </m:ctrlPr>
              </m:sSubPr>
              <m:e>
                <m:r>
                  <w:rPr>
                    <w:rFonts w:ascii="Cambria Math" w:hAnsi="Cambria Math"/>
                  </w:rPr>
                  <m:t>a</m:t>
                </m:r>
              </m:e>
              <m:sub>
                <m:r>
                  <w:rPr>
                    <w:rFonts w:ascii="Cambria Math" w:hAnsi="Cambria Math"/>
                  </w:rPr>
                  <m:t>ij</m:t>
                </m:r>
              </m:sub>
            </m:sSub>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nary>
      </m:oMath>
      <w:r w:rsidR="00A70DFF" w:rsidRPr="00A70DFF">
        <w:rPr>
          <w:iCs/>
        </w:rPr>
        <w:t xml:space="preserve">       (2)</w:t>
      </w:r>
    </w:p>
    <w:p w14:paraId="752A8D92" w14:textId="1CB10697" w:rsidR="00A65961" w:rsidRPr="00341469" w:rsidRDefault="00A70DFF" w:rsidP="00037F83">
      <w:pPr>
        <w:pStyle w:val="TESupportingInformation"/>
        <w:ind w:firstLine="0"/>
        <w:rPr>
          <w:lang w:eastAsia="zh-CN"/>
        </w:rPr>
      </w:pPr>
      <w:r w:rsidRPr="00A70DFF">
        <w:rPr>
          <w:iCs/>
        </w:rPr>
        <w:lastRenderedPageBreak/>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A70DFF">
        <w:t xml:space="preserve">, in which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A70DFF">
        <w:t xml:space="preserve"> represents the intersectoral monetary flows from sector </w:t>
      </w:r>
      <w:r w:rsidRPr="00A70DFF">
        <w:rPr>
          <w:i/>
          <w:iCs/>
        </w:rPr>
        <w:t>i</w:t>
      </w:r>
      <w:r w:rsidRPr="00A70DFF">
        <w:t xml:space="preserve"> to sector </w:t>
      </w:r>
      <w:r w:rsidRPr="00A70DFF">
        <w:rPr>
          <w:i/>
          <w:iCs/>
        </w:rPr>
        <w:t>j</w:t>
      </w:r>
      <w:r w:rsidRPr="00A70DFF">
        <w:t xml:space="preserve">, </w:t>
      </w:r>
      <m:oMath>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oMath>
      <w:r w:rsidRPr="00A70DFF">
        <w:rPr>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70DFF">
        <w:rPr>
          <w:iCs/>
        </w:rPr>
        <w:t xml:space="preserve"> are the total output of sector </w:t>
      </w:r>
      <w:r w:rsidRPr="00A70DFF">
        <w:rPr>
          <w:i/>
          <w:iCs/>
        </w:rPr>
        <w:t>j</w:t>
      </w:r>
      <w:r w:rsidRPr="00A70DFF">
        <w:rPr>
          <w:iCs/>
        </w:rPr>
        <w:t xml:space="preserve"> and </w:t>
      </w:r>
      <w:r w:rsidRPr="00A70DFF">
        <w:rPr>
          <w:i/>
          <w:iCs/>
        </w:rPr>
        <w:t>i</w:t>
      </w:r>
      <w:r w:rsidRPr="00A70DFF">
        <w:rPr>
          <w:iCs/>
        </w:rPr>
        <w:t>.</w:t>
      </w:r>
      <w:r w:rsidRPr="00A70DFF">
        <w:rPr>
          <w:i/>
          <w:iCs/>
        </w:rPr>
        <w:t xml:space="preserve"> </w:t>
      </w:r>
      <m:oMath>
        <m:sSub>
          <m:sSubPr>
            <m:ctrlPr>
              <w:rPr>
                <w:rFonts w:ascii="Cambria Math" w:hAnsi="Cambria Math"/>
                <w:i/>
                <w:iCs/>
              </w:rPr>
            </m:ctrlPr>
          </m:sSubPr>
          <m:e>
            <m:r>
              <w:rPr>
                <w:rFonts w:ascii="Cambria Math" w:hAnsi="Cambria Math"/>
              </w:rPr>
              <m:t>k</m:t>
            </m:r>
          </m:e>
          <m:sub>
            <m:r>
              <w:rPr>
                <w:rFonts w:ascii="Cambria Math" w:hAnsi="Cambria Math"/>
              </w:rPr>
              <m:t>ij</m:t>
            </m:r>
          </m:sub>
        </m:sSub>
      </m:oMath>
      <w:r w:rsidRPr="00A70DFF">
        <w:rPr>
          <w:rFonts w:eastAsia="楷体"/>
        </w:rPr>
        <w:t xml:space="preserve"> is</w:t>
      </w:r>
      <w:r w:rsidRPr="00A70DFF">
        <w:t xml:space="preserve"> </w:t>
      </w:r>
      <w:r w:rsidRPr="00A70DFF">
        <w:rPr>
          <w:rFonts w:eastAsia="楷体"/>
        </w:rPr>
        <w:t xml:space="preserve">the amount of investment goods used by sector </w:t>
      </w:r>
      <w:r w:rsidRPr="00A70DFF">
        <w:rPr>
          <w:rFonts w:eastAsia="楷体"/>
          <w:i/>
        </w:rPr>
        <w:t>i</w:t>
      </w:r>
      <w:r w:rsidRPr="00A70DFF">
        <w:rPr>
          <w:rFonts w:eastAsia="楷体"/>
        </w:rPr>
        <w:t xml:space="preserve"> to meet the expanded production needs of sector </w:t>
      </w:r>
      <w:r w:rsidRPr="00A70DFF">
        <w:rPr>
          <w:rFonts w:eastAsia="楷体"/>
          <w:i/>
        </w:rPr>
        <w:t>j</w:t>
      </w:r>
      <w:r w:rsidRPr="00A70DFF">
        <w:rPr>
          <w:rFonts w:eastAsia="楷体"/>
        </w:rPr>
        <w:t>,</w:t>
      </w:r>
      <w:r w:rsidRPr="00A70DFF">
        <w:rPr>
          <w:i/>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i</m:t>
                </m:r>
              </m:sub>
            </m:sSub>
          </m:e>
        </m:acc>
      </m:oMath>
      <w:r w:rsidRPr="00A70DFF">
        <w:t xml:space="preserve"> represents the amount of product in sector </w:t>
      </w:r>
      <w:r w:rsidRPr="00A70DFF">
        <w:rPr>
          <w:i/>
        </w:rPr>
        <w:t>i</w:t>
      </w:r>
      <w:r w:rsidRPr="00A70DFF">
        <w:t xml:space="preserve"> used as final net product, and</w:t>
      </w:r>
      <w:r w:rsidRPr="00A70DFF">
        <w:rPr>
          <w:i/>
          <w:iCs/>
        </w:rPr>
        <w:t xml:space="preserve"> </w:t>
      </w:r>
      <m:oMath>
        <m:sSub>
          <m:sSubPr>
            <m:ctrlPr>
              <w:rPr>
                <w:rFonts w:ascii="Cambria Math" w:hAnsi="Cambria Math"/>
                <w:i/>
                <w:iCs/>
              </w:rPr>
            </m:ctrlPr>
          </m:sSubPr>
          <m:e>
            <m:r>
              <w:rPr>
                <w:rFonts w:ascii="Cambria Math" w:hAnsi="Cambria Math"/>
              </w:rPr>
              <m:t>z</m:t>
            </m:r>
          </m:e>
          <m:sub>
            <m:r>
              <w:rPr>
                <w:rFonts w:ascii="Cambria Math" w:hAnsi="Cambria Math"/>
              </w:rPr>
              <m:t>j</m:t>
            </m:r>
          </m:sub>
        </m:sSub>
      </m:oMath>
      <w:r w:rsidRPr="00A70DFF">
        <w:t xml:space="preserve"> is the value added of sector </w:t>
      </w:r>
      <w:r w:rsidRPr="00A70DFF">
        <w:rPr>
          <w:i/>
          <w:iCs/>
        </w:rPr>
        <w:t>j</w:t>
      </w:r>
      <w:r w:rsidRPr="00A70DFF">
        <w:t>.</w:t>
      </w:r>
    </w:p>
    <w:p w14:paraId="0775C8F9" w14:textId="4E568B06" w:rsidR="00F06A9C" w:rsidRDefault="00DB7905" w:rsidP="00F06A9C">
      <w:pPr>
        <w:rPr>
          <w:b/>
          <w:bCs/>
          <w:sz w:val="28"/>
          <w:szCs w:val="28"/>
          <w:lang w:eastAsia="zh-CN"/>
        </w:rPr>
      </w:pPr>
      <w:r w:rsidRPr="00341469">
        <w:rPr>
          <w:rFonts w:hint="eastAsia"/>
          <w:b/>
          <w:bCs/>
          <w:sz w:val="28"/>
          <w:szCs w:val="28"/>
          <w:lang w:eastAsia="zh-CN"/>
        </w:rPr>
        <w:t>S</w:t>
      </w:r>
      <w:r w:rsidR="0062030E">
        <w:rPr>
          <w:b/>
          <w:bCs/>
          <w:sz w:val="28"/>
          <w:szCs w:val="28"/>
          <w:lang w:eastAsia="zh-CN"/>
        </w:rPr>
        <w:t>3</w:t>
      </w:r>
      <w:r w:rsidRPr="00341469">
        <w:rPr>
          <w:b/>
          <w:bCs/>
          <w:sz w:val="28"/>
          <w:szCs w:val="28"/>
          <w:lang w:eastAsia="zh-CN"/>
        </w:rPr>
        <w:t>:</w:t>
      </w:r>
      <w:r w:rsidR="00341469" w:rsidRPr="00341469">
        <w:rPr>
          <w:b/>
          <w:bCs/>
          <w:sz w:val="28"/>
          <w:szCs w:val="28"/>
          <w:lang w:eastAsia="zh-CN"/>
        </w:rPr>
        <w:t xml:space="preserve"> Data Sources</w:t>
      </w:r>
    </w:p>
    <w:p w14:paraId="4DF78B72" w14:textId="41129F5F" w:rsidR="00CD3DC5" w:rsidRPr="00CD3DC5" w:rsidRDefault="00CD3DC5" w:rsidP="00CD3DC5">
      <w:pPr>
        <w:rPr>
          <w:rFonts w:ascii="Times New Roman" w:hAnsi="Times New Roman"/>
          <w:szCs w:val="24"/>
        </w:rPr>
      </w:pPr>
      <w:r w:rsidRPr="00CD3DC5">
        <w:rPr>
          <w:rFonts w:ascii="Times New Roman" w:hAnsi="Times New Roman"/>
          <w:szCs w:val="24"/>
        </w:rPr>
        <w:t>Table S</w:t>
      </w:r>
      <w:r w:rsidR="0062030E">
        <w:rPr>
          <w:rFonts w:ascii="Times New Roman" w:hAnsi="Times New Roman"/>
          <w:szCs w:val="24"/>
        </w:rPr>
        <w:t>3</w:t>
      </w:r>
      <w:r w:rsidR="00CE60DD">
        <w:rPr>
          <w:rFonts w:ascii="Times New Roman" w:hAnsi="Times New Roman"/>
          <w:szCs w:val="24"/>
        </w:rPr>
        <w:t>.</w:t>
      </w:r>
      <w:r w:rsidRPr="00CD3DC5">
        <w:rPr>
          <w:rFonts w:ascii="Times New Roman" w:hAnsi="Times New Roman"/>
          <w:szCs w:val="24"/>
        </w:rPr>
        <w:t xml:space="preserve"> Data Sources</w:t>
      </w:r>
    </w:p>
    <w:tbl>
      <w:tblPr>
        <w:tblStyle w:val="ac"/>
        <w:tblW w:w="9154" w:type="dxa"/>
        <w:tblLook w:val="04A0" w:firstRow="1" w:lastRow="0" w:firstColumn="1" w:lastColumn="0" w:noHBand="0" w:noVBand="1"/>
      </w:tblPr>
      <w:tblGrid>
        <w:gridCol w:w="1019"/>
        <w:gridCol w:w="3391"/>
        <w:gridCol w:w="1116"/>
        <w:gridCol w:w="3628"/>
      </w:tblGrid>
      <w:tr w:rsidR="00CD3DC5" w:rsidRPr="00CD3DC5" w14:paraId="4E6FECE1" w14:textId="77777777" w:rsidTr="00037F83">
        <w:trPr>
          <w:trHeight w:val="170"/>
        </w:trPr>
        <w:tc>
          <w:tcPr>
            <w:tcW w:w="1019" w:type="dxa"/>
            <w:vAlign w:val="center"/>
          </w:tcPr>
          <w:p w14:paraId="2CAD7630" w14:textId="77777777" w:rsidR="00CD3DC5" w:rsidRPr="00A65961" w:rsidRDefault="00CD3DC5" w:rsidP="00F77551">
            <w:pPr>
              <w:jc w:val="center"/>
              <w:rPr>
                <w:rFonts w:ascii="Times New Roman" w:hAnsi="Times New Roman" w:cs="Times New Roman"/>
                <w:b/>
                <w:sz w:val="18"/>
                <w:szCs w:val="18"/>
              </w:rPr>
            </w:pPr>
            <w:r w:rsidRPr="00A65961">
              <w:rPr>
                <w:rFonts w:ascii="Times New Roman" w:hAnsi="Times New Roman" w:cs="Times New Roman"/>
                <w:b/>
                <w:sz w:val="18"/>
                <w:szCs w:val="18"/>
              </w:rPr>
              <w:t>Demand</w:t>
            </w:r>
          </w:p>
        </w:tc>
        <w:tc>
          <w:tcPr>
            <w:tcW w:w="3391" w:type="dxa"/>
            <w:vAlign w:val="center"/>
          </w:tcPr>
          <w:p w14:paraId="159BDB91" w14:textId="77777777" w:rsidR="00CD3DC5" w:rsidRPr="00A65961" w:rsidRDefault="00CD3DC5" w:rsidP="00F77551">
            <w:pPr>
              <w:jc w:val="center"/>
              <w:rPr>
                <w:rFonts w:ascii="Times New Roman" w:hAnsi="Times New Roman" w:cs="Times New Roman"/>
                <w:b/>
                <w:sz w:val="18"/>
                <w:szCs w:val="18"/>
              </w:rPr>
            </w:pPr>
            <w:r w:rsidRPr="00A65961">
              <w:rPr>
                <w:rFonts w:ascii="Times New Roman" w:hAnsi="Times New Roman" w:cs="Times New Roman"/>
                <w:b/>
                <w:sz w:val="18"/>
                <w:szCs w:val="18"/>
              </w:rPr>
              <w:t>Data Categories</w:t>
            </w:r>
          </w:p>
        </w:tc>
        <w:tc>
          <w:tcPr>
            <w:tcW w:w="1116" w:type="dxa"/>
            <w:vAlign w:val="center"/>
          </w:tcPr>
          <w:p w14:paraId="17431222" w14:textId="77777777" w:rsidR="00CD3DC5" w:rsidRPr="00A65961" w:rsidRDefault="00CD3DC5" w:rsidP="00F77551">
            <w:pPr>
              <w:jc w:val="center"/>
              <w:rPr>
                <w:rFonts w:ascii="Times New Roman" w:hAnsi="Times New Roman" w:cs="Times New Roman"/>
                <w:b/>
                <w:sz w:val="18"/>
                <w:szCs w:val="18"/>
              </w:rPr>
            </w:pPr>
            <w:r w:rsidRPr="00A65961">
              <w:rPr>
                <w:rFonts w:ascii="Times New Roman" w:hAnsi="Times New Roman" w:cs="Times New Roman"/>
                <w:b/>
                <w:sz w:val="18"/>
                <w:szCs w:val="18"/>
              </w:rPr>
              <w:t>Time(Year)</w:t>
            </w:r>
          </w:p>
        </w:tc>
        <w:tc>
          <w:tcPr>
            <w:tcW w:w="3628" w:type="dxa"/>
            <w:vAlign w:val="center"/>
          </w:tcPr>
          <w:p w14:paraId="031B6EA2" w14:textId="77777777" w:rsidR="00CD3DC5" w:rsidRPr="00A65961" w:rsidRDefault="00CD3DC5" w:rsidP="00F77551">
            <w:pPr>
              <w:jc w:val="center"/>
              <w:rPr>
                <w:rFonts w:ascii="Times New Roman" w:hAnsi="Times New Roman" w:cs="Times New Roman"/>
                <w:b/>
                <w:sz w:val="18"/>
                <w:szCs w:val="18"/>
              </w:rPr>
            </w:pPr>
            <w:r w:rsidRPr="00A65961">
              <w:rPr>
                <w:rFonts w:ascii="Times New Roman" w:hAnsi="Times New Roman" w:cs="Times New Roman"/>
                <w:b/>
                <w:sz w:val="18"/>
                <w:szCs w:val="18"/>
              </w:rPr>
              <w:t>Sources</w:t>
            </w:r>
          </w:p>
        </w:tc>
      </w:tr>
      <w:tr w:rsidR="00CD3DC5" w:rsidRPr="00CD3DC5" w14:paraId="4EB74B53" w14:textId="77777777" w:rsidTr="00037F83">
        <w:trPr>
          <w:trHeight w:val="170"/>
        </w:trPr>
        <w:tc>
          <w:tcPr>
            <w:tcW w:w="1019" w:type="dxa"/>
            <w:vMerge w:val="restart"/>
            <w:vAlign w:val="center"/>
          </w:tcPr>
          <w:p w14:paraId="36DF5E24"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Economy</w:t>
            </w:r>
          </w:p>
        </w:tc>
        <w:tc>
          <w:tcPr>
            <w:tcW w:w="3391" w:type="dxa"/>
            <w:vAlign w:val="center"/>
          </w:tcPr>
          <w:p w14:paraId="322B52DC"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Input-Output Table</w:t>
            </w:r>
          </w:p>
        </w:tc>
        <w:tc>
          <w:tcPr>
            <w:tcW w:w="1116" w:type="dxa"/>
            <w:vAlign w:val="center"/>
          </w:tcPr>
          <w:p w14:paraId="43169C36"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2017</w:t>
            </w:r>
          </w:p>
        </w:tc>
        <w:tc>
          <w:tcPr>
            <w:tcW w:w="3628" w:type="dxa"/>
            <w:vAlign w:val="center"/>
          </w:tcPr>
          <w:p w14:paraId="557398BC" w14:textId="5A5386C8" w:rsidR="00CD3DC5" w:rsidRPr="00A65961" w:rsidRDefault="00120D2B" w:rsidP="00F77551">
            <w:pPr>
              <w:jc w:val="left"/>
              <w:rPr>
                <w:rFonts w:ascii="Times New Roman" w:hAnsi="Times New Roman" w:cs="Times New Roman"/>
                <w:sz w:val="18"/>
                <w:szCs w:val="18"/>
              </w:rPr>
            </w:pPr>
            <w:r>
              <w:rPr>
                <w:rFonts w:ascii="Times New Roman" w:hAnsi="Times New Roman" w:cs="Times New Roman"/>
                <w:sz w:val="18"/>
                <w:szCs w:val="18"/>
              </w:rPr>
              <w:t>(Chinese Input-Output Associatioon) CIOA</w:t>
            </w:r>
            <w:r w:rsidR="00190FD3">
              <w:rPr>
                <w:rFonts w:ascii="Times New Roman" w:hAnsi="Times New Roman" w:cs="Times New Roman"/>
                <w:sz w:val="18"/>
                <w:szCs w:val="18"/>
              </w:rPr>
              <w:t xml:space="preserve"> [1]</w:t>
            </w:r>
          </w:p>
        </w:tc>
      </w:tr>
      <w:tr w:rsidR="00CD3DC5" w:rsidRPr="00CD3DC5" w14:paraId="33BA2EF1" w14:textId="77777777" w:rsidTr="00037F83">
        <w:trPr>
          <w:trHeight w:val="227"/>
        </w:trPr>
        <w:tc>
          <w:tcPr>
            <w:tcW w:w="1019" w:type="dxa"/>
            <w:vMerge/>
            <w:vAlign w:val="center"/>
          </w:tcPr>
          <w:p w14:paraId="68D17FA0" w14:textId="77777777" w:rsidR="00CD3DC5" w:rsidRPr="00A65961" w:rsidRDefault="00CD3DC5" w:rsidP="00F77551">
            <w:pPr>
              <w:jc w:val="left"/>
              <w:rPr>
                <w:rFonts w:ascii="Times New Roman" w:hAnsi="Times New Roman" w:cs="Times New Roman"/>
                <w:sz w:val="18"/>
                <w:szCs w:val="18"/>
              </w:rPr>
            </w:pPr>
          </w:p>
        </w:tc>
        <w:tc>
          <w:tcPr>
            <w:tcW w:w="3391" w:type="dxa"/>
            <w:vAlign w:val="center"/>
          </w:tcPr>
          <w:p w14:paraId="4819FA1C"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GDP, Industry Added- Value</w:t>
            </w:r>
          </w:p>
        </w:tc>
        <w:tc>
          <w:tcPr>
            <w:tcW w:w="1116" w:type="dxa"/>
            <w:vAlign w:val="center"/>
          </w:tcPr>
          <w:p w14:paraId="279CEDF9"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2000-2019</w:t>
            </w:r>
          </w:p>
        </w:tc>
        <w:tc>
          <w:tcPr>
            <w:tcW w:w="3628" w:type="dxa"/>
            <w:vAlign w:val="center"/>
          </w:tcPr>
          <w:p w14:paraId="4A622F37" w14:textId="51667FE5"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China Statistical Yearbook 2020</w:t>
            </w:r>
            <w:r w:rsidR="00190FD3">
              <w:rPr>
                <w:rFonts w:ascii="Times New Roman" w:hAnsi="Times New Roman" w:cs="Times New Roman"/>
                <w:sz w:val="18"/>
                <w:szCs w:val="18"/>
              </w:rPr>
              <w:t xml:space="preserve"> [2]</w:t>
            </w:r>
          </w:p>
        </w:tc>
      </w:tr>
      <w:tr w:rsidR="00CD3DC5" w:rsidRPr="00CD3DC5" w14:paraId="72DC3145" w14:textId="77777777" w:rsidTr="00037F83">
        <w:tc>
          <w:tcPr>
            <w:tcW w:w="1019" w:type="dxa"/>
            <w:vMerge w:val="restart"/>
            <w:vAlign w:val="center"/>
          </w:tcPr>
          <w:p w14:paraId="08A7A4DA"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Energy</w:t>
            </w:r>
          </w:p>
        </w:tc>
        <w:tc>
          <w:tcPr>
            <w:tcW w:w="3391" w:type="dxa"/>
            <w:vAlign w:val="center"/>
          </w:tcPr>
          <w:p w14:paraId="226BF5BF"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Energy consumption in total and by industry</w:t>
            </w:r>
          </w:p>
        </w:tc>
        <w:tc>
          <w:tcPr>
            <w:tcW w:w="1116" w:type="dxa"/>
            <w:vAlign w:val="center"/>
          </w:tcPr>
          <w:p w14:paraId="22BF5CDB"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2000-2019</w:t>
            </w:r>
          </w:p>
        </w:tc>
        <w:tc>
          <w:tcPr>
            <w:tcW w:w="3628" w:type="dxa"/>
            <w:vAlign w:val="center"/>
          </w:tcPr>
          <w:p w14:paraId="225A0771" w14:textId="64455AD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China Energy Statistics Yearbook 2020</w:t>
            </w:r>
            <w:r w:rsidR="00190FD3">
              <w:rPr>
                <w:rFonts w:ascii="Times New Roman" w:hAnsi="Times New Roman" w:cs="Times New Roman"/>
                <w:sz w:val="18"/>
                <w:szCs w:val="18"/>
              </w:rPr>
              <w:t xml:space="preserve"> [3]</w:t>
            </w:r>
          </w:p>
        </w:tc>
      </w:tr>
      <w:tr w:rsidR="00CD3DC5" w:rsidRPr="00CD3DC5" w14:paraId="415C504F" w14:textId="77777777" w:rsidTr="00037F83">
        <w:trPr>
          <w:trHeight w:val="227"/>
        </w:trPr>
        <w:tc>
          <w:tcPr>
            <w:tcW w:w="1019" w:type="dxa"/>
            <w:vMerge/>
            <w:vAlign w:val="center"/>
          </w:tcPr>
          <w:p w14:paraId="045B1F41" w14:textId="77777777" w:rsidR="00CD3DC5" w:rsidRPr="00A65961" w:rsidRDefault="00CD3DC5" w:rsidP="00F77551">
            <w:pPr>
              <w:jc w:val="left"/>
              <w:rPr>
                <w:rFonts w:ascii="Times New Roman" w:hAnsi="Times New Roman" w:cs="Times New Roman"/>
                <w:sz w:val="18"/>
                <w:szCs w:val="18"/>
              </w:rPr>
            </w:pPr>
          </w:p>
        </w:tc>
        <w:tc>
          <w:tcPr>
            <w:tcW w:w="3391" w:type="dxa"/>
            <w:vAlign w:val="center"/>
          </w:tcPr>
          <w:p w14:paraId="36CAA567"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Energy consumption per capita</w:t>
            </w:r>
          </w:p>
        </w:tc>
        <w:tc>
          <w:tcPr>
            <w:tcW w:w="1116" w:type="dxa"/>
            <w:vAlign w:val="center"/>
          </w:tcPr>
          <w:p w14:paraId="17384161"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2000-2019</w:t>
            </w:r>
          </w:p>
        </w:tc>
        <w:tc>
          <w:tcPr>
            <w:tcW w:w="3628" w:type="dxa"/>
            <w:vAlign w:val="center"/>
          </w:tcPr>
          <w:p w14:paraId="6430DB5C" w14:textId="53BAE476"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BP Statistics review of world energy 2021</w:t>
            </w:r>
            <w:r w:rsidR="00190FD3">
              <w:rPr>
                <w:rFonts w:ascii="Times New Roman" w:hAnsi="Times New Roman" w:cs="Times New Roman"/>
                <w:sz w:val="18"/>
                <w:szCs w:val="18"/>
              </w:rPr>
              <w:t xml:space="preserve"> [4]</w:t>
            </w:r>
          </w:p>
        </w:tc>
      </w:tr>
      <w:tr w:rsidR="00CD3DC5" w:rsidRPr="00CD3DC5" w14:paraId="29587E84" w14:textId="77777777" w:rsidTr="00037F83">
        <w:trPr>
          <w:trHeight w:val="227"/>
        </w:trPr>
        <w:tc>
          <w:tcPr>
            <w:tcW w:w="1019" w:type="dxa"/>
            <w:vMerge/>
            <w:vAlign w:val="center"/>
          </w:tcPr>
          <w:p w14:paraId="0D81B228" w14:textId="77777777" w:rsidR="00CD3DC5" w:rsidRPr="00A65961" w:rsidRDefault="00CD3DC5" w:rsidP="00F77551">
            <w:pPr>
              <w:jc w:val="left"/>
              <w:rPr>
                <w:rFonts w:ascii="Times New Roman" w:hAnsi="Times New Roman" w:cs="Times New Roman"/>
                <w:sz w:val="18"/>
                <w:szCs w:val="18"/>
              </w:rPr>
            </w:pPr>
          </w:p>
        </w:tc>
        <w:tc>
          <w:tcPr>
            <w:tcW w:w="3391" w:type="dxa"/>
            <w:vAlign w:val="center"/>
          </w:tcPr>
          <w:p w14:paraId="439C58A3"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Populations</w:t>
            </w:r>
          </w:p>
        </w:tc>
        <w:tc>
          <w:tcPr>
            <w:tcW w:w="1116" w:type="dxa"/>
            <w:vAlign w:val="center"/>
          </w:tcPr>
          <w:p w14:paraId="60013037"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2020-2060</w:t>
            </w:r>
          </w:p>
        </w:tc>
        <w:tc>
          <w:tcPr>
            <w:tcW w:w="3628" w:type="dxa"/>
            <w:vAlign w:val="center"/>
          </w:tcPr>
          <w:p w14:paraId="28A3A75E" w14:textId="43DB7475"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United Nations Population Division</w:t>
            </w:r>
            <w:r w:rsidR="00190FD3">
              <w:rPr>
                <w:rFonts w:ascii="Times New Roman" w:hAnsi="Times New Roman" w:cs="Times New Roman"/>
                <w:sz w:val="18"/>
                <w:szCs w:val="18"/>
              </w:rPr>
              <w:t xml:space="preserve"> [5]</w:t>
            </w:r>
          </w:p>
        </w:tc>
      </w:tr>
      <w:tr w:rsidR="00CD3DC5" w:rsidRPr="00CD3DC5" w14:paraId="535FECC7" w14:textId="77777777" w:rsidTr="00037F83">
        <w:trPr>
          <w:trHeight w:val="454"/>
        </w:trPr>
        <w:tc>
          <w:tcPr>
            <w:tcW w:w="1019" w:type="dxa"/>
            <w:vAlign w:val="center"/>
          </w:tcPr>
          <w:p w14:paraId="42FA5EBA"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Carbon</w:t>
            </w:r>
          </w:p>
        </w:tc>
        <w:tc>
          <w:tcPr>
            <w:tcW w:w="3391" w:type="dxa"/>
            <w:vAlign w:val="center"/>
          </w:tcPr>
          <w:p w14:paraId="1A10D812"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Carbon Emissions in Total and by Industry</w:t>
            </w:r>
          </w:p>
        </w:tc>
        <w:tc>
          <w:tcPr>
            <w:tcW w:w="1116" w:type="dxa"/>
            <w:vAlign w:val="center"/>
          </w:tcPr>
          <w:p w14:paraId="133DDD7E"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2000-2019</w:t>
            </w:r>
          </w:p>
        </w:tc>
        <w:tc>
          <w:tcPr>
            <w:tcW w:w="3628" w:type="dxa"/>
            <w:vAlign w:val="center"/>
          </w:tcPr>
          <w:p w14:paraId="4766F208" w14:textId="550F946E"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China Carbon Emission Accounting Database (CEADs)</w:t>
            </w:r>
            <w:r w:rsidR="00190FD3">
              <w:rPr>
                <w:rFonts w:ascii="Times New Roman" w:hAnsi="Times New Roman" w:cs="Times New Roman"/>
                <w:sz w:val="18"/>
                <w:szCs w:val="18"/>
              </w:rPr>
              <w:t xml:space="preserve"> [6]</w:t>
            </w:r>
          </w:p>
        </w:tc>
      </w:tr>
      <w:tr w:rsidR="00CD3DC5" w:rsidRPr="00CD3DC5" w14:paraId="1E18E546" w14:textId="77777777" w:rsidTr="00037F83">
        <w:tc>
          <w:tcPr>
            <w:tcW w:w="1019" w:type="dxa"/>
            <w:vMerge w:val="restart"/>
            <w:vAlign w:val="center"/>
          </w:tcPr>
          <w:p w14:paraId="220B8043"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Electricity</w:t>
            </w:r>
          </w:p>
        </w:tc>
        <w:tc>
          <w:tcPr>
            <w:tcW w:w="3391" w:type="dxa"/>
            <w:vAlign w:val="center"/>
          </w:tcPr>
          <w:p w14:paraId="2E444862"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Basic data of different electricity generation technologies: electricity generation capacity, installed capacity</w:t>
            </w:r>
          </w:p>
        </w:tc>
        <w:tc>
          <w:tcPr>
            <w:tcW w:w="1116" w:type="dxa"/>
            <w:vAlign w:val="center"/>
          </w:tcPr>
          <w:p w14:paraId="0C999A5E"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2000-2019</w:t>
            </w:r>
          </w:p>
        </w:tc>
        <w:tc>
          <w:tcPr>
            <w:tcW w:w="3628" w:type="dxa"/>
            <w:vAlign w:val="center"/>
          </w:tcPr>
          <w:p w14:paraId="7BC3B58D" w14:textId="51BE1754"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China Electric Power Yearbook 2020</w:t>
            </w:r>
            <w:r w:rsidR="00190FD3">
              <w:rPr>
                <w:rFonts w:ascii="Times New Roman" w:hAnsi="Times New Roman" w:cs="Times New Roman"/>
                <w:sz w:val="18"/>
                <w:szCs w:val="18"/>
              </w:rPr>
              <w:t xml:space="preserve"> [7]</w:t>
            </w:r>
          </w:p>
        </w:tc>
      </w:tr>
      <w:tr w:rsidR="00CD3DC5" w:rsidRPr="00CD3DC5" w14:paraId="599265BA" w14:textId="77777777" w:rsidTr="00037F83">
        <w:tc>
          <w:tcPr>
            <w:tcW w:w="1019" w:type="dxa"/>
            <w:vMerge/>
            <w:vAlign w:val="center"/>
          </w:tcPr>
          <w:p w14:paraId="3C207C6E" w14:textId="77777777" w:rsidR="00CD3DC5" w:rsidRPr="00A65961" w:rsidRDefault="00CD3DC5" w:rsidP="00F77551">
            <w:pPr>
              <w:jc w:val="left"/>
              <w:rPr>
                <w:rFonts w:ascii="Times New Roman" w:hAnsi="Times New Roman" w:cs="Times New Roman"/>
                <w:sz w:val="18"/>
                <w:szCs w:val="18"/>
              </w:rPr>
            </w:pPr>
          </w:p>
        </w:tc>
        <w:tc>
          <w:tcPr>
            <w:tcW w:w="3391" w:type="dxa"/>
            <w:vAlign w:val="center"/>
          </w:tcPr>
          <w:p w14:paraId="4552652C"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Electricity generation capacity of the different electricity generation technologies</w:t>
            </w:r>
          </w:p>
        </w:tc>
        <w:tc>
          <w:tcPr>
            <w:tcW w:w="1116" w:type="dxa"/>
            <w:vAlign w:val="center"/>
          </w:tcPr>
          <w:p w14:paraId="05002154" w14:textId="77777777"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2020-2050</w:t>
            </w:r>
          </w:p>
        </w:tc>
        <w:tc>
          <w:tcPr>
            <w:tcW w:w="3628" w:type="dxa"/>
            <w:vAlign w:val="center"/>
          </w:tcPr>
          <w:p w14:paraId="710B4CE8" w14:textId="67028170" w:rsidR="00CD3DC5" w:rsidRPr="00A65961" w:rsidRDefault="00CD3DC5" w:rsidP="00F77551">
            <w:pPr>
              <w:jc w:val="left"/>
              <w:rPr>
                <w:rFonts w:ascii="Times New Roman" w:hAnsi="Times New Roman" w:cs="Times New Roman"/>
                <w:sz w:val="18"/>
                <w:szCs w:val="18"/>
              </w:rPr>
            </w:pPr>
            <w:r w:rsidRPr="00A65961">
              <w:rPr>
                <w:rFonts w:ascii="Times New Roman" w:hAnsi="Times New Roman" w:cs="Times New Roman"/>
                <w:sz w:val="18"/>
                <w:szCs w:val="18"/>
              </w:rPr>
              <w:t>International Energy Agency (IEA)</w:t>
            </w:r>
            <w:r w:rsidRPr="00A65961">
              <w:rPr>
                <w:rFonts w:ascii="Times New Roman" w:hAnsi="Times New Roman" w:cs="Times New Roman"/>
                <w:sz w:val="18"/>
                <w:szCs w:val="18"/>
              </w:rPr>
              <w:t>：</w:t>
            </w:r>
            <w:r w:rsidRPr="00A65961">
              <w:rPr>
                <w:rFonts w:ascii="Times New Roman" w:hAnsi="Times New Roman" w:cs="Times New Roman"/>
                <w:sz w:val="18"/>
                <w:szCs w:val="18"/>
              </w:rPr>
              <w:t>World Energy Outlook 2021</w:t>
            </w:r>
            <w:r w:rsidR="00190FD3">
              <w:rPr>
                <w:rFonts w:ascii="Times New Roman" w:hAnsi="Times New Roman" w:cs="Times New Roman"/>
                <w:sz w:val="18"/>
                <w:szCs w:val="18"/>
              </w:rPr>
              <w:t xml:space="preserve"> [8]</w:t>
            </w:r>
          </w:p>
        </w:tc>
      </w:tr>
    </w:tbl>
    <w:p w14:paraId="1749C4D3" w14:textId="77777777" w:rsidR="00A35790" w:rsidRDefault="00A35790" w:rsidP="00CD3DC5">
      <w:pPr>
        <w:rPr>
          <w:rFonts w:ascii="Times New Roman" w:hAnsi="Times New Roman"/>
          <w:szCs w:val="24"/>
        </w:rPr>
      </w:pPr>
    </w:p>
    <w:p w14:paraId="4AC5AE73" w14:textId="662C8DE9" w:rsidR="00CD3DC5" w:rsidRPr="00CD3DC5" w:rsidRDefault="00CD3DC5" w:rsidP="00CD3DC5">
      <w:pPr>
        <w:rPr>
          <w:rFonts w:ascii="Times New Roman" w:hAnsi="Times New Roman"/>
          <w:szCs w:val="24"/>
        </w:rPr>
      </w:pPr>
      <w:r w:rsidRPr="00CD3DC5">
        <w:rPr>
          <w:rFonts w:ascii="Times New Roman" w:hAnsi="Times New Roman"/>
          <w:szCs w:val="24"/>
        </w:rPr>
        <w:t>Table S</w:t>
      </w:r>
      <w:r w:rsidR="0062030E">
        <w:rPr>
          <w:rFonts w:ascii="Times New Roman" w:hAnsi="Times New Roman"/>
          <w:szCs w:val="24"/>
        </w:rPr>
        <w:t>4</w:t>
      </w:r>
      <w:r w:rsidRPr="00CD3DC5">
        <w:rPr>
          <w:rFonts w:ascii="Times New Roman" w:hAnsi="Times New Roman"/>
          <w:szCs w:val="24"/>
        </w:rPr>
        <w:t>. Key data for China of economic, energy and carbon emissions</w:t>
      </w:r>
    </w:p>
    <w:tbl>
      <w:tblPr>
        <w:tblStyle w:val="ac"/>
        <w:tblW w:w="9014" w:type="dxa"/>
        <w:tblLook w:val="04A0" w:firstRow="1" w:lastRow="0" w:firstColumn="1" w:lastColumn="0" w:noHBand="0" w:noVBand="1"/>
      </w:tblPr>
      <w:tblGrid>
        <w:gridCol w:w="1871"/>
        <w:gridCol w:w="741"/>
        <w:gridCol w:w="741"/>
        <w:gridCol w:w="741"/>
        <w:gridCol w:w="846"/>
        <w:gridCol w:w="846"/>
        <w:gridCol w:w="846"/>
        <w:gridCol w:w="794"/>
        <w:gridCol w:w="794"/>
        <w:gridCol w:w="794"/>
      </w:tblGrid>
      <w:tr w:rsidR="00CD3DC5" w:rsidRPr="00CD3DC5" w14:paraId="54CE7457" w14:textId="77777777" w:rsidTr="00F77551">
        <w:tc>
          <w:tcPr>
            <w:tcW w:w="1871" w:type="dxa"/>
            <w:vMerge w:val="restart"/>
            <w:vAlign w:val="center"/>
          </w:tcPr>
          <w:p w14:paraId="1CC2561C" w14:textId="77777777" w:rsidR="00CD3DC5" w:rsidRPr="00CD3DC5" w:rsidRDefault="00CD3DC5" w:rsidP="00F77551">
            <w:pPr>
              <w:ind w:firstLine="420"/>
              <w:jc w:val="center"/>
              <w:rPr>
                <w:rFonts w:ascii="Times New Roman" w:hAnsi="Times New Roman" w:cs="Times New Roman"/>
                <w:b/>
                <w:sz w:val="18"/>
                <w:szCs w:val="18"/>
              </w:rPr>
            </w:pPr>
            <w:r w:rsidRPr="00CD3DC5">
              <w:rPr>
                <w:rFonts w:ascii="Times New Roman" w:hAnsi="Times New Roman" w:cs="Times New Roman"/>
                <w:b/>
                <w:sz w:val="18"/>
                <w:szCs w:val="18"/>
              </w:rPr>
              <w:t>Industry</w:t>
            </w:r>
          </w:p>
        </w:tc>
        <w:tc>
          <w:tcPr>
            <w:tcW w:w="2223" w:type="dxa"/>
            <w:gridSpan w:val="3"/>
            <w:vAlign w:val="center"/>
          </w:tcPr>
          <w:p w14:paraId="666E2BF6"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Added value</w:t>
            </w:r>
          </w:p>
          <w:p w14:paraId="2B997A9F"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(billion CNY)</w:t>
            </w:r>
          </w:p>
        </w:tc>
        <w:tc>
          <w:tcPr>
            <w:tcW w:w="2538" w:type="dxa"/>
            <w:gridSpan w:val="3"/>
            <w:vAlign w:val="center"/>
          </w:tcPr>
          <w:p w14:paraId="3A020213"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Energy consumption</w:t>
            </w:r>
          </w:p>
          <w:p w14:paraId="7A166459"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(Mtce)</w:t>
            </w:r>
          </w:p>
        </w:tc>
        <w:tc>
          <w:tcPr>
            <w:tcW w:w="2382" w:type="dxa"/>
            <w:gridSpan w:val="3"/>
            <w:vAlign w:val="center"/>
          </w:tcPr>
          <w:p w14:paraId="4814952E"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Carbon emission</w:t>
            </w:r>
          </w:p>
          <w:p w14:paraId="58ABE073" w14:textId="77777777" w:rsidR="00CD3DC5" w:rsidRPr="00CD3DC5" w:rsidRDefault="00CD3DC5" w:rsidP="00F77551">
            <w:pPr>
              <w:jc w:val="center"/>
              <w:rPr>
                <w:rFonts w:ascii="Times New Roman" w:hAnsi="Times New Roman" w:cs="Times New Roman"/>
                <w:b/>
                <w:sz w:val="18"/>
                <w:szCs w:val="18"/>
              </w:rPr>
            </w:pPr>
            <w:r w:rsidRPr="00CD3DC5">
              <w:rPr>
                <w:rFonts w:ascii="Times New Roman" w:hAnsi="Times New Roman" w:cs="Times New Roman"/>
                <w:b/>
                <w:sz w:val="18"/>
                <w:szCs w:val="18"/>
              </w:rPr>
              <w:t>(Mt CO2)</w:t>
            </w:r>
          </w:p>
        </w:tc>
      </w:tr>
      <w:tr w:rsidR="00CD3DC5" w:rsidRPr="00CD3DC5" w14:paraId="3773FF66" w14:textId="77777777" w:rsidTr="00F77551">
        <w:tc>
          <w:tcPr>
            <w:tcW w:w="1871" w:type="dxa"/>
            <w:vMerge/>
            <w:vAlign w:val="center"/>
          </w:tcPr>
          <w:p w14:paraId="0F522246" w14:textId="77777777" w:rsidR="00CD3DC5" w:rsidRPr="00CD3DC5" w:rsidRDefault="00CD3DC5" w:rsidP="00F77551">
            <w:pPr>
              <w:jc w:val="center"/>
              <w:rPr>
                <w:rFonts w:ascii="Times New Roman" w:hAnsi="Times New Roman" w:cs="Times New Roman"/>
                <w:sz w:val="18"/>
                <w:szCs w:val="18"/>
              </w:rPr>
            </w:pPr>
          </w:p>
        </w:tc>
        <w:tc>
          <w:tcPr>
            <w:tcW w:w="741" w:type="dxa"/>
            <w:vAlign w:val="center"/>
          </w:tcPr>
          <w:p w14:paraId="5CF983C9"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2000</w:t>
            </w:r>
          </w:p>
        </w:tc>
        <w:tc>
          <w:tcPr>
            <w:tcW w:w="741" w:type="dxa"/>
            <w:vAlign w:val="center"/>
          </w:tcPr>
          <w:p w14:paraId="6B41A43D"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2010</w:t>
            </w:r>
          </w:p>
        </w:tc>
        <w:tc>
          <w:tcPr>
            <w:tcW w:w="741" w:type="dxa"/>
            <w:vAlign w:val="center"/>
          </w:tcPr>
          <w:p w14:paraId="5046996B"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2019</w:t>
            </w:r>
          </w:p>
        </w:tc>
        <w:tc>
          <w:tcPr>
            <w:tcW w:w="846" w:type="dxa"/>
            <w:vAlign w:val="center"/>
          </w:tcPr>
          <w:p w14:paraId="3F786F05"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2000</w:t>
            </w:r>
          </w:p>
        </w:tc>
        <w:tc>
          <w:tcPr>
            <w:tcW w:w="846" w:type="dxa"/>
            <w:vAlign w:val="center"/>
          </w:tcPr>
          <w:p w14:paraId="0A47E1CB"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2010</w:t>
            </w:r>
          </w:p>
        </w:tc>
        <w:tc>
          <w:tcPr>
            <w:tcW w:w="846" w:type="dxa"/>
            <w:vAlign w:val="center"/>
          </w:tcPr>
          <w:p w14:paraId="02ADED76"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2019</w:t>
            </w:r>
          </w:p>
        </w:tc>
        <w:tc>
          <w:tcPr>
            <w:tcW w:w="794" w:type="dxa"/>
            <w:vAlign w:val="center"/>
          </w:tcPr>
          <w:p w14:paraId="657B6AA2"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2000</w:t>
            </w:r>
          </w:p>
        </w:tc>
        <w:tc>
          <w:tcPr>
            <w:tcW w:w="794" w:type="dxa"/>
            <w:vAlign w:val="center"/>
          </w:tcPr>
          <w:p w14:paraId="4AB6AD7B"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2010</w:t>
            </w:r>
          </w:p>
        </w:tc>
        <w:tc>
          <w:tcPr>
            <w:tcW w:w="794" w:type="dxa"/>
            <w:vAlign w:val="center"/>
          </w:tcPr>
          <w:p w14:paraId="5D2A365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2019</w:t>
            </w:r>
          </w:p>
        </w:tc>
      </w:tr>
      <w:tr w:rsidR="00CD3DC5" w:rsidRPr="00CD3DC5" w14:paraId="7D428D8B" w14:textId="77777777" w:rsidTr="00F77551">
        <w:tc>
          <w:tcPr>
            <w:tcW w:w="1871" w:type="dxa"/>
            <w:vAlign w:val="center"/>
          </w:tcPr>
          <w:p w14:paraId="7819CAB0"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Primary industry</w:t>
            </w:r>
          </w:p>
        </w:tc>
        <w:tc>
          <w:tcPr>
            <w:tcW w:w="741" w:type="dxa"/>
            <w:vAlign w:val="center"/>
          </w:tcPr>
          <w:p w14:paraId="1081AB97"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1472</w:t>
            </w:r>
          </w:p>
        </w:tc>
        <w:tc>
          <w:tcPr>
            <w:tcW w:w="741" w:type="dxa"/>
            <w:vAlign w:val="center"/>
          </w:tcPr>
          <w:p w14:paraId="59A077D3"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3843</w:t>
            </w:r>
          </w:p>
        </w:tc>
        <w:tc>
          <w:tcPr>
            <w:tcW w:w="741" w:type="dxa"/>
            <w:vAlign w:val="center"/>
          </w:tcPr>
          <w:p w14:paraId="7C21CDC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7047</w:t>
            </w:r>
          </w:p>
        </w:tc>
        <w:tc>
          <w:tcPr>
            <w:tcW w:w="846" w:type="dxa"/>
            <w:vAlign w:val="center"/>
          </w:tcPr>
          <w:p w14:paraId="37E0AD0D"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42.33</w:t>
            </w:r>
          </w:p>
        </w:tc>
        <w:tc>
          <w:tcPr>
            <w:tcW w:w="846" w:type="dxa"/>
            <w:vAlign w:val="center"/>
          </w:tcPr>
          <w:p w14:paraId="415BB080"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72.66</w:t>
            </w:r>
          </w:p>
        </w:tc>
        <w:tc>
          <w:tcPr>
            <w:tcW w:w="846" w:type="dxa"/>
            <w:vAlign w:val="center"/>
          </w:tcPr>
          <w:p w14:paraId="758F041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9018</w:t>
            </w:r>
          </w:p>
        </w:tc>
        <w:tc>
          <w:tcPr>
            <w:tcW w:w="794" w:type="dxa"/>
            <w:vAlign w:val="center"/>
          </w:tcPr>
          <w:p w14:paraId="0A9D3EF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43.5</w:t>
            </w:r>
          </w:p>
        </w:tc>
        <w:tc>
          <w:tcPr>
            <w:tcW w:w="794" w:type="dxa"/>
            <w:vAlign w:val="center"/>
          </w:tcPr>
          <w:p w14:paraId="4D85B517"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79.1</w:t>
            </w:r>
          </w:p>
        </w:tc>
        <w:tc>
          <w:tcPr>
            <w:tcW w:w="794" w:type="dxa"/>
            <w:vAlign w:val="center"/>
          </w:tcPr>
          <w:p w14:paraId="1D811D02"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87.12</w:t>
            </w:r>
          </w:p>
        </w:tc>
      </w:tr>
      <w:tr w:rsidR="00CD3DC5" w:rsidRPr="00CD3DC5" w14:paraId="226C1611" w14:textId="77777777" w:rsidTr="00F77551">
        <w:tc>
          <w:tcPr>
            <w:tcW w:w="1871" w:type="dxa"/>
            <w:vAlign w:val="center"/>
          </w:tcPr>
          <w:p w14:paraId="7D3D1A0F"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Secondary industry</w:t>
            </w:r>
          </w:p>
        </w:tc>
        <w:tc>
          <w:tcPr>
            <w:tcW w:w="741" w:type="dxa"/>
            <w:vAlign w:val="center"/>
          </w:tcPr>
          <w:p w14:paraId="2C1DA85D"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4566</w:t>
            </w:r>
          </w:p>
        </w:tc>
        <w:tc>
          <w:tcPr>
            <w:tcW w:w="741" w:type="dxa"/>
            <w:vAlign w:val="center"/>
          </w:tcPr>
          <w:p w14:paraId="08D0B574"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19162</w:t>
            </w:r>
          </w:p>
        </w:tc>
        <w:tc>
          <w:tcPr>
            <w:tcW w:w="741" w:type="dxa"/>
            <w:vAlign w:val="center"/>
          </w:tcPr>
          <w:p w14:paraId="49CDE96C"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38067</w:t>
            </w:r>
          </w:p>
        </w:tc>
        <w:tc>
          <w:tcPr>
            <w:tcW w:w="846" w:type="dxa"/>
            <w:vAlign w:val="center"/>
          </w:tcPr>
          <w:p w14:paraId="7B80BC9B"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1052.21</w:t>
            </w:r>
          </w:p>
        </w:tc>
        <w:tc>
          <w:tcPr>
            <w:tcW w:w="846" w:type="dxa"/>
            <w:vAlign w:val="center"/>
          </w:tcPr>
          <w:p w14:paraId="14D0877D"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2669.11</w:t>
            </w:r>
          </w:p>
        </w:tc>
        <w:tc>
          <w:tcPr>
            <w:tcW w:w="846" w:type="dxa"/>
            <w:vAlign w:val="center"/>
          </w:tcPr>
          <w:p w14:paraId="1EEA7F95"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331646</w:t>
            </w:r>
          </w:p>
        </w:tc>
        <w:tc>
          <w:tcPr>
            <w:tcW w:w="794" w:type="dxa"/>
            <w:vAlign w:val="center"/>
          </w:tcPr>
          <w:p w14:paraId="252D414F"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2472.7</w:t>
            </w:r>
          </w:p>
        </w:tc>
        <w:tc>
          <w:tcPr>
            <w:tcW w:w="794" w:type="dxa"/>
            <w:vAlign w:val="center"/>
          </w:tcPr>
          <w:p w14:paraId="542F46CB"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6921.2</w:t>
            </w:r>
          </w:p>
        </w:tc>
        <w:tc>
          <w:tcPr>
            <w:tcW w:w="794" w:type="dxa"/>
            <w:vAlign w:val="center"/>
          </w:tcPr>
          <w:p w14:paraId="34BBC472"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8260.8</w:t>
            </w:r>
          </w:p>
        </w:tc>
      </w:tr>
      <w:tr w:rsidR="00CD3DC5" w:rsidRPr="00CD3DC5" w14:paraId="3CAA30F2" w14:textId="77777777" w:rsidTr="00F77551">
        <w:tc>
          <w:tcPr>
            <w:tcW w:w="1871" w:type="dxa"/>
            <w:vAlign w:val="center"/>
          </w:tcPr>
          <w:p w14:paraId="27975D0C"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Tertiary industry</w:t>
            </w:r>
          </w:p>
        </w:tc>
        <w:tc>
          <w:tcPr>
            <w:tcW w:w="741" w:type="dxa"/>
            <w:vAlign w:val="center"/>
          </w:tcPr>
          <w:p w14:paraId="74D96B26"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3990</w:t>
            </w:r>
          </w:p>
        </w:tc>
        <w:tc>
          <w:tcPr>
            <w:tcW w:w="741" w:type="dxa"/>
            <w:vAlign w:val="center"/>
          </w:tcPr>
          <w:p w14:paraId="53F0902F"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18206</w:t>
            </w:r>
          </w:p>
        </w:tc>
        <w:tc>
          <w:tcPr>
            <w:tcW w:w="741" w:type="dxa"/>
            <w:vAlign w:val="center"/>
          </w:tcPr>
          <w:p w14:paraId="4ED82CD2"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53537</w:t>
            </w:r>
          </w:p>
        </w:tc>
        <w:tc>
          <w:tcPr>
            <w:tcW w:w="846" w:type="dxa"/>
            <w:vAlign w:val="center"/>
          </w:tcPr>
          <w:p w14:paraId="563C54A5"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208.16</w:t>
            </w:r>
          </w:p>
        </w:tc>
        <w:tc>
          <w:tcPr>
            <w:tcW w:w="846" w:type="dxa"/>
            <w:vAlign w:val="center"/>
          </w:tcPr>
          <w:p w14:paraId="63882E68"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500.01</w:t>
            </w:r>
          </w:p>
        </w:tc>
        <w:tc>
          <w:tcPr>
            <w:tcW w:w="846" w:type="dxa"/>
            <w:vAlign w:val="center"/>
          </w:tcPr>
          <w:p w14:paraId="7A693E45"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85115</w:t>
            </w:r>
          </w:p>
        </w:tc>
        <w:tc>
          <w:tcPr>
            <w:tcW w:w="794" w:type="dxa"/>
            <w:vAlign w:val="center"/>
          </w:tcPr>
          <w:p w14:paraId="3286CBE3"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314</w:t>
            </w:r>
          </w:p>
        </w:tc>
        <w:tc>
          <w:tcPr>
            <w:tcW w:w="794" w:type="dxa"/>
            <w:vAlign w:val="center"/>
          </w:tcPr>
          <w:p w14:paraId="78488FD0"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682.7</w:t>
            </w:r>
          </w:p>
        </w:tc>
        <w:tc>
          <w:tcPr>
            <w:tcW w:w="794" w:type="dxa"/>
            <w:vAlign w:val="center"/>
          </w:tcPr>
          <w:p w14:paraId="12C2224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980</w:t>
            </w:r>
          </w:p>
        </w:tc>
      </w:tr>
      <w:tr w:rsidR="00CD3DC5" w:rsidRPr="00CD3DC5" w14:paraId="2596522A" w14:textId="77777777" w:rsidTr="00F77551">
        <w:tc>
          <w:tcPr>
            <w:tcW w:w="1871" w:type="dxa"/>
            <w:vAlign w:val="center"/>
          </w:tcPr>
          <w:p w14:paraId="6824995D"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Residential</w:t>
            </w:r>
          </w:p>
        </w:tc>
        <w:tc>
          <w:tcPr>
            <w:tcW w:w="741" w:type="dxa"/>
            <w:vAlign w:val="center"/>
          </w:tcPr>
          <w:p w14:paraId="5F1C82BD"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w:t>
            </w:r>
          </w:p>
        </w:tc>
        <w:tc>
          <w:tcPr>
            <w:tcW w:w="741" w:type="dxa"/>
            <w:vAlign w:val="center"/>
          </w:tcPr>
          <w:p w14:paraId="63D07376"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w:t>
            </w:r>
          </w:p>
        </w:tc>
        <w:tc>
          <w:tcPr>
            <w:tcW w:w="741" w:type="dxa"/>
            <w:vAlign w:val="center"/>
          </w:tcPr>
          <w:p w14:paraId="4EEA57CC"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w:t>
            </w:r>
          </w:p>
        </w:tc>
        <w:tc>
          <w:tcPr>
            <w:tcW w:w="846" w:type="dxa"/>
            <w:vAlign w:val="center"/>
          </w:tcPr>
          <w:p w14:paraId="0F371676"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166.95</w:t>
            </w:r>
          </w:p>
        </w:tc>
        <w:tc>
          <w:tcPr>
            <w:tcW w:w="846" w:type="dxa"/>
            <w:vAlign w:val="center"/>
          </w:tcPr>
          <w:p w14:paraId="4F656F2E"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364.70</w:t>
            </w:r>
          </w:p>
        </w:tc>
        <w:tc>
          <w:tcPr>
            <w:tcW w:w="846" w:type="dxa"/>
            <w:vAlign w:val="center"/>
          </w:tcPr>
          <w:p w14:paraId="0167080A"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61709</w:t>
            </w:r>
          </w:p>
        </w:tc>
        <w:tc>
          <w:tcPr>
            <w:tcW w:w="794" w:type="dxa"/>
            <w:vAlign w:val="center"/>
          </w:tcPr>
          <w:p w14:paraId="68AC1051"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173.2</w:t>
            </w:r>
          </w:p>
        </w:tc>
        <w:tc>
          <w:tcPr>
            <w:tcW w:w="794" w:type="dxa"/>
            <w:vAlign w:val="center"/>
          </w:tcPr>
          <w:p w14:paraId="2BFAE578"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221.5</w:t>
            </w:r>
          </w:p>
        </w:tc>
        <w:tc>
          <w:tcPr>
            <w:tcW w:w="794" w:type="dxa"/>
            <w:vAlign w:val="center"/>
          </w:tcPr>
          <w:p w14:paraId="5341FD11"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478</w:t>
            </w:r>
          </w:p>
        </w:tc>
      </w:tr>
      <w:tr w:rsidR="00CD3DC5" w:rsidRPr="00CD3DC5" w14:paraId="0C627C1B" w14:textId="77777777" w:rsidTr="00F77551">
        <w:tc>
          <w:tcPr>
            <w:tcW w:w="1871" w:type="dxa"/>
            <w:vAlign w:val="center"/>
          </w:tcPr>
          <w:p w14:paraId="12DAD8B2"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Total</w:t>
            </w:r>
          </w:p>
        </w:tc>
        <w:tc>
          <w:tcPr>
            <w:tcW w:w="741" w:type="dxa"/>
            <w:vAlign w:val="center"/>
          </w:tcPr>
          <w:p w14:paraId="70B7EA6B" w14:textId="77777777" w:rsidR="00CD3DC5" w:rsidRPr="00CD3DC5" w:rsidRDefault="00CD3DC5" w:rsidP="00F77551">
            <w:pPr>
              <w:jc w:val="center"/>
              <w:rPr>
                <w:rFonts w:ascii="Times New Roman" w:hAnsi="Times New Roman" w:cs="Times New Roman"/>
                <w:sz w:val="18"/>
                <w:szCs w:val="18"/>
              </w:rPr>
            </w:pPr>
            <w:r w:rsidRPr="00CD3DC5">
              <w:rPr>
                <w:rFonts w:ascii="Times New Roman" w:hAnsi="Times New Roman" w:cs="Times New Roman"/>
                <w:sz w:val="18"/>
                <w:szCs w:val="18"/>
              </w:rPr>
              <w:t>10028</w:t>
            </w:r>
          </w:p>
        </w:tc>
        <w:tc>
          <w:tcPr>
            <w:tcW w:w="741" w:type="dxa"/>
            <w:vAlign w:val="center"/>
          </w:tcPr>
          <w:p w14:paraId="5AA90F31"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41212</w:t>
            </w:r>
          </w:p>
        </w:tc>
        <w:tc>
          <w:tcPr>
            <w:tcW w:w="741" w:type="dxa"/>
            <w:vAlign w:val="center"/>
          </w:tcPr>
          <w:p w14:paraId="22B8C29D"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98651</w:t>
            </w:r>
          </w:p>
        </w:tc>
        <w:tc>
          <w:tcPr>
            <w:tcW w:w="846" w:type="dxa"/>
            <w:vAlign w:val="center"/>
          </w:tcPr>
          <w:p w14:paraId="250EC586"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1469.64</w:t>
            </w:r>
          </w:p>
        </w:tc>
        <w:tc>
          <w:tcPr>
            <w:tcW w:w="846" w:type="dxa"/>
            <w:vAlign w:val="center"/>
          </w:tcPr>
          <w:p w14:paraId="42BC59E8"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3606.48</w:t>
            </w:r>
          </w:p>
        </w:tc>
        <w:tc>
          <w:tcPr>
            <w:tcW w:w="846" w:type="dxa"/>
            <w:vAlign w:val="center"/>
          </w:tcPr>
          <w:p w14:paraId="4ED1E3E9"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487488</w:t>
            </w:r>
          </w:p>
        </w:tc>
        <w:tc>
          <w:tcPr>
            <w:tcW w:w="794" w:type="dxa"/>
            <w:vAlign w:val="center"/>
          </w:tcPr>
          <w:p w14:paraId="6521382F"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3003.4</w:t>
            </w:r>
          </w:p>
        </w:tc>
        <w:tc>
          <w:tcPr>
            <w:tcW w:w="794" w:type="dxa"/>
            <w:vAlign w:val="center"/>
          </w:tcPr>
          <w:p w14:paraId="46755B69"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7904.5</w:t>
            </w:r>
          </w:p>
        </w:tc>
        <w:tc>
          <w:tcPr>
            <w:tcW w:w="794" w:type="dxa"/>
            <w:vAlign w:val="center"/>
          </w:tcPr>
          <w:p w14:paraId="1F409A0C" w14:textId="77777777" w:rsidR="00CD3DC5" w:rsidRPr="00CD3DC5" w:rsidRDefault="00CD3DC5" w:rsidP="00F77551">
            <w:pPr>
              <w:jc w:val="left"/>
              <w:rPr>
                <w:rFonts w:ascii="Times New Roman" w:hAnsi="Times New Roman" w:cs="Times New Roman"/>
                <w:sz w:val="18"/>
                <w:szCs w:val="18"/>
              </w:rPr>
            </w:pPr>
            <w:r w:rsidRPr="00CD3DC5">
              <w:rPr>
                <w:rFonts w:ascii="Times New Roman" w:hAnsi="Times New Roman" w:cs="Times New Roman"/>
                <w:sz w:val="18"/>
                <w:szCs w:val="18"/>
              </w:rPr>
              <w:t>9806</w:t>
            </w:r>
          </w:p>
        </w:tc>
      </w:tr>
    </w:tbl>
    <w:p w14:paraId="4F50AFAD" w14:textId="77777777" w:rsidR="00D27C02" w:rsidRDefault="00D27C02" w:rsidP="00F06A9C">
      <w:pPr>
        <w:rPr>
          <w:b/>
          <w:bCs/>
          <w:sz w:val="28"/>
          <w:szCs w:val="28"/>
          <w:lang w:eastAsia="zh-CN"/>
        </w:rPr>
      </w:pPr>
    </w:p>
    <w:p w14:paraId="4C6EE09B" w14:textId="0A67E88A" w:rsidR="00341469" w:rsidRDefault="00BA0FFC" w:rsidP="00F06A9C">
      <w:pPr>
        <w:rPr>
          <w:b/>
          <w:bCs/>
          <w:sz w:val="28"/>
          <w:szCs w:val="28"/>
          <w:lang w:eastAsia="zh-CN"/>
        </w:rPr>
      </w:pPr>
      <w:r>
        <w:rPr>
          <w:rFonts w:hint="eastAsia"/>
          <w:b/>
          <w:bCs/>
          <w:sz w:val="28"/>
          <w:szCs w:val="28"/>
          <w:lang w:eastAsia="zh-CN"/>
        </w:rPr>
        <w:t>S</w:t>
      </w:r>
      <w:r w:rsidR="0062030E">
        <w:rPr>
          <w:b/>
          <w:bCs/>
          <w:sz w:val="28"/>
          <w:szCs w:val="28"/>
          <w:lang w:eastAsia="zh-CN"/>
        </w:rPr>
        <w:t>4</w:t>
      </w:r>
      <w:r>
        <w:rPr>
          <w:b/>
          <w:bCs/>
          <w:sz w:val="28"/>
          <w:szCs w:val="28"/>
          <w:lang w:eastAsia="zh-CN"/>
        </w:rPr>
        <w:t>: Relevant electricity data</w:t>
      </w:r>
    </w:p>
    <w:p w14:paraId="52C42E42" w14:textId="14A849A7" w:rsidR="00341469" w:rsidRPr="00614389" w:rsidRDefault="00614389" w:rsidP="00F06A9C">
      <w:pPr>
        <w:rPr>
          <w:rFonts w:ascii="Times New Roman" w:hAnsi="Times New Roman"/>
          <w:b/>
          <w:bCs/>
          <w:szCs w:val="24"/>
          <w:lang w:eastAsia="zh-CN"/>
        </w:rPr>
      </w:pPr>
      <w:r w:rsidRPr="00614389">
        <w:rPr>
          <w:rFonts w:ascii="Times New Roman" w:hAnsi="Times New Roman"/>
          <w:b/>
          <w:bCs/>
          <w:szCs w:val="24"/>
          <w:lang w:eastAsia="zh-CN"/>
        </w:rPr>
        <w:t>(1)</w:t>
      </w:r>
      <w:r w:rsidRPr="00614389">
        <w:rPr>
          <w:rFonts w:ascii="Times New Roman" w:hAnsi="Times New Roman"/>
          <w:b/>
          <w:bCs/>
          <w:szCs w:val="24"/>
        </w:rPr>
        <w:t xml:space="preserve"> Determining Fixed Investment of Electricity (FIE)</w:t>
      </w:r>
    </w:p>
    <w:p w14:paraId="3ABD73D5" w14:textId="77777777" w:rsidR="00B10E38" w:rsidRPr="00850209" w:rsidRDefault="00B10E38" w:rsidP="00B10E38">
      <w:pPr>
        <w:pStyle w:val="TESupportingInformation"/>
      </w:pPr>
      <w:r w:rsidRPr="00850209">
        <w:lastRenderedPageBreak/>
        <w:t>For each common sector (Primary, Secondary and Tertiary industry) the investment in each electricity generation technology is determined by the following equation.</w:t>
      </w:r>
    </w:p>
    <w:p w14:paraId="111183D4" w14:textId="530D2E0C" w:rsidR="00B10E38" w:rsidRPr="00850209" w:rsidRDefault="002A6075" w:rsidP="00B10E38">
      <w:pPr>
        <w:pStyle w:val="TESupportingInformation"/>
      </w:pPr>
      <m:oMath>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oMath>
      <w:r w:rsidR="00B10E38" w:rsidRPr="00850209">
        <w:t xml:space="preserve">        (</w:t>
      </w:r>
      <w:r w:rsidR="00B10E38">
        <w:t>3</w:t>
      </w:r>
      <w:r w:rsidR="00B10E38" w:rsidRPr="00850209">
        <w:t>)</w:t>
      </w:r>
    </w:p>
    <w:p w14:paraId="281AA917" w14:textId="54E0F9AA" w:rsidR="00B10E38" w:rsidRPr="00850209" w:rsidRDefault="00B10E38" w:rsidP="00CE60DD">
      <w:pPr>
        <w:pStyle w:val="TESupportingInformation"/>
        <w:ind w:firstLineChars="100" w:firstLine="240"/>
      </w:pPr>
      <w:r w:rsidRPr="00850209">
        <w:t xml:space="preserve">Where </w:t>
      </w:r>
      <m:oMath>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t</m:t>
            </m:r>
          </m:sup>
        </m:sSubSup>
      </m:oMath>
      <w:r>
        <w:t xml:space="preserve"> is t</w:t>
      </w:r>
      <w:r w:rsidRPr="00850209">
        <w:t xml:space="preserve">he investment in the </w:t>
      </w:r>
      <w:r w:rsidRPr="000763E2">
        <w:rPr>
          <w:i/>
          <w:iCs/>
        </w:rPr>
        <w:t>i</w:t>
      </w:r>
      <w:r w:rsidRPr="00B10E38">
        <w:rPr>
          <w:i/>
          <w:iCs/>
          <w:vertAlign w:val="superscript"/>
        </w:rPr>
        <w:t>th</w:t>
      </w:r>
      <w:r w:rsidRPr="00B10E38">
        <w:rPr>
          <w:vertAlign w:val="superscript"/>
        </w:rPr>
        <w:t xml:space="preserve"> </w:t>
      </w:r>
      <w:r w:rsidRPr="00850209">
        <w:t>common sector that meets the expansion of technology</w:t>
      </w:r>
      <w:r w:rsidRPr="000763E2">
        <w:rPr>
          <w:i/>
          <w:iCs/>
        </w:rPr>
        <w:t xml:space="preserve"> j</w:t>
      </w:r>
      <w:r w:rsidRPr="00850209">
        <w:t xml:space="preserve"> in year </w:t>
      </w:r>
      <w:r w:rsidRPr="000763E2">
        <w:rPr>
          <w:i/>
          <w:iCs/>
        </w:rPr>
        <w:t>t</w:t>
      </w:r>
      <w:r>
        <w:t>,</w:t>
      </w:r>
      <w:r w:rsidRPr="00850209">
        <w:rPr>
          <w:i/>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i/>
        </w:rPr>
        <w:t xml:space="preserve"> </w:t>
      </w:r>
      <w:r>
        <w:rPr>
          <w:iCs/>
        </w:rPr>
        <w:t xml:space="preserve">represents </w:t>
      </w:r>
      <w:r>
        <w:t>s</w:t>
      </w:r>
      <w:r w:rsidRPr="00850209">
        <w:t xml:space="preserve">hare of investment in sector </w:t>
      </w:r>
      <w:r w:rsidRPr="000763E2">
        <w:rPr>
          <w:i/>
          <w:iCs/>
        </w:rPr>
        <w:t>i</w:t>
      </w:r>
      <w:r w:rsidRPr="00850209">
        <w:t xml:space="preserve"> of the </w:t>
      </w:r>
      <w:r w:rsidRPr="000763E2">
        <w:rPr>
          <w:i/>
          <w:iCs/>
        </w:rPr>
        <w:t>j</w:t>
      </w:r>
      <w:r w:rsidRPr="00B10E38">
        <w:rPr>
          <w:i/>
          <w:iCs/>
          <w:vertAlign w:val="superscript"/>
        </w:rPr>
        <w:t>th</w:t>
      </w:r>
      <w:r w:rsidRPr="00850209">
        <w:t xml:space="preserve"> generation technology</w:t>
      </w:r>
      <w:r>
        <w:t xml:space="preserve">. </w:t>
      </w:r>
      <w:r w:rsidRPr="00850209">
        <w:t xml:space="preserve">The investment structure of the six electricity generation technologies is shown in </w:t>
      </w:r>
      <w:r>
        <w:rPr>
          <w:rFonts w:hint="eastAsia"/>
        </w:rPr>
        <w:t xml:space="preserve">Table </w:t>
      </w:r>
      <w:r>
        <w:t>S</w:t>
      </w:r>
      <w:r w:rsidR="00B02D31">
        <w:t>5</w:t>
      </w:r>
      <w:r>
        <w:t>,</w:t>
      </w:r>
      <w:r w:rsidRPr="00850209">
        <w:rPr>
          <w:i/>
        </w:rPr>
        <w:t xml:space="preserve"> </w:t>
      </w:r>
      <m:oMath>
        <m:sSup>
          <m:sSupPr>
            <m:ctrlPr>
              <w:rPr>
                <w:rFonts w:ascii="Cambria Math" w:hAnsi="Cambria Math"/>
                <w:i/>
              </w:rPr>
            </m:ctrlPr>
          </m:sSupPr>
          <m:e>
            <m:r>
              <w:rPr>
                <w:rFonts w:ascii="Cambria Math" w:hAnsi="Cambria Math"/>
              </w:rPr>
              <m:t>u</m:t>
            </m:r>
          </m:e>
          <m:sup>
            <m:r>
              <w:rPr>
                <w:rFonts w:ascii="Cambria Math" w:hAnsi="Cambria Math"/>
              </w:rPr>
              <m:t>t</m:t>
            </m:r>
          </m:sup>
        </m:sSup>
      </m:oMath>
      <w:r>
        <w:t xml:space="preserve"> is t</w:t>
      </w:r>
      <w:r w:rsidRPr="00850209">
        <w:t xml:space="preserve">he diagonal matrix of the total investment in various electricity generation technologies in year </w:t>
      </w:r>
      <w:r w:rsidRPr="000763E2">
        <w:rPr>
          <w:i/>
          <w:iCs/>
        </w:rPr>
        <w:t>t</w:t>
      </w:r>
      <w:r>
        <w:t>,</w:t>
      </w:r>
      <w:r w:rsidRPr="00850209">
        <w:t xml:space="preserve"> </w:t>
      </w:r>
      <w:r>
        <w:t>w</w:t>
      </w:r>
      <w:r w:rsidRPr="00850209">
        <w:t>here the 2019 investment is shown in</w:t>
      </w:r>
      <w:r>
        <w:rPr>
          <w:rFonts w:hint="eastAsia"/>
        </w:rPr>
        <w:t xml:space="preserve"> Table </w:t>
      </w:r>
      <w:r>
        <w:t>S</w:t>
      </w:r>
      <w:r w:rsidR="00B02D31">
        <w:t>6</w:t>
      </w:r>
      <w:r w:rsidRPr="00850209">
        <w:t>.</w:t>
      </w:r>
    </w:p>
    <w:p w14:paraId="21D5A1FC" w14:textId="2EF6A36F" w:rsidR="00B10E38" w:rsidRPr="00B10E38" w:rsidRDefault="00B10E38" w:rsidP="00B10E38">
      <w:pPr>
        <w:jc w:val="left"/>
        <w:rPr>
          <w:rFonts w:ascii="Times New Roman" w:hAnsi="Times New Roman"/>
          <w:szCs w:val="24"/>
        </w:rPr>
      </w:pPr>
      <w:r w:rsidRPr="00B10E38">
        <w:rPr>
          <w:rFonts w:ascii="Times New Roman" w:hAnsi="Times New Roman"/>
          <w:szCs w:val="24"/>
        </w:rPr>
        <w:t>Table S</w:t>
      </w:r>
      <w:r w:rsidR="0062030E">
        <w:rPr>
          <w:rFonts w:ascii="Times New Roman" w:hAnsi="Times New Roman"/>
          <w:szCs w:val="24"/>
        </w:rPr>
        <w:t>5</w:t>
      </w:r>
      <w:r w:rsidRPr="00B10E38">
        <w:rPr>
          <w:rFonts w:ascii="Times New Roman" w:hAnsi="Times New Roman"/>
          <w:szCs w:val="24"/>
        </w:rPr>
        <w:t>. Electricity technology investment structure</w:t>
      </w:r>
      <w:r w:rsidR="00190FD3">
        <w:rPr>
          <w:rFonts w:ascii="Times New Roman" w:hAnsi="Times New Roman"/>
          <w:szCs w:val="24"/>
        </w:rPr>
        <w:t xml:space="preserve"> [9]</w:t>
      </w:r>
    </w:p>
    <w:tbl>
      <w:tblPr>
        <w:tblStyle w:val="ac"/>
        <w:tblW w:w="5000" w:type="pct"/>
        <w:tblLook w:val="04A0" w:firstRow="1" w:lastRow="0" w:firstColumn="1" w:lastColumn="0" w:noHBand="0" w:noVBand="1"/>
      </w:tblPr>
      <w:tblGrid>
        <w:gridCol w:w="2350"/>
        <w:gridCol w:w="1236"/>
        <w:gridCol w:w="1113"/>
        <w:gridCol w:w="1376"/>
        <w:gridCol w:w="1086"/>
        <w:gridCol w:w="1073"/>
        <w:gridCol w:w="1116"/>
      </w:tblGrid>
      <w:tr w:rsidR="00B10E38" w:rsidRPr="001461A3" w14:paraId="59A92BE9" w14:textId="77777777" w:rsidTr="00A65961">
        <w:trPr>
          <w:trHeight w:val="227"/>
        </w:trPr>
        <w:tc>
          <w:tcPr>
            <w:tcW w:w="1256" w:type="pct"/>
            <w:tcBorders>
              <w:tl2br w:val="single" w:sz="4" w:space="0" w:color="auto"/>
            </w:tcBorders>
            <w:vAlign w:val="center"/>
          </w:tcPr>
          <w:p w14:paraId="0AAD5450" w14:textId="722410A2" w:rsidR="00A65961" w:rsidRDefault="00A65961" w:rsidP="00A65961">
            <w:pPr>
              <w:ind w:firstLineChars="400" w:firstLine="840"/>
              <w:jc w:val="center"/>
              <w:rPr>
                <w:rFonts w:ascii="Times New Roman" w:hAnsi="Times New Roman" w:cs="Times New Roman"/>
                <w:iCs/>
                <w:sz w:val="21"/>
                <w:szCs w:val="21"/>
              </w:rPr>
            </w:pPr>
            <w:r w:rsidRPr="00A65961">
              <w:rPr>
                <w:rFonts w:ascii="Times New Roman" w:hAnsi="Times New Roman" w:cs="Times New Roman"/>
                <w:iCs/>
                <w:sz w:val="21"/>
                <w:szCs w:val="21"/>
              </w:rPr>
              <w:t>Technology</w:t>
            </w:r>
          </w:p>
          <w:p w14:paraId="1BB41717" w14:textId="0CBEE7AF" w:rsidR="00B10E38" w:rsidRPr="00A65961" w:rsidRDefault="00B10E38" w:rsidP="00A65961">
            <w:pPr>
              <w:rPr>
                <w:rFonts w:ascii="Times New Roman" w:hAnsi="Times New Roman" w:cs="Times New Roman"/>
                <w:iCs/>
                <w:sz w:val="21"/>
                <w:szCs w:val="21"/>
              </w:rPr>
            </w:pPr>
            <w:r w:rsidRPr="00A65961">
              <w:rPr>
                <w:rFonts w:ascii="Times New Roman" w:hAnsi="Times New Roman" w:cs="Times New Roman"/>
                <w:iCs/>
                <w:sz w:val="21"/>
                <w:szCs w:val="21"/>
              </w:rPr>
              <w:t>Industry</w:t>
            </w:r>
          </w:p>
        </w:tc>
        <w:tc>
          <w:tcPr>
            <w:tcW w:w="661" w:type="pct"/>
            <w:vAlign w:val="center"/>
          </w:tcPr>
          <w:p w14:paraId="66E69F53"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Coal-Fired</w:t>
            </w:r>
          </w:p>
        </w:tc>
        <w:tc>
          <w:tcPr>
            <w:tcW w:w="595" w:type="pct"/>
            <w:vAlign w:val="center"/>
          </w:tcPr>
          <w:p w14:paraId="387B286A"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Gas-Fired</w:t>
            </w:r>
          </w:p>
        </w:tc>
        <w:tc>
          <w:tcPr>
            <w:tcW w:w="736" w:type="pct"/>
            <w:vAlign w:val="center"/>
          </w:tcPr>
          <w:p w14:paraId="67CA4E9C"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Hydropower</w:t>
            </w:r>
          </w:p>
        </w:tc>
        <w:tc>
          <w:tcPr>
            <w:tcW w:w="581" w:type="pct"/>
            <w:vAlign w:val="center"/>
          </w:tcPr>
          <w:p w14:paraId="5736AA49"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Wind</w:t>
            </w:r>
          </w:p>
        </w:tc>
        <w:tc>
          <w:tcPr>
            <w:tcW w:w="574" w:type="pct"/>
            <w:vAlign w:val="center"/>
          </w:tcPr>
          <w:p w14:paraId="672F96C6"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PV</w:t>
            </w:r>
          </w:p>
        </w:tc>
        <w:tc>
          <w:tcPr>
            <w:tcW w:w="597" w:type="pct"/>
            <w:vAlign w:val="center"/>
          </w:tcPr>
          <w:p w14:paraId="27B8051F"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Other</w:t>
            </w:r>
          </w:p>
        </w:tc>
      </w:tr>
      <w:tr w:rsidR="00B10E38" w:rsidRPr="001461A3" w14:paraId="3B815BCB" w14:textId="77777777" w:rsidTr="00A65961">
        <w:trPr>
          <w:trHeight w:val="227"/>
        </w:trPr>
        <w:tc>
          <w:tcPr>
            <w:tcW w:w="1256" w:type="pct"/>
            <w:vAlign w:val="center"/>
          </w:tcPr>
          <w:p w14:paraId="4A066595"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Primary industry</w:t>
            </w:r>
          </w:p>
        </w:tc>
        <w:tc>
          <w:tcPr>
            <w:tcW w:w="661" w:type="pct"/>
            <w:vAlign w:val="center"/>
          </w:tcPr>
          <w:p w14:paraId="7273DA18"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0.1</w:t>
            </w:r>
          </w:p>
        </w:tc>
        <w:tc>
          <w:tcPr>
            <w:tcW w:w="595" w:type="pct"/>
            <w:vAlign w:val="center"/>
          </w:tcPr>
          <w:p w14:paraId="6182CA2C"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0.1</w:t>
            </w:r>
          </w:p>
        </w:tc>
        <w:tc>
          <w:tcPr>
            <w:tcW w:w="736" w:type="pct"/>
            <w:vAlign w:val="center"/>
          </w:tcPr>
          <w:p w14:paraId="7192D2C6"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0.1</w:t>
            </w:r>
          </w:p>
        </w:tc>
        <w:tc>
          <w:tcPr>
            <w:tcW w:w="581" w:type="pct"/>
            <w:vAlign w:val="center"/>
          </w:tcPr>
          <w:p w14:paraId="28ACD923"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0.1</w:t>
            </w:r>
          </w:p>
        </w:tc>
        <w:tc>
          <w:tcPr>
            <w:tcW w:w="574" w:type="pct"/>
            <w:vAlign w:val="center"/>
          </w:tcPr>
          <w:p w14:paraId="0A12DA13"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0.08</w:t>
            </w:r>
          </w:p>
        </w:tc>
        <w:tc>
          <w:tcPr>
            <w:tcW w:w="597" w:type="pct"/>
            <w:vAlign w:val="center"/>
          </w:tcPr>
          <w:p w14:paraId="1044D3E3"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0.1</w:t>
            </w:r>
          </w:p>
        </w:tc>
      </w:tr>
      <w:tr w:rsidR="00B10E38" w:rsidRPr="001461A3" w14:paraId="7C746163" w14:textId="77777777" w:rsidTr="00A65961">
        <w:tc>
          <w:tcPr>
            <w:tcW w:w="1256" w:type="pct"/>
            <w:vAlign w:val="center"/>
          </w:tcPr>
          <w:p w14:paraId="6CAB5AA7"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Secondary industry</w:t>
            </w:r>
          </w:p>
        </w:tc>
        <w:tc>
          <w:tcPr>
            <w:tcW w:w="661" w:type="pct"/>
            <w:vAlign w:val="center"/>
          </w:tcPr>
          <w:p w14:paraId="04C1A5B1"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0.65</w:t>
            </w:r>
          </w:p>
        </w:tc>
        <w:tc>
          <w:tcPr>
            <w:tcW w:w="595" w:type="pct"/>
            <w:vAlign w:val="center"/>
          </w:tcPr>
          <w:p w14:paraId="13FE35DE"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0.67</w:t>
            </w:r>
          </w:p>
        </w:tc>
        <w:tc>
          <w:tcPr>
            <w:tcW w:w="736" w:type="pct"/>
            <w:vAlign w:val="center"/>
          </w:tcPr>
          <w:p w14:paraId="1A6552D4"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0.62</w:t>
            </w:r>
          </w:p>
        </w:tc>
        <w:tc>
          <w:tcPr>
            <w:tcW w:w="581" w:type="pct"/>
            <w:vAlign w:val="center"/>
          </w:tcPr>
          <w:p w14:paraId="3C2745F0"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0.58</w:t>
            </w:r>
          </w:p>
        </w:tc>
        <w:tc>
          <w:tcPr>
            <w:tcW w:w="574" w:type="pct"/>
            <w:vAlign w:val="center"/>
          </w:tcPr>
          <w:p w14:paraId="49B2E77F"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0.6</w:t>
            </w:r>
          </w:p>
        </w:tc>
        <w:tc>
          <w:tcPr>
            <w:tcW w:w="597" w:type="pct"/>
            <w:vAlign w:val="center"/>
          </w:tcPr>
          <w:p w14:paraId="6F67CEC5"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0.6</w:t>
            </w:r>
          </w:p>
        </w:tc>
      </w:tr>
      <w:tr w:rsidR="00B10E38" w:rsidRPr="001461A3" w14:paraId="578F2028" w14:textId="77777777" w:rsidTr="00A65961">
        <w:tc>
          <w:tcPr>
            <w:tcW w:w="1256" w:type="pct"/>
            <w:vAlign w:val="center"/>
          </w:tcPr>
          <w:p w14:paraId="17C8FCB1"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Tertiary industry</w:t>
            </w:r>
          </w:p>
        </w:tc>
        <w:tc>
          <w:tcPr>
            <w:tcW w:w="661" w:type="pct"/>
            <w:vAlign w:val="center"/>
          </w:tcPr>
          <w:p w14:paraId="1492D12B"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0.25</w:t>
            </w:r>
          </w:p>
        </w:tc>
        <w:tc>
          <w:tcPr>
            <w:tcW w:w="595" w:type="pct"/>
            <w:vAlign w:val="center"/>
          </w:tcPr>
          <w:p w14:paraId="5F6F214E"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0.23</w:t>
            </w:r>
          </w:p>
        </w:tc>
        <w:tc>
          <w:tcPr>
            <w:tcW w:w="736" w:type="pct"/>
            <w:vAlign w:val="center"/>
          </w:tcPr>
          <w:p w14:paraId="455DA080"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0.28</w:t>
            </w:r>
          </w:p>
        </w:tc>
        <w:tc>
          <w:tcPr>
            <w:tcW w:w="581" w:type="pct"/>
            <w:vAlign w:val="center"/>
          </w:tcPr>
          <w:p w14:paraId="33E32F4F"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0.32</w:t>
            </w:r>
          </w:p>
        </w:tc>
        <w:tc>
          <w:tcPr>
            <w:tcW w:w="574" w:type="pct"/>
            <w:vAlign w:val="center"/>
          </w:tcPr>
          <w:p w14:paraId="2D9AB740"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0.32</w:t>
            </w:r>
          </w:p>
        </w:tc>
        <w:tc>
          <w:tcPr>
            <w:tcW w:w="597" w:type="pct"/>
            <w:vAlign w:val="center"/>
          </w:tcPr>
          <w:p w14:paraId="2374EC04" w14:textId="77777777" w:rsidR="00B10E38" w:rsidRPr="00A65961" w:rsidRDefault="00B10E38" w:rsidP="00A65961">
            <w:pPr>
              <w:jc w:val="center"/>
              <w:rPr>
                <w:rFonts w:ascii="Times New Roman" w:hAnsi="Times New Roman" w:cs="Times New Roman"/>
                <w:iCs/>
                <w:sz w:val="21"/>
                <w:szCs w:val="21"/>
              </w:rPr>
            </w:pPr>
            <w:r w:rsidRPr="00A65961">
              <w:rPr>
                <w:rFonts w:ascii="Times New Roman" w:hAnsi="Times New Roman" w:cs="Times New Roman"/>
                <w:iCs/>
                <w:sz w:val="21"/>
                <w:szCs w:val="21"/>
              </w:rPr>
              <w:t>0.3</w:t>
            </w:r>
          </w:p>
        </w:tc>
      </w:tr>
    </w:tbl>
    <w:p w14:paraId="28D17C0B" w14:textId="77777777" w:rsidR="00B10E38" w:rsidRPr="00850209" w:rsidRDefault="00B10E38" w:rsidP="00B10E38">
      <w:pPr>
        <w:rPr>
          <w:rFonts w:ascii="Palatino Linotype" w:hAnsi="Palatino Linotype"/>
          <w:iCs/>
          <w:sz w:val="22"/>
        </w:rPr>
      </w:pPr>
    </w:p>
    <w:p w14:paraId="07907FDA" w14:textId="46E895B7" w:rsidR="00B10E38" w:rsidRPr="00B10E38" w:rsidRDefault="00B10E38" w:rsidP="00B10E38">
      <w:pPr>
        <w:jc w:val="left"/>
        <w:rPr>
          <w:rFonts w:ascii="Times New Roman" w:hAnsi="Times New Roman"/>
          <w:szCs w:val="24"/>
        </w:rPr>
      </w:pPr>
      <w:r w:rsidRPr="00B10E38">
        <w:rPr>
          <w:rFonts w:ascii="Times New Roman" w:hAnsi="Times New Roman"/>
          <w:szCs w:val="24"/>
        </w:rPr>
        <w:t>Table S</w:t>
      </w:r>
      <w:r w:rsidR="0062030E">
        <w:rPr>
          <w:rFonts w:ascii="Times New Roman" w:hAnsi="Times New Roman"/>
          <w:szCs w:val="24"/>
        </w:rPr>
        <w:t>6</w:t>
      </w:r>
      <w:r w:rsidRPr="00B10E38">
        <w:rPr>
          <w:rFonts w:ascii="Times New Roman" w:hAnsi="Times New Roman"/>
          <w:szCs w:val="24"/>
        </w:rPr>
        <w:t>. relevant electricity parameters</w:t>
      </w:r>
    </w:p>
    <w:tbl>
      <w:tblPr>
        <w:tblStyle w:val="ac"/>
        <w:tblW w:w="5000" w:type="pct"/>
        <w:tblLook w:val="0420" w:firstRow="1" w:lastRow="0" w:firstColumn="0" w:lastColumn="0" w:noHBand="0" w:noVBand="1"/>
      </w:tblPr>
      <w:tblGrid>
        <w:gridCol w:w="3800"/>
        <w:gridCol w:w="899"/>
        <w:gridCol w:w="810"/>
        <w:gridCol w:w="947"/>
        <w:gridCol w:w="1084"/>
        <w:gridCol w:w="905"/>
        <w:gridCol w:w="905"/>
      </w:tblGrid>
      <w:tr w:rsidR="00B10E38" w:rsidRPr="001461A3" w14:paraId="7345A65B" w14:textId="77777777" w:rsidTr="00F77551">
        <w:trPr>
          <w:trHeight w:val="340"/>
        </w:trPr>
        <w:tc>
          <w:tcPr>
            <w:tcW w:w="2035" w:type="pct"/>
            <w:vAlign w:val="center"/>
            <w:hideMark/>
          </w:tcPr>
          <w:p w14:paraId="4D85771B" w14:textId="54273B5F" w:rsidR="00B10E38" w:rsidRPr="00A65961" w:rsidRDefault="00CE60DD" w:rsidP="00F77551">
            <w:pPr>
              <w:ind w:firstLine="400"/>
              <w:jc w:val="center"/>
              <w:rPr>
                <w:rFonts w:ascii="Times New Roman" w:hAnsi="Times New Roman" w:cs="Times New Roman"/>
                <w:sz w:val="21"/>
                <w:szCs w:val="21"/>
              </w:rPr>
            </w:pPr>
            <w:r>
              <w:rPr>
                <w:rFonts w:ascii="Times New Roman" w:hAnsi="Times New Roman" w:cs="Times New Roman" w:hint="eastAsia"/>
                <w:sz w:val="21"/>
                <w:szCs w:val="21"/>
              </w:rPr>
              <w:t>I</w:t>
            </w:r>
            <w:r>
              <w:rPr>
                <w:rFonts w:ascii="Times New Roman" w:hAnsi="Times New Roman" w:cs="Times New Roman"/>
                <w:sz w:val="21"/>
                <w:szCs w:val="21"/>
              </w:rPr>
              <w:t>ndicator</w:t>
            </w:r>
          </w:p>
        </w:tc>
        <w:tc>
          <w:tcPr>
            <w:tcW w:w="466" w:type="pct"/>
            <w:vAlign w:val="center"/>
            <w:hideMark/>
          </w:tcPr>
          <w:p w14:paraId="14372765"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Coal-fired</w:t>
            </w:r>
          </w:p>
        </w:tc>
        <w:tc>
          <w:tcPr>
            <w:tcW w:w="436" w:type="pct"/>
            <w:vAlign w:val="center"/>
            <w:hideMark/>
          </w:tcPr>
          <w:p w14:paraId="22EF0657"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Gas-fired</w:t>
            </w:r>
          </w:p>
        </w:tc>
        <w:tc>
          <w:tcPr>
            <w:tcW w:w="509" w:type="pct"/>
            <w:vAlign w:val="center"/>
            <w:hideMark/>
          </w:tcPr>
          <w:p w14:paraId="46D2F75F"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Nuclear</w:t>
            </w:r>
          </w:p>
        </w:tc>
        <w:tc>
          <w:tcPr>
            <w:tcW w:w="582" w:type="pct"/>
            <w:vAlign w:val="center"/>
            <w:hideMark/>
          </w:tcPr>
          <w:p w14:paraId="2668C118"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Wind</w:t>
            </w:r>
          </w:p>
        </w:tc>
        <w:tc>
          <w:tcPr>
            <w:tcW w:w="486" w:type="pct"/>
            <w:vAlign w:val="center"/>
            <w:hideMark/>
          </w:tcPr>
          <w:p w14:paraId="1BC4776F"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Solar</w:t>
            </w:r>
          </w:p>
        </w:tc>
        <w:tc>
          <w:tcPr>
            <w:tcW w:w="486" w:type="pct"/>
            <w:vAlign w:val="center"/>
            <w:hideMark/>
          </w:tcPr>
          <w:p w14:paraId="5B269C43"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b/>
                <w:bCs/>
                <w:kern w:val="24"/>
                <w:sz w:val="21"/>
                <w:szCs w:val="21"/>
              </w:rPr>
              <w:t>Other</w:t>
            </w:r>
          </w:p>
        </w:tc>
      </w:tr>
      <w:tr w:rsidR="00B10E38" w:rsidRPr="001461A3" w14:paraId="720275D1" w14:textId="77777777" w:rsidTr="00F77551">
        <w:trPr>
          <w:trHeight w:val="340"/>
        </w:trPr>
        <w:tc>
          <w:tcPr>
            <w:tcW w:w="2035" w:type="pct"/>
            <w:vAlign w:val="center"/>
            <w:hideMark/>
          </w:tcPr>
          <w:p w14:paraId="520BE01A" w14:textId="63C476C1"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Investment (billion CNY) in 2019</w:t>
            </w:r>
            <w:r w:rsidR="005953BF">
              <w:rPr>
                <w:rFonts w:ascii="Times New Roman" w:hAnsi="Times New Roman" w:cs="Times New Roman"/>
                <w:kern w:val="24"/>
                <w:sz w:val="21"/>
                <w:szCs w:val="21"/>
                <w:vertAlign w:val="superscript"/>
              </w:rPr>
              <w:t>7</w:t>
            </w:r>
          </w:p>
        </w:tc>
        <w:tc>
          <w:tcPr>
            <w:tcW w:w="466" w:type="pct"/>
            <w:vAlign w:val="center"/>
            <w:hideMark/>
          </w:tcPr>
          <w:p w14:paraId="2CA126C7"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50.628</w:t>
            </w:r>
          </w:p>
        </w:tc>
        <w:tc>
          <w:tcPr>
            <w:tcW w:w="436" w:type="pct"/>
            <w:vAlign w:val="center"/>
            <w:hideMark/>
          </w:tcPr>
          <w:p w14:paraId="3D597842"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10.423</w:t>
            </w:r>
          </w:p>
        </w:tc>
        <w:tc>
          <w:tcPr>
            <w:tcW w:w="509" w:type="pct"/>
            <w:vAlign w:val="center"/>
            <w:hideMark/>
          </w:tcPr>
          <w:p w14:paraId="2C675F42"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38.239</w:t>
            </w:r>
          </w:p>
        </w:tc>
        <w:tc>
          <w:tcPr>
            <w:tcW w:w="582" w:type="pct"/>
            <w:vAlign w:val="center"/>
            <w:hideMark/>
          </w:tcPr>
          <w:p w14:paraId="14BE344E"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124.4367</w:t>
            </w:r>
          </w:p>
        </w:tc>
        <w:tc>
          <w:tcPr>
            <w:tcW w:w="486" w:type="pct"/>
            <w:vAlign w:val="center"/>
            <w:hideMark/>
          </w:tcPr>
          <w:p w14:paraId="5FE95932"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18.403</w:t>
            </w:r>
          </w:p>
        </w:tc>
        <w:tc>
          <w:tcPr>
            <w:tcW w:w="486" w:type="pct"/>
            <w:vAlign w:val="center"/>
            <w:hideMark/>
          </w:tcPr>
          <w:p w14:paraId="160FAA3C"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86.2</w:t>
            </w:r>
          </w:p>
        </w:tc>
      </w:tr>
      <w:tr w:rsidR="00B10E38" w:rsidRPr="001461A3" w14:paraId="7C87B871" w14:textId="77777777" w:rsidTr="00F77551">
        <w:trPr>
          <w:trHeight w:val="340"/>
        </w:trPr>
        <w:tc>
          <w:tcPr>
            <w:tcW w:w="2035" w:type="pct"/>
            <w:vAlign w:val="center"/>
            <w:hideMark/>
          </w:tcPr>
          <w:p w14:paraId="636ED1B4" w14:textId="030CABD3"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New installed capacity (GW) in 2019</w:t>
            </w:r>
            <w:r w:rsidR="008E3C47" w:rsidRPr="00A65961">
              <w:rPr>
                <w:rFonts w:ascii="Times New Roman" w:hAnsi="Times New Roman" w:cs="Times New Roman"/>
                <w:kern w:val="24"/>
                <w:sz w:val="21"/>
                <w:szCs w:val="21"/>
                <w:vertAlign w:val="superscript"/>
              </w:rPr>
              <w:t>1</w:t>
            </w:r>
            <w:r w:rsidR="005953BF">
              <w:rPr>
                <w:rFonts w:ascii="Times New Roman" w:hAnsi="Times New Roman" w:cs="Times New Roman"/>
                <w:kern w:val="24"/>
                <w:sz w:val="21"/>
                <w:szCs w:val="21"/>
                <w:vertAlign w:val="superscript"/>
              </w:rPr>
              <w:t>0</w:t>
            </w:r>
          </w:p>
        </w:tc>
        <w:tc>
          <w:tcPr>
            <w:tcW w:w="466" w:type="pct"/>
            <w:vAlign w:val="center"/>
            <w:hideMark/>
          </w:tcPr>
          <w:p w14:paraId="2D6FCD1E"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32.36</w:t>
            </w:r>
          </w:p>
        </w:tc>
        <w:tc>
          <w:tcPr>
            <w:tcW w:w="436" w:type="pct"/>
            <w:vAlign w:val="center"/>
            <w:hideMark/>
          </w:tcPr>
          <w:p w14:paraId="351CD2DD"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6.30</w:t>
            </w:r>
          </w:p>
        </w:tc>
        <w:tc>
          <w:tcPr>
            <w:tcW w:w="509" w:type="pct"/>
            <w:vAlign w:val="center"/>
            <w:hideMark/>
          </w:tcPr>
          <w:p w14:paraId="2DD22F65"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4.09</w:t>
            </w:r>
          </w:p>
        </w:tc>
        <w:tc>
          <w:tcPr>
            <w:tcW w:w="582" w:type="pct"/>
            <w:vAlign w:val="center"/>
            <w:hideMark/>
          </w:tcPr>
          <w:p w14:paraId="7370F7A0"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25.72</w:t>
            </w:r>
          </w:p>
        </w:tc>
        <w:tc>
          <w:tcPr>
            <w:tcW w:w="486" w:type="pct"/>
            <w:vAlign w:val="center"/>
            <w:hideMark/>
          </w:tcPr>
          <w:p w14:paraId="4FD8AF55"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26.52</w:t>
            </w:r>
          </w:p>
        </w:tc>
        <w:tc>
          <w:tcPr>
            <w:tcW w:w="486" w:type="pct"/>
            <w:vAlign w:val="center"/>
            <w:hideMark/>
          </w:tcPr>
          <w:p w14:paraId="46CB339C"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10.02</w:t>
            </w:r>
          </w:p>
        </w:tc>
      </w:tr>
      <w:tr w:rsidR="00B10E38" w:rsidRPr="001461A3" w14:paraId="1C15CF61" w14:textId="77777777" w:rsidTr="00F77551">
        <w:trPr>
          <w:trHeight w:val="283"/>
        </w:trPr>
        <w:tc>
          <w:tcPr>
            <w:tcW w:w="2035" w:type="pct"/>
            <w:vAlign w:val="center"/>
            <w:hideMark/>
          </w:tcPr>
          <w:p w14:paraId="7DBBBFE8" w14:textId="18286BBC"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Installed capacity in 2019 (GW)</w:t>
            </w:r>
            <w:r w:rsidR="005953BF">
              <w:rPr>
                <w:rFonts w:ascii="Times New Roman" w:hAnsi="Times New Roman" w:cs="Times New Roman"/>
                <w:kern w:val="24"/>
                <w:sz w:val="21"/>
                <w:szCs w:val="21"/>
                <w:vertAlign w:val="superscript"/>
              </w:rPr>
              <w:t>7</w:t>
            </w:r>
          </w:p>
        </w:tc>
        <w:tc>
          <w:tcPr>
            <w:tcW w:w="466" w:type="pct"/>
            <w:vAlign w:val="center"/>
            <w:hideMark/>
          </w:tcPr>
          <w:p w14:paraId="26BE2709"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11366.6</w:t>
            </w:r>
          </w:p>
        </w:tc>
        <w:tc>
          <w:tcPr>
            <w:tcW w:w="436" w:type="pct"/>
            <w:vAlign w:val="center"/>
            <w:hideMark/>
          </w:tcPr>
          <w:p w14:paraId="67EC5291"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866.6</w:t>
            </w:r>
          </w:p>
        </w:tc>
        <w:tc>
          <w:tcPr>
            <w:tcW w:w="509" w:type="pct"/>
            <w:vAlign w:val="center"/>
            <w:hideMark/>
          </w:tcPr>
          <w:p w14:paraId="70287DC2"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522.0</w:t>
            </w:r>
          </w:p>
        </w:tc>
        <w:tc>
          <w:tcPr>
            <w:tcW w:w="582" w:type="pct"/>
            <w:vAlign w:val="center"/>
            <w:hideMark/>
          </w:tcPr>
          <w:p w14:paraId="5C6D69B2"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2297.7</w:t>
            </w:r>
          </w:p>
        </w:tc>
        <w:tc>
          <w:tcPr>
            <w:tcW w:w="486" w:type="pct"/>
            <w:vAlign w:val="center"/>
            <w:hideMark/>
          </w:tcPr>
          <w:p w14:paraId="6C7CB2FE"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2304.5</w:t>
            </w:r>
          </w:p>
        </w:tc>
        <w:tc>
          <w:tcPr>
            <w:tcW w:w="486" w:type="pct"/>
            <w:vAlign w:val="center"/>
            <w:hideMark/>
          </w:tcPr>
          <w:p w14:paraId="06EBB89B"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2429.2</w:t>
            </w:r>
          </w:p>
        </w:tc>
      </w:tr>
      <w:tr w:rsidR="00B10E38" w:rsidRPr="001461A3" w14:paraId="423DF629" w14:textId="77777777" w:rsidTr="00F77551">
        <w:trPr>
          <w:trHeight w:val="340"/>
        </w:trPr>
        <w:tc>
          <w:tcPr>
            <w:tcW w:w="2035" w:type="pct"/>
            <w:vAlign w:val="center"/>
            <w:hideMark/>
          </w:tcPr>
          <w:p w14:paraId="0BC17124" w14:textId="61B9D9F9"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kern w:val="24"/>
                <w:sz w:val="21"/>
                <w:szCs w:val="21"/>
              </w:rPr>
              <w:t>Generating capacity in 2019 (10</w:t>
            </w:r>
            <w:r w:rsidRPr="00A65961">
              <w:rPr>
                <w:rFonts w:ascii="Times New Roman" w:hAnsi="Times New Roman" w:cs="Times New Roman"/>
                <w:kern w:val="24"/>
                <w:sz w:val="21"/>
                <w:szCs w:val="21"/>
                <w:vertAlign w:val="superscript"/>
              </w:rPr>
              <w:t>9</w:t>
            </w:r>
            <w:r w:rsidRPr="00A65961">
              <w:rPr>
                <w:rFonts w:ascii="Times New Roman" w:hAnsi="Times New Roman" w:cs="Times New Roman"/>
                <w:kern w:val="24"/>
                <w:sz w:val="21"/>
                <w:szCs w:val="21"/>
              </w:rPr>
              <w:t>kW)</w:t>
            </w:r>
            <w:r w:rsidR="005953BF">
              <w:rPr>
                <w:rFonts w:ascii="Times New Roman" w:hAnsi="Times New Roman" w:cs="Times New Roman"/>
                <w:kern w:val="24"/>
                <w:sz w:val="21"/>
                <w:szCs w:val="21"/>
                <w:vertAlign w:val="superscript"/>
              </w:rPr>
              <w:t>7</w:t>
            </w:r>
          </w:p>
        </w:tc>
        <w:tc>
          <w:tcPr>
            <w:tcW w:w="466" w:type="pct"/>
            <w:vAlign w:val="center"/>
            <w:hideMark/>
          </w:tcPr>
          <w:p w14:paraId="171E2EB3"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4899</w:t>
            </w:r>
          </w:p>
        </w:tc>
        <w:tc>
          <w:tcPr>
            <w:tcW w:w="436" w:type="pct"/>
            <w:vAlign w:val="center"/>
            <w:hideMark/>
          </w:tcPr>
          <w:p w14:paraId="7BF23A7A"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226</w:t>
            </w:r>
          </w:p>
        </w:tc>
        <w:tc>
          <w:tcPr>
            <w:tcW w:w="509" w:type="pct"/>
            <w:vAlign w:val="center"/>
            <w:hideMark/>
          </w:tcPr>
          <w:p w14:paraId="16BA5608"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348</w:t>
            </w:r>
          </w:p>
        </w:tc>
        <w:tc>
          <w:tcPr>
            <w:tcW w:w="582" w:type="pct"/>
            <w:vAlign w:val="center"/>
            <w:hideMark/>
          </w:tcPr>
          <w:p w14:paraId="05832031"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406</w:t>
            </w:r>
          </w:p>
        </w:tc>
        <w:tc>
          <w:tcPr>
            <w:tcW w:w="486" w:type="pct"/>
            <w:vAlign w:val="center"/>
            <w:hideMark/>
          </w:tcPr>
          <w:p w14:paraId="12769C85"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224</w:t>
            </w:r>
          </w:p>
        </w:tc>
        <w:tc>
          <w:tcPr>
            <w:tcW w:w="486" w:type="pct"/>
            <w:vAlign w:val="center"/>
            <w:hideMark/>
          </w:tcPr>
          <w:p w14:paraId="6B5F4DF1" w14:textId="77777777" w:rsidR="00B10E38" w:rsidRPr="00A65961" w:rsidRDefault="00B10E38" w:rsidP="00F77551">
            <w:pPr>
              <w:adjustRightInd w:val="0"/>
              <w:snapToGrid w:val="0"/>
              <w:jc w:val="center"/>
              <w:rPr>
                <w:rFonts w:ascii="Times New Roman" w:hAnsi="Times New Roman" w:cs="Times New Roman"/>
                <w:sz w:val="21"/>
                <w:szCs w:val="21"/>
              </w:rPr>
            </w:pPr>
            <w:r w:rsidRPr="00A65961">
              <w:rPr>
                <w:rFonts w:ascii="Times New Roman" w:hAnsi="Times New Roman" w:cs="Times New Roman"/>
                <w:sz w:val="21"/>
                <w:szCs w:val="21"/>
              </w:rPr>
              <w:t>1047</w:t>
            </w:r>
          </w:p>
        </w:tc>
      </w:tr>
      <w:tr w:rsidR="00B10E38" w:rsidRPr="001461A3" w14:paraId="5C8871BF" w14:textId="77777777" w:rsidTr="00F77551">
        <w:trPr>
          <w:trHeight w:val="340"/>
        </w:trPr>
        <w:tc>
          <w:tcPr>
            <w:tcW w:w="2035" w:type="pct"/>
            <w:vAlign w:val="center"/>
            <w:hideMark/>
          </w:tcPr>
          <w:p w14:paraId="5E19540A" w14:textId="31EC0BA9"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Learning rate 2019-2030</w:t>
            </w:r>
            <w:r w:rsidR="00E94AC9" w:rsidRPr="00A65961">
              <w:rPr>
                <w:rFonts w:ascii="Times New Roman" w:hAnsi="Times New Roman" w:cs="Times New Roman"/>
                <w:kern w:val="24"/>
                <w:sz w:val="21"/>
                <w:szCs w:val="21"/>
                <w:vertAlign w:val="superscript"/>
              </w:rPr>
              <w:t>1</w:t>
            </w:r>
            <w:r w:rsidR="005953BF">
              <w:rPr>
                <w:rFonts w:ascii="Times New Roman" w:hAnsi="Times New Roman" w:cs="Times New Roman"/>
                <w:kern w:val="24"/>
                <w:sz w:val="21"/>
                <w:szCs w:val="21"/>
                <w:vertAlign w:val="superscript"/>
              </w:rPr>
              <w:t>1</w:t>
            </w:r>
          </w:p>
        </w:tc>
        <w:tc>
          <w:tcPr>
            <w:tcW w:w="466" w:type="pct"/>
            <w:vAlign w:val="center"/>
            <w:hideMark/>
          </w:tcPr>
          <w:p w14:paraId="0CB9F8F9"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0.5%</w:t>
            </w:r>
          </w:p>
        </w:tc>
        <w:tc>
          <w:tcPr>
            <w:tcW w:w="436" w:type="pct"/>
            <w:vAlign w:val="center"/>
            <w:hideMark/>
          </w:tcPr>
          <w:p w14:paraId="55912D2A"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2%</w:t>
            </w:r>
          </w:p>
        </w:tc>
        <w:tc>
          <w:tcPr>
            <w:tcW w:w="509" w:type="pct"/>
            <w:vAlign w:val="center"/>
            <w:hideMark/>
          </w:tcPr>
          <w:p w14:paraId="3D7E93C0"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0.5%</w:t>
            </w:r>
          </w:p>
        </w:tc>
        <w:tc>
          <w:tcPr>
            <w:tcW w:w="582" w:type="pct"/>
            <w:vAlign w:val="center"/>
            <w:hideMark/>
          </w:tcPr>
          <w:p w14:paraId="3BF71161"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1%</w:t>
            </w:r>
          </w:p>
        </w:tc>
        <w:tc>
          <w:tcPr>
            <w:tcW w:w="486" w:type="pct"/>
            <w:vAlign w:val="center"/>
            <w:hideMark/>
          </w:tcPr>
          <w:p w14:paraId="10628DE8"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4%</w:t>
            </w:r>
          </w:p>
        </w:tc>
        <w:tc>
          <w:tcPr>
            <w:tcW w:w="486" w:type="pct"/>
            <w:vAlign w:val="center"/>
            <w:hideMark/>
          </w:tcPr>
          <w:p w14:paraId="2FEAC4B0"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0.5%</w:t>
            </w:r>
          </w:p>
        </w:tc>
      </w:tr>
      <w:tr w:rsidR="00B10E38" w:rsidRPr="001461A3" w14:paraId="1BAECFAD" w14:textId="77777777" w:rsidTr="00F77551">
        <w:trPr>
          <w:trHeight w:val="340"/>
        </w:trPr>
        <w:tc>
          <w:tcPr>
            <w:tcW w:w="2035" w:type="pct"/>
            <w:vAlign w:val="center"/>
            <w:hideMark/>
          </w:tcPr>
          <w:p w14:paraId="7980961B" w14:textId="597C25B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Learning rate 2030-2050</w:t>
            </w:r>
            <w:r w:rsidR="00E94AC9" w:rsidRPr="00A65961">
              <w:rPr>
                <w:rFonts w:ascii="Times New Roman" w:hAnsi="Times New Roman" w:cs="Times New Roman"/>
                <w:kern w:val="24"/>
                <w:sz w:val="21"/>
                <w:szCs w:val="21"/>
                <w:vertAlign w:val="superscript"/>
              </w:rPr>
              <w:t>14</w:t>
            </w:r>
          </w:p>
        </w:tc>
        <w:tc>
          <w:tcPr>
            <w:tcW w:w="466" w:type="pct"/>
            <w:vAlign w:val="center"/>
            <w:hideMark/>
          </w:tcPr>
          <w:p w14:paraId="550B9553"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0.25%</w:t>
            </w:r>
          </w:p>
        </w:tc>
        <w:tc>
          <w:tcPr>
            <w:tcW w:w="436" w:type="pct"/>
            <w:vAlign w:val="center"/>
            <w:hideMark/>
          </w:tcPr>
          <w:p w14:paraId="386C7362"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1%</w:t>
            </w:r>
          </w:p>
        </w:tc>
        <w:tc>
          <w:tcPr>
            <w:tcW w:w="509" w:type="pct"/>
            <w:vAlign w:val="center"/>
            <w:hideMark/>
          </w:tcPr>
          <w:p w14:paraId="33935576"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0.25%</w:t>
            </w:r>
          </w:p>
        </w:tc>
        <w:tc>
          <w:tcPr>
            <w:tcW w:w="582" w:type="pct"/>
            <w:vAlign w:val="center"/>
            <w:hideMark/>
          </w:tcPr>
          <w:p w14:paraId="3642680F"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0.5%</w:t>
            </w:r>
          </w:p>
        </w:tc>
        <w:tc>
          <w:tcPr>
            <w:tcW w:w="486" w:type="pct"/>
            <w:vAlign w:val="center"/>
            <w:hideMark/>
          </w:tcPr>
          <w:p w14:paraId="2C9ED946"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2%</w:t>
            </w:r>
          </w:p>
        </w:tc>
        <w:tc>
          <w:tcPr>
            <w:tcW w:w="486" w:type="pct"/>
            <w:vAlign w:val="center"/>
            <w:hideMark/>
          </w:tcPr>
          <w:p w14:paraId="65021364"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0.25%</w:t>
            </w:r>
          </w:p>
        </w:tc>
      </w:tr>
      <w:tr w:rsidR="00B10E38" w:rsidRPr="001461A3" w14:paraId="66FA121D" w14:textId="77777777" w:rsidTr="00F77551">
        <w:trPr>
          <w:trHeight w:val="283"/>
        </w:trPr>
        <w:tc>
          <w:tcPr>
            <w:tcW w:w="2035" w:type="pct"/>
            <w:vAlign w:val="center"/>
            <w:hideMark/>
          </w:tcPr>
          <w:p w14:paraId="1C61EC5A" w14:textId="5FA96579"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Life time(years)</w:t>
            </w:r>
            <w:r w:rsidR="00E94AC9" w:rsidRPr="00A65961">
              <w:rPr>
                <w:rFonts w:ascii="Times New Roman" w:hAnsi="Times New Roman" w:cs="Times New Roman"/>
                <w:kern w:val="24"/>
                <w:sz w:val="21"/>
                <w:szCs w:val="21"/>
                <w:vertAlign w:val="superscript"/>
              </w:rPr>
              <w:t>1</w:t>
            </w:r>
            <w:r w:rsidRPr="00A65961">
              <w:rPr>
                <w:rFonts w:ascii="Times New Roman" w:hAnsi="Times New Roman" w:cs="Times New Roman"/>
                <w:kern w:val="24"/>
                <w:sz w:val="21"/>
                <w:szCs w:val="21"/>
                <w:vertAlign w:val="superscript"/>
              </w:rPr>
              <w:t>2</w:t>
            </w:r>
          </w:p>
        </w:tc>
        <w:tc>
          <w:tcPr>
            <w:tcW w:w="466" w:type="pct"/>
            <w:vAlign w:val="center"/>
            <w:hideMark/>
          </w:tcPr>
          <w:p w14:paraId="73B4FDA0"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40</w:t>
            </w:r>
          </w:p>
        </w:tc>
        <w:tc>
          <w:tcPr>
            <w:tcW w:w="436" w:type="pct"/>
            <w:vAlign w:val="center"/>
            <w:hideMark/>
          </w:tcPr>
          <w:p w14:paraId="0172E787"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30</w:t>
            </w:r>
          </w:p>
        </w:tc>
        <w:tc>
          <w:tcPr>
            <w:tcW w:w="509" w:type="pct"/>
            <w:vAlign w:val="center"/>
            <w:hideMark/>
          </w:tcPr>
          <w:p w14:paraId="3028D805"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40</w:t>
            </w:r>
          </w:p>
        </w:tc>
        <w:tc>
          <w:tcPr>
            <w:tcW w:w="582" w:type="pct"/>
            <w:vAlign w:val="center"/>
            <w:hideMark/>
          </w:tcPr>
          <w:p w14:paraId="29F41794"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25</w:t>
            </w:r>
          </w:p>
        </w:tc>
        <w:tc>
          <w:tcPr>
            <w:tcW w:w="486" w:type="pct"/>
            <w:vAlign w:val="center"/>
            <w:hideMark/>
          </w:tcPr>
          <w:p w14:paraId="14394CFE"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25</w:t>
            </w:r>
          </w:p>
        </w:tc>
        <w:tc>
          <w:tcPr>
            <w:tcW w:w="486" w:type="pct"/>
            <w:vAlign w:val="center"/>
            <w:hideMark/>
          </w:tcPr>
          <w:p w14:paraId="754B5B4A" w14:textId="77777777" w:rsidR="00B10E38" w:rsidRPr="00A65961" w:rsidRDefault="00B10E38" w:rsidP="00F77551">
            <w:pPr>
              <w:jc w:val="center"/>
              <w:rPr>
                <w:rFonts w:ascii="Times New Roman" w:hAnsi="Times New Roman" w:cs="Times New Roman"/>
                <w:sz w:val="21"/>
                <w:szCs w:val="21"/>
              </w:rPr>
            </w:pPr>
            <w:r w:rsidRPr="00A65961">
              <w:rPr>
                <w:rFonts w:ascii="Times New Roman" w:hAnsi="Times New Roman" w:cs="Times New Roman"/>
                <w:kern w:val="24"/>
                <w:sz w:val="21"/>
                <w:szCs w:val="21"/>
              </w:rPr>
              <w:t>25</w:t>
            </w:r>
          </w:p>
        </w:tc>
      </w:tr>
    </w:tbl>
    <w:p w14:paraId="2295DE3E" w14:textId="4B10498A" w:rsidR="00B10E38" w:rsidRPr="00615BB8" w:rsidRDefault="00B10E38" w:rsidP="00B10E38">
      <w:pPr>
        <w:rPr>
          <w:rFonts w:ascii="Times New Roman" w:hAnsi="Times New Roman"/>
          <w:iCs/>
          <w:sz w:val="22"/>
        </w:rPr>
      </w:pPr>
      <w:r w:rsidRPr="00615BB8">
        <w:rPr>
          <w:rFonts w:ascii="Times New Roman" w:hAnsi="Times New Roman"/>
          <w:iCs/>
          <w:sz w:val="22"/>
        </w:rPr>
        <w:t>Source: IEA: Projected Cost of Generating electricity 2020</w:t>
      </w:r>
      <w:r w:rsidR="00190FD3">
        <w:rPr>
          <w:rFonts w:ascii="Times New Roman" w:hAnsi="Times New Roman"/>
          <w:iCs/>
          <w:sz w:val="22"/>
        </w:rPr>
        <w:t xml:space="preserve"> [10]</w:t>
      </w:r>
      <w:r w:rsidRPr="00615BB8">
        <w:rPr>
          <w:rFonts w:ascii="Times New Roman" w:hAnsi="Times New Roman"/>
          <w:iCs/>
          <w:sz w:val="22"/>
        </w:rPr>
        <w:t>;</w:t>
      </w:r>
    </w:p>
    <w:p w14:paraId="6A7BC617" w14:textId="5FE43DED" w:rsidR="00B10E38" w:rsidRPr="00615BB8" w:rsidRDefault="00B10E38" w:rsidP="00B10E38">
      <w:pPr>
        <w:rPr>
          <w:rFonts w:ascii="Times New Roman" w:hAnsi="Times New Roman"/>
          <w:iCs/>
          <w:sz w:val="22"/>
        </w:rPr>
      </w:pPr>
      <w:r w:rsidRPr="00615BB8">
        <w:rPr>
          <w:rFonts w:ascii="Times New Roman" w:hAnsi="Times New Roman"/>
          <w:iCs/>
          <w:sz w:val="22"/>
        </w:rPr>
        <w:t>Source: Chinese Electric Power Yearbook 2020</w:t>
      </w:r>
      <w:r w:rsidR="00190FD3">
        <w:rPr>
          <w:rFonts w:ascii="Times New Roman" w:hAnsi="Times New Roman"/>
          <w:iCs/>
          <w:sz w:val="22"/>
        </w:rPr>
        <w:t xml:space="preserve"> [7]</w:t>
      </w:r>
      <w:r w:rsidRPr="00615BB8">
        <w:rPr>
          <w:rFonts w:ascii="Times New Roman" w:hAnsi="Times New Roman"/>
          <w:iCs/>
          <w:sz w:val="22"/>
        </w:rPr>
        <w:t>;</w:t>
      </w:r>
    </w:p>
    <w:p w14:paraId="14228521" w14:textId="116F64A3" w:rsidR="00B10E38" w:rsidRPr="00615BB8" w:rsidRDefault="00B10E38" w:rsidP="00B10E38">
      <w:pPr>
        <w:rPr>
          <w:rFonts w:ascii="Times New Roman" w:hAnsi="Times New Roman"/>
          <w:iCs/>
          <w:sz w:val="22"/>
        </w:rPr>
      </w:pPr>
      <w:r w:rsidRPr="00615BB8">
        <w:rPr>
          <w:rFonts w:ascii="Times New Roman" w:hAnsi="Times New Roman"/>
          <w:iCs/>
          <w:sz w:val="22"/>
        </w:rPr>
        <w:t>Source: Li et al</w:t>
      </w:r>
      <w:r w:rsidR="00190FD3">
        <w:rPr>
          <w:rFonts w:ascii="Times New Roman" w:hAnsi="Times New Roman"/>
          <w:iCs/>
          <w:sz w:val="22"/>
        </w:rPr>
        <w:t xml:space="preserve"> [11]</w:t>
      </w:r>
      <w:r w:rsidRPr="00615BB8">
        <w:rPr>
          <w:rFonts w:ascii="Times New Roman" w:hAnsi="Times New Roman"/>
          <w:iCs/>
          <w:sz w:val="22"/>
        </w:rPr>
        <w:t>.</w:t>
      </w:r>
    </w:p>
    <w:p w14:paraId="76B747E1" w14:textId="06A1FFE8" w:rsidR="00341469" w:rsidRDefault="00A20B11" w:rsidP="00A20B11">
      <w:pPr>
        <w:pStyle w:val="TESupportingInformation"/>
        <w:rPr>
          <w:b/>
          <w:bCs/>
        </w:rPr>
      </w:pPr>
      <w:r w:rsidRPr="00A20B11">
        <w:rPr>
          <w:rFonts w:hint="eastAsia"/>
          <w:b/>
          <w:bCs/>
          <w:sz w:val="28"/>
          <w:szCs w:val="28"/>
          <w:lang w:eastAsia="zh-CN"/>
        </w:rPr>
        <w:t>(</w:t>
      </w:r>
      <w:r w:rsidRPr="00A20B11">
        <w:rPr>
          <w:b/>
          <w:bCs/>
          <w:sz w:val="28"/>
          <w:szCs w:val="28"/>
          <w:lang w:eastAsia="zh-CN"/>
        </w:rPr>
        <w:t>2)</w:t>
      </w:r>
      <w:r w:rsidRPr="00A20B11">
        <w:rPr>
          <w:b/>
          <w:bCs/>
        </w:rPr>
        <w:t xml:space="preserve"> Setting the target of electricity</w:t>
      </w:r>
    </w:p>
    <w:p w14:paraId="5B62575D" w14:textId="79748A7E" w:rsidR="00FA4D9A" w:rsidRPr="00850209" w:rsidRDefault="00FA4D9A" w:rsidP="00FA4D9A">
      <w:pPr>
        <w:pStyle w:val="TESupportingInformation"/>
      </w:pPr>
      <w:r w:rsidRPr="00850209">
        <w:t xml:space="preserve">In the context of the global commitment to </w:t>
      </w:r>
      <w:r>
        <w:t>carbon neutrality</w:t>
      </w:r>
      <w:r w:rsidRPr="00850209">
        <w:t xml:space="preserve">, IEA released its annual flagship report, World Energy Outlook 2021, which applied the World Energy Model (WEM) to study </w:t>
      </w:r>
      <w:r w:rsidRPr="00850209">
        <w:lastRenderedPageBreak/>
        <w:t>future energy development trends and simulated four scenarios: N</w:t>
      </w:r>
      <w:r>
        <w:t>et Zero Emission (N</w:t>
      </w:r>
      <w:r w:rsidRPr="00850209">
        <w:t>ZE</w:t>
      </w:r>
      <w:r>
        <w:t>)</w:t>
      </w:r>
      <w:r w:rsidRPr="00850209">
        <w:t xml:space="preserve"> 2050, Announced Commitment Scenario (APS), Stated Strategy Scenario (STEPS),  and Sustainable Development Scenario (SDS), where SDS takes into account China's latest DCG, so the projected electricity generation of this scenario is selected as the target value as shown in </w:t>
      </w:r>
      <w:r>
        <w:rPr>
          <w:rFonts w:hint="eastAsia"/>
        </w:rPr>
        <w:t xml:space="preserve">Table </w:t>
      </w:r>
      <w:r>
        <w:t>S</w:t>
      </w:r>
      <w:r w:rsidR="005953BF">
        <w:t>7</w:t>
      </w:r>
      <w:r w:rsidRPr="00850209">
        <w:t>.</w:t>
      </w:r>
    </w:p>
    <w:p w14:paraId="431308BC" w14:textId="06F1F658" w:rsidR="00FA4D9A" w:rsidRPr="00FA4D9A" w:rsidRDefault="00FA4D9A" w:rsidP="00FA4D9A">
      <w:pPr>
        <w:pStyle w:val="TESupportingInformation"/>
        <w:tabs>
          <w:tab w:val="left" w:pos="5665"/>
        </w:tabs>
        <w:ind w:firstLine="0"/>
      </w:pPr>
      <w:r w:rsidRPr="00850209">
        <w:t>Table</w:t>
      </w:r>
      <w:r>
        <w:rPr>
          <w:rFonts w:hint="eastAsia"/>
        </w:rPr>
        <w:t xml:space="preserve"> </w:t>
      </w:r>
      <w:r>
        <w:t>S</w:t>
      </w:r>
      <w:r w:rsidR="0062030E">
        <w:t>7</w:t>
      </w:r>
      <w:r>
        <w:t>.</w:t>
      </w:r>
      <w:r w:rsidRPr="00850209">
        <w:t xml:space="preserve"> future electricity generation structure</w:t>
      </w:r>
      <w:r>
        <w:tab/>
      </w:r>
    </w:p>
    <w:tbl>
      <w:tblPr>
        <w:tblStyle w:val="ac"/>
        <w:tblW w:w="5000" w:type="pct"/>
        <w:jc w:val="center"/>
        <w:tblLook w:val="04A0" w:firstRow="1" w:lastRow="0" w:firstColumn="1" w:lastColumn="0" w:noHBand="0" w:noVBand="1"/>
      </w:tblPr>
      <w:tblGrid>
        <w:gridCol w:w="1851"/>
        <w:gridCol w:w="907"/>
        <w:gridCol w:w="1388"/>
        <w:gridCol w:w="1354"/>
        <w:gridCol w:w="1030"/>
        <w:gridCol w:w="892"/>
        <w:gridCol w:w="1928"/>
      </w:tblGrid>
      <w:tr w:rsidR="00FA4D9A" w:rsidRPr="001461A3" w14:paraId="795EC7C6" w14:textId="77777777" w:rsidTr="00F77551">
        <w:trPr>
          <w:trHeight w:val="227"/>
          <w:jc w:val="center"/>
        </w:trPr>
        <w:tc>
          <w:tcPr>
            <w:tcW w:w="990" w:type="pct"/>
            <w:vMerge w:val="restart"/>
            <w:vAlign w:val="center"/>
          </w:tcPr>
          <w:p w14:paraId="18D0C0B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Year</w:t>
            </w:r>
          </w:p>
        </w:tc>
        <w:tc>
          <w:tcPr>
            <w:tcW w:w="4010" w:type="pct"/>
            <w:gridSpan w:val="6"/>
            <w:vAlign w:val="center"/>
          </w:tcPr>
          <w:p w14:paraId="1B7F2FF0"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Electricity Generation (TWh)</w:t>
            </w:r>
          </w:p>
        </w:tc>
      </w:tr>
      <w:tr w:rsidR="00FA4D9A" w:rsidRPr="001461A3" w14:paraId="0CD36B34" w14:textId="77777777" w:rsidTr="00F77551">
        <w:trPr>
          <w:trHeight w:val="227"/>
          <w:jc w:val="center"/>
        </w:trPr>
        <w:tc>
          <w:tcPr>
            <w:tcW w:w="990" w:type="pct"/>
            <w:vMerge/>
            <w:vAlign w:val="center"/>
          </w:tcPr>
          <w:p w14:paraId="442302F9" w14:textId="77777777" w:rsidR="00FA4D9A" w:rsidRPr="00A65961" w:rsidRDefault="00FA4D9A" w:rsidP="00F77551">
            <w:pPr>
              <w:jc w:val="center"/>
              <w:rPr>
                <w:rFonts w:ascii="Times New Roman" w:hAnsi="Times New Roman" w:cs="Times New Roman"/>
                <w:sz w:val="21"/>
                <w:szCs w:val="21"/>
              </w:rPr>
            </w:pPr>
          </w:p>
        </w:tc>
        <w:tc>
          <w:tcPr>
            <w:tcW w:w="485" w:type="pct"/>
            <w:vAlign w:val="center"/>
          </w:tcPr>
          <w:p w14:paraId="0E35D0AB"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Coal</w:t>
            </w:r>
          </w:p>
        </w:tc>
        <w:tc>
          <w:tcPr>
            <w:tcW w:w="742" w:type="pct"/>
            <w:vAlign w:val="center"/>
          </w:tcPr>
          <w:p w14:paraId="4192EB2A"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Nature gas</w:t>
            </w:r>
          </w:p>
        </w:tc>
        <w:tc>
          <w:tcPr>
            <w:tcW w:w="724" w:type="pct"/>
            <w:vAlign w:val="center"/>
          </w:tcPr>
          <w:p w14:paraId="3C54893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Nuclear</w:t>
            </w:r>
          </w:p>
        </w:tc>
        <w:tc>
          <w:tcPr>
            <w:tcW w:w="551" w:type="pct"/>
            <w:vAlign w:val="center"/>
          </w:tcPr>
          <w:p w14:paraId="121FFBF6"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Wind</w:t>
            </w:r>
          </w:p>
        </w:tc>
        <w:tc>
          <w:tcPr>
            <w:tcW w:w="477" w:type="pct"/>
            <w:vAlign w:val="center"/>
          </w:tcPr>
          <w:p w14:paraId="7011DA1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PV</w:t>
            </w:r>
          </w:p>
        </w:tc>
        <w:tc>
          <w:tcPr>
            <w:tcW w:w="1031" w:type="pct"/>
            <w:vAlign w:val="center"/>
          </w:tcPr>
          <w:p w14:paraId="77E7A5E0"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Other renewable</w:t>
            </w:r>
          </w:p>
        </w:tc>
      </w:tr>
      <w:tr w:rsidR="00FA4D9A" w:rsidRPr="001461A3" w14:paraId="672936DF" w14:textId="77777777" w:rsidTr="00F77551">
        <w:trPr>
          <w:jc w:val="center"/>
        </w:trPr>
        <w:tc>
          <w:tcPr>
            <w:tcW w:w="990" w:type="pct"/>
            <w:vAlign w:val="center"/>
          </w:tcPr>
          <w:p w14:paraId="25C461DD" w14:textId="12262A06"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2019</w:t>
            </w:r>
          </w:p>
        </w:tc>
        <w:tc>
          <w:tcPr>
            <w:tcW w:w="485" w:type="pct"/>
            <w:vAlign w:val="center"/>
          </w:tcPr>
          <w:p w14:paraId="79EB290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4899</w:t>
            </w:r>
          </w:p>
        </w:tc>
        <w:tc>
          <w:tcPr>
            <w:tcW w:w="742" w:type="pct"/>
            <w:vAlign w:val="center"/>
          </w:tcPr>
          <w:p w14:paraId="4D93131E"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226</w:t>
            </w:r>
          </w:p>
        </w:tc>
        <w:tc>
          <w:tcPr>
            <w:tcW w:w="724" w:type="pct"/>
            <w:vAlign w:val="center"/>
          </w:tcPr>
          <w:p w14:paraId="1E514AAE"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348</w:t>
            </w:r>
          </w:p>
        </w:tc>
        <w:tc>
          <w:tcPr>
            <w:tcW w:w="551" w:type="pct"/>
            <w:vAlign w:val="center"/>
          </w:tcPr>
          <w:p w14:paraId="2FAAB474"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406</w:t>
            </w:r>
          </w:p>
        </w:tc>
        <w:tc>
          <w:tcPr>
            <w:tcW w:w="477" w:type="pct"/>
            <w:vAlign w:val="center"/>
          </w:tcPr>
          <w:p w14:paraId="42D9854E"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224</w:t>
            </w:r>
          </w:p>
        </w:tc>
        <w:tc>
          <w:tcPr>
            <w:tcW w:w="1031" w:type="pct"/>
            <w:vAlign w:val="center"/>
          </w:tcPr>
          <w:p w14:paraId="2DDBDFE6"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1047</w:t>
            </w:r>
          </w:p>
        </w:tc>
      </w:tr>
      <w:tr w:rsidR="00FA4D9A" w:rsidRPr="001461A3" w14:paraId="41616399" w14:textId="77777777" w:rsidTr="00F77551">
        <w:trPr>
          <w:trHeight w:val="170"/>
          <w:jc w:val="center"/>
        </w:trPr>
        <w:tc>
          <w:tcPr>
            <w:tcW w:w="990" w:type="pct"/>
            <w:vAlign w:val="center"/>
          </w:tcPr>
          <w:p w14:paraId="332AEB52" w14:textId="5D26DA88"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2020</w:t>
            </w:r>
          </w:p>
        </w:tc>
        <w:tc>
          <w:tcPr>
            <w:tcW w:w="485" w:type="pct"/>
            <w:vAlign w:val="center"/>
          </w:tcPr>
          <w:p w14:paraId="10926842"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4958</w:t>
            </w:r>
          </w:p>
        </w:tc>
        <w:tc>
          <w:tcPr>
            <w:tcW w:w="742" w:type="pct"/>
            <w:vAlign w:val="center"/>
          </w:tcPr>
          <w:p w14:paraId="5BB659AE"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230</w:t>
            </w:r>
          </w:p>
        </w:tc>
        <w:tc>
          <w:tcPr>
            <w:tcW w:w="724" w:type="pct"/>
            <w:vAlign w:val="center"/>
          </w:tcPr>
          <w:p w14:paraId="7D9B60C4"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366</w:t>
            </w:r>
          </w:p>
        </w:tc>
        <w:tc>
          <w:tcPr>
            <w:tcW w:w="551" w:type="pct"/>
            <w:vAlign w:val="center"/>
          </w:tcPr>
          <w:p w14:paraId="4CDC495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471</w:t>
            </w:r>
          </w:p>
        </w:tc>
        <w:tc>
          <w:tcPr>
            <w:tcW w:w="477" w:type="pct"/>
            <w:vAlign w:val="center"/>
          </w:tcPr>
          <w:p w14:paraId="39F7994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270</w:t>
            </w:r>
          </w:p>
        </w:tc>
        <w:tc>
          <w:tcPr>
            <w:tcW w:w="1031" w:type="pct"/>
            <w:vAlign w:val="center"/>
          </w:tcPr>
          <w:p w14:paraId="6ABF20FC"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1115</w:t>
            </w:r>
          </w:p>
        </w:tc>
      </w:tr>
      <w:tr w:rsidR="00FA4D9A" w:rsidRPr="001461A3" w14:paraId="757AB493" w14:textId="77777777" w:rsidTr="00F77551">
        <w:trPr>
          <w:jc w:val="center"/>
        </w:trPr>
        <w:tc>
          <w:tcPr>
            <w:tcW w:w="990" w:type="pct"/>
            <w:vAlign w:val="center"/>
          </w:tcPr>
          <w:p w14:paraId="5036CEAE" w14:textId="369A6FA5"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2030</w:t>
            </w:r>
          </w:p>
        </w:tc>
        <w:tc>
          <w:tcPr>
            <w:tcW w:w="485" w:type="pct"/>
            <w:vAlign w:val="center"/>
          </w:tcPr>
          <w:p w14:paraId="61A3CAD7"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3867</w:t>
            </w:r>
          </w:p>
        </w:tc>
        <w:tc>
          <w:tcPr>
            <w:tcW w:w="742" w:type="pct"/>
            <w:vAlign w:val="center"/>
          </w:tcPr>
          <w:p w14:paraId="63A98DF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413</w:t>
            </w:r>
          </w:p>
        </w:tc>
        <w:tc>
          <w:tcPr>
            <w:tcW w:w="724" w:type="pct"/>
            <w:vAlign w:val="center"/>
          </w:tcPr>
          <w:p w14:paraId="7AB74FB5"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751</w:t>
            </w:r>
          </w:p>
        </w:tc>
        <w:tc>
          <w:tcPr>
            <w:tcW w:w="551" w:type="pct"/>
            <w:vAlign w:val="center"/>
          </w:tcPr>
          <w:p w14:paraId="6579C7F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1778</w:t>
            </w:r>
          </w:p>
        </w:tc>
        <w:tc>
          <w:tcPr>
            <w:tcW w:w="477" w:type="pct"/>
            <w:vAlign w:val="center"/>
          </w:tcPr>
          <w:p w14:paraId="0BF845B1"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1523</w:t>
            </w:r>
          </w:p>
        </w:tc>
        <w:tc>
          <w:tcPr>
            <w:tcW w:w="1031" w:type="pct"/>
            <w:vAlign w:val="center"/>
          </w:tcPr>
          <w:p w14:paraId="4E96424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1134</w:t>
            </w:r>
          </w:p>
        </w:tc>
      </w:tr>
      <w:tr w:rsidR="00FA4D9A" w:rsidRPr="001461A3" w14:paraId="59150107" w14:textId="77777777" w:rsidTr="00F77551">
        <w:trPr>
          <w:jc w:val="center"/>
        </w:trPr>
        <w:tc>
          <w:tcPr>
            <w:tcW w:w="990" w:type="pct"/>
            <w:vAlign w:val="center"/>
          </w:tcPr>
          <w:p w14:paraId="7F6E7079" w14:textId="5DB9D76B"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2050</w:t>
            </w:r>
          </w:p>
        </w:tc>
        <w:tc>
          <w:tcPr>
            <w:tcW w:w="485" w:type="pct"/>
            <w:vAlign w:val="center"/>
          </w:tcPr>
          <w:p w14:paraId="4ADDC293"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738</w:t>
            </w:r>
          </w:p>
        </w:tc>
        <w:tc>
          <w:tcPr>
            <w:tcW w:w="742" w:type="pct"/>
            <w:vAlign w:val="center"/>
          </w:tcPr>
          <w:p w14:paraId="387E5B8B"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703</w:t>
            </w:r>
          </w:p>
        </w:tc>
        <w:tc>
          <w:tcPr>
            <w:tcW w:w="724" w:type="pct"/>
            <w:vAlign w:val="center"/>
          </w:tcPr>
          <w:p w14:paraId="628AAAAD"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1450</w:t>
            </w:r>
          </w:p>
        </w:tc>
        <w:tc>
          <w:tcPr>
            <w:tcW w:w="551" w:type="pct"/>
            <w:vAlign w:val="center"/>
          </w:tcPr>
          <w:p w14:paraId="7CC29E1D"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4236</w:t>
            </w:r>
          </w:p>
        </w:tc>
        <w:tc>
          <w:tcPr>
            <w:tcW w:w="477" w:type="pct"/>
            <w:vAlign w:val="center"/>
          </w:tcPr>
          <w:p w14:paraId="5138B49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5286</w:t>
            </w:r>
          </w:p>
        </w:tc>
        <w:tc>
          <w:tcPr>
            <w:tcW w:w="1031" w:type="pct"/>
            <w:vAlign w:val="center"/>
          </w:tcPr>
          <w:p w14:paraId="07761BCB"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1367.6</w:t>
            </w:r>
          </w:p>
        </w:tc>
      </w:tr>
      <w:tr w:rsidR="00FA4D9A" w:rsidRPr="001461A3" w14:paraId="3AD439B7" w14:textId="77777777" w:rsidTr="00F77551">
        <w:trPr>
          <w:trHeight w:val="567"/>
          <w:jc w:val="center"/>
        </w:trPr>
        <w:tc>
          <w:tcPr>
            <w:tcW w:w="990" w:type="pct"/>
            <w:vAlign w:val="center"/>
          </w:tcPr>
          <w:p w14:paraId="15D551EC"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Annual normal operating hours</w:t>
            </w:r>
          </w:p>
        </w:tc>
        <w:tc>
          <w:tcPr>
            <w:tcW w:w="485" w:type="pct"/>
            <w:vAlign w:val="center"/>
          </w:tcPr>
          <w:p w14:paraId="33B47F2F"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4310</w:t>
            </w:r>
          </w:p>
        </w:tc>
        <w:tc>
          <w:tcPr>
            <w:tcW w:w="742" w:type="pct"/>
            <w:vAlign w:val="center"/>
          </w:tcPr>
          <w:p w14:paraId="2E800D9C"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2608</w:t>
            </w:r>
          </w:p>
        </w:tc>
        <w:tc>
          <w:tcPr>
            <w:tcW w:w="724" w:type="pct"/>
            <w:vAlign w:val="center"/>
          </w:tcPr>
          <w:p w14:paraId="0196E3DB"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6666</w:t>
            </w:r>
          </w:p>
        </w:tc>
        <w:tc>
          <w:tcPr>
            <w:tcW w:w="551" w:type="pct"/>
            <w:vAlign w:val="center"/>
          </w:tcPr>
          <w:p w14:paraId="14AFF54B"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1767</w:t>
            </w:r>
          </w:p>
        </w:tc>
        <w:tc>
          <w:tcPr>
            <w:tcW w:w="477" w:type="pct"/>
            <w:vAlign w:val="center"/>
          </w:tcPr>
          <w:p w14:paraId="3D620295"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972</w:t>
            </w:r>
          </w:p>
        </w:tc>
        <w:tc>
          <w:tcPr>
            <w:tcW w:w="1031" w:type="pct"/>
            <w:vAlign w:val="center"/>
          </w:tcPr>
          <w:p w14:paraId="7409E647" w14:textId="77777777" w:rsidR="00FA4D9A" w:rsidRPr="00A65961" w:rsidRDefault="00FA4D9A" w:rsidP="00F77551">
            <w:pPr>
              <w:jc w:val="center"/>
              <w:rPr>
                <w:rFonts w:ascii="Times New Roman" w:hAnsi="Times New Roman" w:cs="Times New Roman"/>
                <w:sz w:val="21"/>
                <w:szCs w:val="21"/>
              </w:rPr>
            </w:pPr>
            <w:r w:rsidRPr="00A65961">
              <w:rPr>
                <w:rFonts w:ascii="Times New Roman" w:hAnsi="Times New Roman" w:cs="Times New Roman"/>
                <w:sz w:val="21"/>
                <w:szCs w:val="21"/>
              </w:rPr>
              <w:t>3589</w:t>
            </w:r>
          </w:p>
        </w:tc>
      </w:tr>
    </w:tbl>
    <w:p w14:paraId="0F29EE51" w14:textId="77777777" w:rsidR="00FA4D9A" w:rsidRDefault="00FA4D9A" w:rsidP="00FA4D9A">
      <w:pPr>
        <w:pStyle w:val="TESupportingInformation"/>
      </w:pPr>
    </w:p>
    <w:p w14:paraId="126FC206" w14:textId="72055899" w:rsidR="00FA4D9A" w:rsidRPr="00850209" w:rsidRDefault="00FA4D9A" w:rsidP="00EE25E5">
      <w:pPr>
        <w:pStyle w:val="TESupportingInformation"/>
      </w:pPr>
      <w:r w:rsidRPr="00850209">
        <w:t>Since the report does not give a target value of installed electricity generation capacity that is consistent with this study, the future target value of installed electricity generation capacity is estimated based on the relationship between installed electricity generation capacity and electricity generation.</w:t>
      </w:r>
    </w:p>
    <w:p w14:paraId="2DFF631E" w14:textId="5224D24D" w:rsidR="00FA4D9A" w:rsidRPr="00850209" w:rsidRDefault="00FA4D9A" w:rsidP="00EE25E5">
      <w:pPr>
        <w:pStyle w:val="TESupportingInformation"/>
      </w:pPr>
      <w:r w:rsidRPr="00850209">
        <w:t>The theoretical electricity generation is calculated based on the rated generation capacity of the installed electricity generating units at full generation. Annual electricity generation is equal to the installed generation capacity multiplied by the total hours of the year; The designed electricity generation is calculated according to the normal working capacity of the installed electricity generation machine. Annual electricity generation is equal to the installed generation capacity multiplied by the normal working hours.</w:t>
      </w:r>
    </w:p>
    <w:p w14:paraId="0FE30C4D" w14:textId="5F0125BC" w:rsidR="00A20B11" w:rsidRDefault="00FA4D9A" w:rsidP="008F596C">
      <w:pPr>
        <w:pStyle w:val="TESupportingInformation"/>
      </w:pPr>
      <w:r w:rsidRPr="00850209">
        <w:t>This study assumes that the future normal operating hours of utilization of various electricity generation technologies are calculated as the average of 2015-2019, and the specific values are shown in the table above, and the target values of future installed electricity generation capacity in China can be obtained by conversion.</w:t>
      </w:r>
    </w:p>
    <w:p w14:paraId="1E502625" w14:textId="77777777" w:rsidR="0062030E" w:rsidRPr="00B00A00" w:rsidRDefault="0062030E" w:rsidP="0062030E">
      <w:r w:rsidRPr="00B00A00">
        <w:rPr>
          <w:rFonts w:hint="eastAsia"/>
        </w:rPr>
        <w:t>T</w:t>
      </w:r>
      <w:r w:rsidRPr="00B00A00">
        <w:t xml:space="preserve">able </w:t>
      </w:r>
      <w:r>
        <w:t>S8</w:t>
      </w:r>
      <w:r w:rsidRPr="00B00A00">
        <w:t>. GDP target value for specific year (</w:t>
      </w:r>
      <w:r w:rsidRPr="00B00A00">
        <w:rPr>
          <w:rFonts w:hint="eastAsia"/>
        </w:rPr>
        <w:t>¥</w:t>
      </w:r>
      <w:r w:rsidRPr="00B00A00">
        <w:t xml:space="preserve"> billion)</w:t>
      </w:r>
    </w:p>
    <w:tbl>
      <w:tblPr>
        <w:tblStyle w:val="ac"/>
        <w:tblW w:w="4953" w:type="pct"/>
        <w:tblLook w:val="04A0" w:firstRow="1" w:lastRow="0" w:firstColumn="1" w:lastColumn="0" w:noHBand="0" w:noVBand="1"/>
      </w:tblPr>
      <w:tblGrid>
        <w:gridCol w:w="2237"/>
        <w:gridCol w:w="1597"/>
        <w:gridCol w:w="1810"/>
        <w:gridCol w:w="1812"/>
        <w:gridCol w:w="1806"/>
      </w:tblGrid>
      <w:tr w:rsidR="0062030E" w14:paraId="5D8BB405" w14:textId="77777777" w:rsidTr="00874347">
        <w:tc>
          <w:tcPr>
            <w:tcW w:w="1207" w:type="pct"/>
          </w:tcPr>
          <w:p w14:paraId="03D40EDF"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scenario</w:t>
            </w:r>
          </w:p>
        </w:tc>
        <w:tc>
          <w:tcPr>
            <w:tcW w:w="862" w:type="pct"/>
          </w:tcPr>
          <w:p w14:paraId="794B21AD"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2019</w:t>
            </w:r>
          </w:p>
        </w:tc>
        <w:tc>
          <w:tcPr>
            <w:tcW w:w="977" w:type="pct"/>
          </w:tcPr>
          <w:p w14:paraId="5257F18B"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2030</w:t>
            </w:r>
          </w:p>
        </w:tc>
        <w:tc>
          <w:tcPr>
            <w:tcW w:w="978" w:type="pct"/>
          </w:tcPr>
          <w:p w14:paraId="12DA398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2050</w:t>
            </w:r>
          </w:p>
        </w:tc>
        <w:tc>
          <w:tcPr>
            <w:tcW w:w="975" w:type="pct"/>
          </w:tcPr>
          <w:p w14:paraId="58DE2704"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2060</w:t>
            </w:r>
          </w:p>
        </w:tc>
      </w:tr>
      <w:tr w:rsidR="0062030E" w14:paraId="2D8DFA3C" w14:textId="77777777" w:rsidTr="00874347">
        <w:tc>
          <w:tcPr>
            <w:tcW w:w="1207" w:type="pct"/>
          </w:tcPr>
          <w:p w14:paraId="53860F6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Low GDP growth</w:t>
            </w:r>
          </w:p>
        </w:tc>
        <w:tc>
          <w:tcPr>
            <w:tcW w:w="862" w:type="pct"/>
          </w:tcPr>
          <w:p w14:paraId="590A290D"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98651.6</w:t>
            </w:r>
          </w:p>
        </w:tc>
        <w:tc>
          <w:tcPr>
            <w:tcW w:w="977" w:type="pct"/>
          </w:tcPr>
          <w:p w14:paraId="75D5C5DD"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160000</w:t>
            </w:r>
          </w:p>
        </w:tc>
        <w:tc>
          <w:tcPr>
            <w:tcW w:w="978" w:type="pct"/>
          </w:tcPr>
          <w:p w14:paraId="2514AFF0"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300000</w:t>
            </w:r>
          </w:p>
        </w:tc>
        <w:tc>
          <w:tcPr>
            <w:tcW w:w="975" w:type="pct"/>
          </w:tcPr>
          <w:p w14:paraId="25AE5F62"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370000</w:t>
            </w:r>
          </w:p>
        </w:tc>
      </w:tr>
      <w:tr w:rsidR="0062030E" w14:paraId="36D0A9C0" w14:textId="77777777" w:rsidTr="00874347">
        <w:tc>
          <w:tcPr>
            <w:tcW w:w="1207" w:type="pct"/>
          </w:tcPr>
          <w:p w14:paraId="3AC59C26"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Medium GDP growth</w:t>
            </w:r>
          </w:p>
        </w:tc>
        <w:tc>
          <w:tcPr>
            <w:tcW w:w="862" w:type="pct"/>
          </w:tcPr>
          <w:p w14:paraId="4A043B2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98651.6</w:t>
            </w:r>
          </w:p>
        </w:tc>
        <w:tc>
          <w:tcPr>
            <w:tcW w:w="977" w:type="pct"/>
          </w:tcPr>
          <w:p w14:paraId="1F5EA08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169000</w:t>
            </w:r>
          </w:p>
        </w:tc>
        <w:tc>
          <w:tcPr>
            <w:tcW w:w="978" w:type="pct"/>
          </w:tcPr>
          <w:p w14:paraId="0C417F4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338000</w:t>
            </w:r>
          </w:p>
        </w:tc>
        <w:tc>
          <w:tcPr>
            <w:tcW w:w="975" w:type="pct"/>
          </w:tcPr>
          <w:p w14:paraId="47BCF35A"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435000</w:t>
            </w:r>
          </w:p>
        </w:tc>
      </w:tr>
      <w:tr w:rsidR="0062030E" w14:paraId="689513CC" w14:textId="77777777" w:rsidTr="00874347">
        <w:tc>
          <w:tcPr>
            <w:tcW w:w="1207" w:type="pct"/>
          </w:tcPr>
          <w:p w14:paraId="7E0CED5C"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High GDPgrowth</w:t>
            </w:r>
          </w:p>
        </w:tc>
        <w:tc>
          <w:tcPr>
            <w:tcW w:w="862" w:type="pct"/>
          </w:tcPr>
          <w:p w14:paraId="50FACE9E"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98651.6</w:t>
            </w:r>
          </w:p>
        </w:tc>
        <w:tc>
          <w:tcPr>
            <w:tcW w:w="977" w:type="pct"/>
          </w:tcPr>
          <w:p w14:paraId="40D56854"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182000</w:t>
            </w:r>
          </w:p>
        </w:tc>
        <w:tc>
          <w:tcPr>
            <w:tcW w:w="978" w:type="pct"/>
          </w:tcPr>
          <w:p w14:paraId="56102BB1"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400000</w:t>
            </w:r>
          </w:p>
        </w:tc>
        <w:tc>
          <w:tcPr>
            <w:tcW w:w="975" w:type="pct"/>
          </w:tcPr>
          <w:p w14:paraId="45690296" w14:textId="77777777" w:rsidR="0062030E" w:rsidRPr="00570CE9" w:rsidRDefault="0062030E" w:rsidP="00874347">
            <w:pPr>
              <w:jc w:val="center"/>
              <w:rPr>
                <w:rFonts w:ascii="Times New Roman" w:hAnsi="Times New Roman" w:cs="Times New Roman"/>
                <w:sz w:val="21"/>
                <w:szCs w:val="21"/>
              </w:rPr>
            </w:pPr>
            <w:r w:rsidRPr="00570CE9">
              <w:rPr>
                <w:rFonts w:ascii="Times New Roman" w:hAnsi="Times New Roman" w:cs="Times New Roman"/>
                <w:sz w:val="21"/>
                <w:szCs w:val="21"/>
              </w:rPr>
              <w:t>550000</w:t>
            </w:r>
          </w:p>
        </w:tc>
      </w:tr>
    </w:tbl>
    <w:p w14:paraId="4A118CB7" w14:textId="257243FB" w:rsidR="0062030E" w:rsidRDefault="0062030E" w:rsidP="0062030E"/>
    <w:p w14:paraId="381B1AC9" w14:textId="77777777" w:rsidR="0062030E" w:rsidRDefault="0062030E" w:rsidP="0062030E">
      <w:pPr>
        <w:rPr>
          <w:b/>
          <w:bCs/>
          <w:sz w:val="28"/>
          <w:szCs w:val="28"/>
          <w:lang w:eastAsia="zh-CN"/>
        </w:rPr>
      </w:pPr>
      <w:r>
        <w:rPr>
          <w:rFonts w:hint="eastAsia"/>
          <w:b/>
          <w:bCs/>
          <w:sz w:val="28"/>
          <w:szCs w:val="28"/>
          <w:lang w:eastAsia="zh-CN"/>
        </w:rPr>
        <w:lastRenderedPageBreak/>
        <w:t>S</w:t>
      </w:r>
      <w:r>
        <w:rPr>
          <w:b/>
          <w:bCs/>
          <w:sz w:val="28"/>
          <w:szCs w:val="28"/>
          <w:lang w:eastAsia="zh-CN"/>
        </w:rPr>
        <w:t xml:space="preserve">5: </w:t>
      </w:r>
      <w:r w:rsidRPr="004A1861">
        <w:rPr>
          <w:rFonts w:ascii="Times New Roman" w:hAnsi="Times New Roman"/>
          <w:b/>
          <w:bCs/>
          <w:iCs/>
          <w:sz w:val="28"/>
          <w:szCs w:val="28"/>
        </w:rPr>
        <w:t>Forecasting energy consumption</w:t>
      </w:r>
    </w:p>
    <w:p w14:paraId="02DF6086" w14:textId="04126DB6" w:rsidR="0062030E" w:rsidRDefault="0062030E" w:rsidP="0062030E">
      <w:pPr>
        <w:pStyle w:val="TESupportingInformation"/>
      </w:pPr>
      <w:r w:rsidRPr="00850209">
        <w:t>From historical data, China's total primary energy consumption and per capita energy consumption are increasing year by year, and in 2009, the total 97.52 EJ exceeded the US 89.92 EJ for the first time, becoming the world's largest energy consumer</w:t>
      </w:r>
      <w:r w:rsidR="00190FD3">
        <w:t xml:space="preserve"> [4]</w:t>
      </w:r>
      <w:r w:rsidRPr="00850209">
        <w:t xml:space="preserve">. China's per capita energy consumption in 2013 was 3.5 times higher than in 1990, exceeding the world' s average, reflecting China's remarkable achievements and significant improvements in the country's industrialization and the living standards of its residents. In the background of China's industry restructuring, energy conservation and emission reduction, the development trend of energy consumption does not always continue the past, and various institutions have different predictions for the future of China's total primary energy consumption, summarized in three trends: " continuous growth" "first up and then down " "sustained growth followed by a steady decline". In this paper, we estimate the future trend of total primary energy consumption in China based on two indicators: per capita energy consumption and total population. </w:t>
      </w:r>
    </w:p>
    <w:p w14:paraId="4E869D71" w14:textId="77777777" w:rsidR="0062030E" w:rsidRPr="00850209" w:rsidRDefault="0062030E" w:rsidP="0062030E">
      <w:pPr>
        <w:pStyle w:val="TESupportingInformation"/>
      </w:pPr>
      <w:r w:rsidRPr="00850209">
        <w:t xml:space="preserve">First of all, China's per capita energy consumption from 2008 to 2020 was analyzed by regression, and the future per capita energy consumption in China from 2020 to 2060 was obtained, and then combined with the population projection data of the United Nations Population Division (taking Constant-fertility as an example), the future trend of China's primary energy consumption is shown in </w:t>
      </w:r>
      <w:r>
        <w:rPr>
          <w:rFonts w:hint="eastAsia"/>
        </w:rPr>
        <w:t>Fig</w:t>
      </w:r>
      <w:r>
        <w:t>ure S1</w:t>
      </w:r>
      <w:r w:rsidRPr="00850209">
        <w:t>. In simulation, the energy consumption of specific years 2020, 2030, 2035, 2050, and 2060 in this forecast result is used as the target value to simulate the optimal path</w:t>
      </w:r>
      <w:r>
        <w:rPr>
          <w:rFonts w:hint="eastAsia"/>
        </w:rPr>
        <w:t>way</w:t>
      </w:r>
      <w:r w:rsidRPr="00850209">
        <w:t xml:space="preserve"> under multi-objectives.</w:t>
      </w:r>
      <w:r w:rsidRPr="00E56EC6">
        <w:t xml:space="preserve"> </w:t>
      </w:r>
      <w:r w:rsidRPr="00850209">
        <w:t xml:space="preserve">As </w:t>
      </w:r>
      <w:r>
        <w:rPr>
          <w:rFonts w:hint="eastAsia"/>
        </w:rPr>
        <w:t>shown in Fig</w:t>
      </w:r>
      <w:r>
        <w:t>ure S1</w:t>
      </w:r>
      <w:r>
        <w:rPr>
          <w:rFonts w:hint="eastAsia"/>
        </w:rPr>
        <w:t>,</w:t>
      </w:r>
      <w:r w:rsidRPr="00850209">
        <w:t xml:space="preserve"> the per capita energy consumption and total primary energy consumption are gradually decreasing in the future due to the improvement of quality of life and energy conservation awareness.</w:t>
      </w:r>
    </w:p>
    <w:p w14:paraId="1D52CAB4" w14:textId="77777777" w:rsidR="0062030E" w:rsidRDefault="0062030E" w:rsidP="0062030E">
      <w:pPr>
        <w:pStyle w:val="TESupportingInformation"/>
      </w:pPr>
      <w:r>
        <w:rPr>
          <w:noProof/>
          <w:lang w:eastAsia="zh-CN"/>
        </w:rPr>
        <w:drawing>
          <wp:inline distT="0" distB="0" distL="0" distR="0" wp14:anchorId="36F76FAF" wp14:editId="4D845E05">
            <wp:extent cx="5809129" cy="3099360"/>
            <wp:effectExtent l="0" t="0" r="1270" b="635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841035" cy="3116383"/>
                    </a:xfrm>
                    <a:prstGeom prst="rect">
                      <a:avLst/>
                    </a:prstGeom>
                  </pic:spPr>
                </pic:pic>
              </a:graphicData>
            </a:graphic>
          </wp:inline>
        </w:drawing>
      </w:r>
    </w:p>
    <w:p w14:paraId="0C370CEC" w14:textId="75B076B3" w:rsidR="0062030E" w:rsidRDefault="0062030E" w:rsidP="0062030E">
      <w:pPr>
        <w:pStyle w:val="TESupportingInformation"/>
        <w:ind w:firstLine="0"/>
        <w:rPr>
          <w:sz w:val="21"/>
          <w:szCs w:val="21"/>
        </w:rPr>
      </w:pPr>
      <w:r w:rsidRPr="00E6164D">
        <w:rPr>
          <w:rFonts w:hint="eastAsia"/>
          <w:b/>
          <w:bCs/>
          <w:sz w:val="21"/>
          <w:szCs w:val="21"/>
        </w:rPr>
        <w:t>F</w:t>
      </w:r>
      <w:r w:rsidRPr="00E6164D">
        <w:rPr>
          <w:b/>
          <w:bCs/>
          <w:sz w:val="21"/>
          <w:szCs w:val="21"/>
        </w:rPr>
        <w:t>ig</w:t>
      </w:r>
      <w:r>
        <w:rPr>
          <w:b/>
          <w:bCs/>
          <w:sz w:val="21"/>
          <w:szCs w:val="21"/>
        </w:rPr>
        <w:t>ure S</w:t>
      </w:r>
      <w:r w:rsidRPr="00E6164D">
        <w:rPr>
          <w:b/>
          <w:bCs/>
          <w:sz w:val="21"/>
          <w:szCs w:val="21"/>
        </w:rPr>
        <w:t>1</w:t>
      </w:r>
      <w:r>
        <w:rPr>
          <w:b/>
          <w:bCs/>
          <w:sz w:val="21"/>
          <w:szCs w:val="21"/>
        </w:rPr>
        <w:t>.</w:t>
      </w:r>
      <w:r w:rsidRPr="00F77551">
        <w:t xml:space="preserve"> Primary energy consumption pathway.</w:t>
      </w:r>
      <w:r w:rsidRPr="005B4E81">
        <w:t xml:space="preserve"> </w:t>
      </w:r>
      <w:r>
        <w:t>T</w:t>
      </w:r>
      <w:r w:rsidRPr="00850209">
        <w:t>he future total population of China peaks in 2030 at 14,623.36 million people, and the total primary energy</w:t>
      </w:r>
      <w:r>
        <w:t xml:space="preserve"> consumption peaks in 2035 at 180.64 EJ.</w:t>
      </w:r>
    </w:p>
    <w:p w14:paraId="2BA6C688" w14:textId="77777777" w:rsidR="0062030E" w:rsidRPr="0062030E" w:rsidRDefault="0062030E" w:rsidP="00037F83"/>
    <w:p w14:paraId="297D37C8" w14:textId="422E81D9" w:rsidR="007D181F" w:rsidRDefault="007D181F" w:rsidP="007D181F">
      <w:pPr>
        <w:rPr>
          <w:b/>
          <w:bCs/>
          <w:sz w:val="28"/>
          <w:szCs w:val="28"/>
          <w:lang w:eastAsia="zh-CN"/>
        </w:rPr>
      </w:pPr>
      <w:r>
        <w:rPr>
          <w:rFonts w:hint="eastAsia"/>
          <w:b/>
          <w:bCs/>
          <w:sz w:val="28"/>
          <w:szCs w:val="28"/>
          <w:lang w:eastAsia="zh-CN"/>
        </w:rPr>
        <w:t>S</w:t>
      </w:r>
      <w:r w:rsidR="0062030E">
        <w:rPr>
          <w:b/>
          <w:bCs/>
          <w:sz w:val="28"/>
          <w:szCs w:val="28"/>
          <w:lang w:eastAsia="zh-CN"/>
        </w:rPr>
        <w:t>6</w:t>
      </w:r>
      <w:r>
        <w:rPr>
          <w:b/>
          <w:bCs/>
          <w:sz w:val="28"/>
          <w:szCs w:val="28"/>
          <w:lang w:eastAsia="zh-CN"/>
        </w:rPr>
        <w:t xml:space="preserve">: </w:t>
      </w:r>
      <w:r w:rsidR="0043709B">
        <w:rPr>
          <w:b/>
          <w:bCs/>
          <w:sz w:val="28"/>
          <w:szCs w:val="28"/>
          <w:lang w:eastAsia="zh-CN"/>
        </w:rPr>
        <w:t>Extended figures</w:t>
      </w:r>
    </w:p>
    <w:p w14:paraId="6B4D8DBA" w14:textId="2088825F" w:rsidR="00EF47AB" w:rsidRDefault="002A6D26" w:rsidP="00F77551">
      <w:pPr>
        <w:pStyle w:val="TESupportingInformation"/>
      </w:pPr>
      <w:r w:rsidRPr="002A6D26">
        <w:t xml:space="preserve">We set up 54 scenarios, and when solving the model, same results for different target priority order </w:t>
      </w:r>
      <w:r>
        <w:t>occurs</w:t>
      </w:r>
      <w:r w:rsidRPr="002A6D26">
        <w:t xml:space="preserve">, the </w:t>
      </w:r>
      <w:r>
        <w:t xml:space="preserve">scenario for </w:t>
      </w:r>
      <w:r w:rsidRPr="002A6D26">
        <w:t>target priority order is: economic</w:t>
      </w:r>
      <w:r>
        <w:t>,</w:t>
      </w:r>
      <w:r w:rsidRPr="002A6D26">
        <w:t xml:space="preserve"> energy</w:t>
      </w:r>
      <w:r>
        <w:t xml:space="preserve"> and</w:t>
      </w:r>
      <w:r w:rsidRPr="002A6D26">
        <w:t xml:space="preserve"> carbon </w:t>
      </w:r>
      <w:r>
        <w:t>h</w:t>
      </w:r>
      <w:r w:rsidRPr="002A6D26">
        <w:t>as the same result as the scenario</w:t>
      </w:r>
      <w:r>
        <w:t>:</w:t>
      </w:r>
      <w:r w:rsidRPr="002A6D26">
        <w:t xml:space="preserve"> energy</w:t>
      </w:r>
      <w:r>
        <w:t>,</w:t>
      </w:r>
      <w:r w:rsidRPr="002A6D26">
        <w:t xml:space="preserve"> economic</w:t>
      </w:r>
      <w:r>
        <w:t xml:space="preserve"> and</w:t>
      </w:r>
      <w:r w:rsidRPr="002A6D26">
        <w:t xml:space="preserve"> carbon</w:t>
      </w:r>
      <w:r>
        <w:t>.</w:t>
      </w:r>
      <w:r w:rsidRPr="002A6D26">
        <w:t xml:space="preserve"> </w:t>
      </w:r>
      <w:r>
        <w:t>T</w:t>
      </w:r>
      <w:r w:rsidRPr="002A6D26">
        <w:t>hus</w:t>
      </w:r>
      <w:r>
        <w:t>,</w:t>
      </w:r>
      <w:r w:rsidRPr="002A6D26">
        <w:t xml:space="preserve"> there are 27 different results after combining the scenarios. This section lists 18 </w:t>
      </w:r>
      <w:r w:rsidR="007D5DF8">
        <w:t>results</w:t>
      </w:r>
      <w:r w:rsidR="007D5DF8">
        <w:rPr>
          <w:rFonts w:hint="eastAsia"/>
          <w:lang w:eastAsia="zh-CN"/>
        </w:rPr>
        <w:t xml:space="preserve">. </w:t>
      </w:r>
      <w:r w:rsidR="007D5DF8">
        <w:rPr>
          <w:lang w:eastAsia="zh-CN"/>
        </w:rPr>
        <w:t>T</w:t>
      </w:r>
      <w:r w:rsidR="007D5DF8">
        <w:rPr>
          <w:rFonts w:hint="eastAsia"/>
          <w:lang w:eastAsia="zh-CN"/>
        </w:rPr>
        <w:t xml:space="preserve">he remaining 9 results are </w:t>
      </w:r>
      <w:r w:rsidR="001D7DAA">
        <w:rPr>
          <w:lang w:eastAsia="zh-CN"/>
        </w:rPr>
        <w:t xml:space="preserve">displayed </w:t>
      </w:r>
      <w:r w:rsidR="001D7DAA" w:rsidRPr="002A6D26">
        <w:t>in</w:t>
      </w:r>
      <w:r w:rsidR="007D5DF8">
        <w:rPr>
          <w:rFonts w:hint="eastAsia"/>
          <w:lang w:eastAsia="zh-CN"/>
        </w:rPr>
        <w:t xml:space="preserve"> </w:t>
      </w:r>
      <w:r w:rsidRPr="002A6D26">
        <w:t>the main text.</w:t>
      </w:r>
    </w:p>
    <w:p w14:paraId="5DBEB6D2" w14:textId="4810B560" w:rsidR="00A7074E" w:rsidRDefault="000B71D5" w:rsidP="00EF47AB">
      <w:r>
        <w:rPr>
          <w:noProof/>
          <w:lang w:eastAsia="zh-CN"/>
        </w:rPr>
        <w:drawing>
          <wp:inline distT="0" distB="0" distL="0" distR="0" wp14:anchorId="440AF46C" wp14:editId="204C521E">
            <wp:extent cx="6170279" cy="3458186"/>
            <wp:effectExtent l="0" t="0" r="2540" b="952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6675" cy="3478585"/>
                    </a:xfrm>
                    <a:prstGeom prst="rect">
                      <a:avLst/>
                    </a:prstGeom>
                  </pic:spPr>
                </pic:pic>
              </a:graphicData>
            </a:graphic>
          </wp:inline>
        </w:drawing>
      </w:r>
    </w:p>
    <w:p w14:paraId="2DD3EB32" w14:textId="24348ABD" w:rsidR="00A7074E" w:rsidRDefault="000B71D5" w:rsidP="00EF47AB">
      <w:r w:rsidRPr="00F77551">
        <w:rPr>
          <w:b/>
          <w:bCs/>
          <w:lang w:eastAsia="zh-CN"/>
        </w:rPr>
        <w:t>Figure S2</w:t>
      </w:r>
      <w:r w:rsidR="009706A6" w:rsidRPr="00F77551">
        <w:rPr>
          <w:b/>
          <w:bCs/>
          <w:lang w:eastAsia="zh-CN"/>
        </w:rPr>
        <w:t>.</w:t>
      </w:r>
      <w:r w:rsidR="0072203B" w:rsidRPr="00F77551">
        <w:rPr>
          <w:b/>
          <w:bCs/>
        </w:rPr>
        <w:t xml:space="preserve"> </w:t>
      </w:r>
      <w:r w:rsidR="0072203B" w:rsidRPr="00383F03">
        <w:t>China’s industrial value</w:t>
      </w:r>
      <w:r w:rsidR="0072203B">
        <w:t>-</w:t>
      </w:r>
      <w:r w:rsidR="0072203B" w:rsidRPr="00383F03">
        <w:t xml:space="preserve">added and carbon emission optimal pathways </w:t>
      </w:r>
      <w:r w:rsidR="0072203B">
        <w:t>under low economic growth for</w:t>
      </w:r>
      <w:r w:rsidR="0072203B" w:rsidRPr="00383F03">
        <w:t xml:space="preserve"> 2020</w:t>
      </w:r>
      <w:r w:rsidR="0072203B">
        <w:t>–</w:t>
      </w:r>
      <w:r w:rsidR="0072203B" w:rsidRPr="00383F03">
        <w:t>2060.</w:t>
      </w:r>
    </w:p>
    <w:p w14:paraId="0EBB32B4" w14:textId="740CD04A" w:rsidR="00D915EC" w:rsidRDefault="00D915EC" w:rsidP="00EF47AB"/>
    <w:p w14:paraId="2A9F97BA" w14:textId="7269F9E9" w:rsidR="00D915EC" w:rsidRDefault="00D915EC" w:rsidP="00EF47AB">
      <w:pPr>
        <w:rPr>
          <w:lang w:eastAsia="zh-CN"/>
        </w:rPr>
      </w:pPr>
      <w:r>
        <w:rPr>
          <w:rFonts w:hint="eastAsia"/>
          <w:noProof/>
          <w:lang w:eastAsia="zh-CN"/>
        </w:rPr>
        <w:lastRenderedPageBreak/>
        <w:drawing>
          <wp:inline distT="0" distB="0" distL="0" distR="0" wp14:anchorId="66A55A13" wp14:editId="53E2938C">
            <wp:extent cx="5976468" cy="3181190"/>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04681" cy="3196207"/>
                    </a:xfrm>
                    <a:prstGeom prst="rect">
                      <a:avLst/>
                    </a:prstGeom>
                  </pic:spPr>
                </pic:pic>
              </a:graphicData>
            </a:graphic>
          </wp:inline>
        </w:drawing>
      </w:r>
    </w:p>
    <w:p w14:paraId="59BD4202" w14:textId="23369390" w:rsidR="00A7074E" w:rsidRDefault="00D915EC" w:rsidP="00EF47AB">
      <w:r w:rsidRPr="00F77551">
        <w:rPr>
          <w:b/>
          <w:bCs/>
          <w:lang w:eastAsia="zh-CN"/>
        </w:rPr>
        <w:t>Figure S3.</w:t>
      </w:r>
      <w:r>
        <w:rPr>
          <w:lang w:eastAsia="zh-CN"/>
        </w:rPr>
        <w:t xml:space="preserve"> </w:t>
      </w:r>
      <w:r w:rsidRPr="00EC774D">
        <w:t xml:space="preserve">China’s industrial energy consumption and carbon emission optimization pathways </w:t>
      </w:r>
      <w:r>
        <w:t>under low economic growth for</w:t>
      </w:r>
      <w:r w:rsidRPr="00EC774D">
        <w:t xml:space="preserve"> 2020</w:t>
      </w:r>
      <w:r>
        <w:t>–</w:t>
      </w:r>
      <w:r w:rsidRPr="00EC774D">
        <w:t>2060.</w:t>
      </w:r>
    </w:p>
    <w:p w14:paraId="7FC7D24D" w14:textId="77777777" w:rsidR="004B75F2" w:rsidRDefault="004B75F2" w:rsidP="00EF47AB">
      <w:pPr>
        <w:rPr>
          <w:lang w:eastAsia="zh-CN"/>
        </w:rPr>
      </w:pPr>
    </w:p>
    <w:p w14:paraId="01EDB613" w14:textId="7B5A094E" w:rsidR="00A7074E" w:rsidRDefault="000100D7" w:rsidP="00EF47AB">
      <w:r>
        <w:rPr>
          <w:noProof/>
          <w:lang w:eastAsia="zh-CN"/>
        </w:rPr>
        <w:drawing>
          <wp:inline distT="0" distB="0" distL="0" distR="0" wp14:anchorId="4823F7C9" wp14:editId="7331B6C7">
            <wp:extent cx="5909123" cy="331181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stretch>
                      <a:fillRect/>
                    </a:stretch>
                  </pic:blipFill>
                  <pic:spPr>
                    <a:xfrm>
                      <a:off x="0" y="0"/>
                      <a:ext cx="5922060" cy="3319070"/>
                    </a:xfrm>
                    <a:prstGeom prst="rect">
                      <a:avLst/>
                    </a:prstGeom>
                  </pic:spPr>
                </pic:pic>
              </a:graphicData>
            </a:graphic>
          </wp:inline>
        </w:drawing>
      </w:r>
    </w:p>
    <w:p w14:paraId="41CF0388" w14:textId="3F5CD021" w:rsidR="004B75F2" w:rsidRDefault="004B75F2" w:rsidP="004B75F2">
      <w:r w:rsidRPr="00F77551">
        <w:rPr>
          <w:b/>
          <w:bCs/>
          <w:lang w:eastAsia="zh-CN"/>
        </w:rPr>
        <w:t>Figure S4.</w:t>
      </w:r>
      <w:r w:rsidRPr="00F77551">
        <w:rPr>
          <w:b/>
          <w:bCs/>
        </w:rPr>
        <w:t xml:space="preserve"> </w:t>
      </w:r>
      <w:r w:rsidRPr="00383F03">
        <w:t>China’s industrial value</w:t>
      </w:r>
      <w:r>
        <w:t>-</w:t>
      </w:r>
      <w:r w:rsidRPr="00383F03">
        <w:t xml:space="preserve">added and carbon emission optimal pathways </w:t>
      </w:r>
      <w:r>
        <w:t>under high economic growth for</w:t>
      </w:r>
      <w:r w:rsidRPr="00383F03">
        <w:t xml:space="preserve"> 2020</w:t>
      </w:r>
      <w:r>
        <w:t>–</w:t>
      </w:r>
      <w:r w:rsidRPr="00383F03">
        <w:t>2060.</w:t>
      </w:r>
    </w:p>
    <w:p w14:paraId="0860E540" w14:textId="43DC9B83" w:rsidR="00A7074E" w:rsidRPr="004B75F2" w:rsidRDefault="000100D7" w:rsidP="00EF47AB">
      <w:pPr>
        <w:rPr>
          <w:lang w:eastAsia="zh-CN"/>
        </w:rPr>
      </w:pPr>
      <w:r>
        <w:rPr>
          <w:noProof/>
          <w:lang w:eastAsia="zh-CN"/>
        </w:rPr>
        <w:lastRenderedPageBreak/>
        <w:drawing>
          <wp:inline distT="0" distB="0" distL="0" distR="0" wp14:anchorId="0146BC0C" wp14:editId="50A492E0">
            <wp:extent cx="5962810" cy="3173920"/>
            <wp:effectExtent l="0" t="0" r="0" b="762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3"/>
                    <a:stretch>
                      <a:fillRect/>
                    </a:stretch>
                  </pic:blipFill>
                  <pic:spPr>
                    <a:xfrm>
                      <a:off x="0" y="0"/>
                      <a:ext cx="5985649" cy="3186077"/>
                    </a:xfrm>
                    <a:prstGeom prst="rect">
                      <a:avLst/>
                    </a:prstGeom>
                  </pic:spPr>
                </pic:pic>
              </a:graphicData>
            </a:graphic>
          </wp:inline>
        </w:drawing>
      </w:r>
    </w:p>
    <w:p w14:paraId="1DEA0933" w14:textId="4E80930E" w:rsidR="00890D6D" w:rsidRDefault="00890D6D" w:rsidP="00890D6D">
      <w:r w:rsidRPr="00F77551">
        <w:rPr>
          <w:b/>
          <w:bCs/>
          <w:lang w:eastAsia="zh-CN"/>
        </w:rPr>
        <w:t>Figure S5.</w:t>
      </w:r>
      <w:r w:rsidRPr="00890D6D">
        <w:t xml:space="preserve"> </w:t>
      </w:r>
      <w:r w:rsidRPr="00EC774D">
        <w:t xml:space="preserve">China’s industrial energy consumption and carbon emission optimization pathways </w:t>
      </w:r>
      <w:r>
        <w:t>under high economic growth for</w:t>
      </w:r>
      <w:r w:rsidRPr="00EC774D">
        <w:t xml:space="preserve"> 2020</w:t>
      </w:r>
      <w:r>
        <w:t>–</w:t>
      </w:r>
      <w:r w:rsidRPr="00EC774D">
        <w:t>2060.</w:t>
      </w:r>
    </w:p>
    <w:p w14:paraId="4325F4CA" w14:textId="366F9FB4" w:rsidR="00A7074E" w:rsidRPr="00890D6D" w:rsidRDefault="00A7074E" w:rsidP="00EF47AB">
      <w:pPr>
        <w:rPr>
          <w:lang w:eastAsia="zh-CN"/>
        </w:rPr>
      </w:pPr>
    </w:p>
    <w:p w14:paraId="3A1803EC" w14:textId="604B139D" w:rsidR="00EF47AB" w:rsidRDefault="00EF47AB" w:rsidP="00EF47AB">
      <w:pPr>
        <w:rPr>
          <w:b/>
          <w:bCs/>
          <w:sz w:val="28"/>
          <w:szCs w:val="28"/>
          <w:lang w:eastAsia="zh-CN"/>
        </w:rPr>
      </w:pPr>
      <w:r w:rsidRPr="00EF47AB">
        <w:rPr>
          <w:rFonts w:hint="eastAsia"/>
          <w:b/>
          <w:bCs/>
          <w:sz w:val="28"/>
          <w:szCs w:val="28"/>
          <w:lang w:eastAsia="zh-CN"/>
        </w:rPr>
        <w:t>R</w:t>
      </w:r>
      <w:r w:rsidRPr="00EF47AB">
        <w:rPr>
          <w:b/>
          <w:bCs/>
          <w:sz w:val="28"/>
          <w:szCs w:val="28"/>
          <w:lang w:eastAsia="zh-CN"/>
        </w:rPr>
        <w:t>eferences cited in supporting information</w:t>
      </w:r>
    </w:p>
    <w:p w14:paraId="68BACC11" w14:textId="11D516C5" w:rsidR="005953BF" w:rsidRPr="007821F4" w:rsidRDefault="00D27C02" w:rsidP="00D27C02">
      <w:pPr>
        <w:spacing w:after="0"/>
        <w:ind w:left="360" w:hangingChars="150" w:hanging="360"/>
        <w:rPr>
          <w:lang w:eastAsia="zh-CN"/>
        </w:rPr>
      </w:pPr>
      <w:r w:rsidRPr="007821F4">
        <w:rPr>
          <w:rFonts w:hint="eastAsia"/>
          <w:lang w:eastAsia="zh-CN"/>
        </w:rPr>
        <w:t>[</w:t>
      </w:r>
      <w:r w:rsidRPr="007821F4">
        <w:rPr>
          <w:lang w:eastAsia="zh-CN"/>
        </w:rPr>
        <w:t xml:space="preserve">1] </w:t>
      </w:r>
      <w:r w:rsidRPr="007821F4">
        <w:t>Chinese Input-Output Association (CIOA). Input-Output tables from 2002-2018. Abailable at: &lt;http://cioa.ruc.edu.cn/zlxz/trccb/index.htm&gt;</w:t>
      </w:r>
    </w:p>
    <w:p w14:paraId="2D4E45AD" w14:textId="575A3226" w:rsidR="00592AF2" w:rsidRPr="007821F4" w:rsidRDefault="00037F83" w:rsidP="00D27C02">
      <w:pPr>
        <w:pStyle w:val="TESupportingInformation"/>
        <w:spacing w:after="0"/>
        <w:ind w:left="360" w:hangingChars="150" w:hanging="360"/>
      </w:pPr>
      <w:r w:rsidRPr="007821F4">
        <w:rPr>
          <w:lang w:eastAsia="zh-CN"/>
        </w:rPr>
        <w:t>[</w:t>
      </w:r>
      <w:r w:rsidR="00120D2B" w:rsidRPr="007821F4">
        <w:rPr>
          <w:lang w:eastAsia="zh-CN"/>
        </w:rPr>
        <w:t>2</w:t>
      </w:r>
      <w:r w:rsidRPr="007821F4">
        <w:rPr>
          <w:lang w:eastAsia="zh-CN"/>
        </w:rPr>
        <w:t>]</w:t>
      </w:r>
      <w:r w:rsidR="00592AF2" w:rsidRPr="007821F4">
        <w:t xml:space="preserve"> National Bureau of Statistics of China (NBSC). China Statistical Yearbook 2020; China Statistics Press, 2020.</w:t>
      </w:r>
    </w:p>
    <w:p w14:paraId="2546274C" w14:textId="44C9F6A0" w:rsidR="00592AF2" w:rsidRPr="007821F4" w:rsidRDefault="00037F83" w:rsidP="00D27C02">
      <w:pPr>
        <w:pStyle w:val="TESupportingInformation"/>
        <w:spacing w:after="0"/>
        <w:ind w:left="360" w:hangingChars="150" w:hanging="360"/>
      </w:pPr>
      <w:r w:rsidRPr="007821F4">
        <w:rPr>
          <w:lang w:eastAsia="zh-CN"/>
        </w:rPr>
        <w:t>[</w:t>
      </w:r>
      <w:r w:rsidR="00120D2B" w:rsidRPr="007821F4">
        <w:rPr>
          <w:lang w:eastAsia="zh-CN"/>
        </w:rPr>
        <w:t>3</w:t>
      </w:r>
      <w:r w:rsidRPr="007821F4">
        <w:rPr>
          <w:lang w:eastAsia="zh-CN"/>
        </w:rPr>
        <w:t>]</w:t>
      </w:r>
      <w:r w:rsidR="00402E74" w:rsidRPr="007821F4">
        <w:t xml:space="preserve"> National Bureau of Statistics of China (NBSC). China Energy Statistical Yearbook 2020; China Statistics Press, 2020.</w:t>
      </w:r>
    </w:p>
    <w:p w14:paraId="4EAE0B03" w14:textId="74396A04" w:rsidR="005953BF" w:rsidRPr="007821F4" w:rsidRDefault="00037F83" w:rsidP="00D27C02">
      <w:pPr>
        <w:pStyle w:val="TESupportingInformation"/>
        <w:spacing w:after="0"/>
        <w:ind w:firstLine="0"/>
      </w:pPr>
      <w:r w:rsidRPr="007821F4">
        <w:rPr>
          <w:lang w:eastAsia="zh-CN"/>
        </w:rPr>
        <w:t>[</w:t>
      </w:r>
      <w:r w:rsidR="005953BF" w:rsidRPr="007821F4">
        <w:rPr>
          <w:lang w:eastAsia="zh-CN"/>
        </w:rPr>
        <w:t>4</w:t>
      </w:r>
      <w:r w:rsidRPr="007821F4">
        <w:rPr>
          <w:lang w:eastAsia="zh-CN"/>
        </w:rPr>
        <w:t>]</w:t>
      </w:r>
      <w:r w:rsidR="005953BF" w:rsidRPr="007821F4">
        <w:rPr>
          <w:lang w:val="en-CA"/>
        </w:rPr>
        <w:t xml:space="preserve"> BP. Statistical Review of World Energy 2021. British Petroleum, 2021.</w:t>
      </w:r>
    </w:p>
    <w:p w14:paraId="7CADDB49" w14:textId="0C365907" w:rsidR="00402E74" w:rsidRPr="007821F4" w:rsidRDefault="00037F83" w:rsidP="009E2E2C">
      <w:pPr>
        <w:pStyle w:val="TESupportingInformation"/>
        <w:spacing w:after="0"/>
        <w:ind w:left="360" w:hangingChars="150" w:hanging="360"/>
        <w:jc w:val="left"/>
      </w:pPr>
      <w:r w:rsidRPr="007821F4">
        <w:rPr>
          <w:lang w:eastAsia="zh-CN"/>
        </w:rPr>
        <w:t>[</w:t>
      </w:r>
      <w:r w:rsidR="00120D2B" w:rsidRPr="007821F4">
        <w:rPr>
          <w:lang w:eastAsia="zh-CN"/>
        </w:rPr>
        <w:t>5</w:t>
      </w:r>
      <w:r w:rsidRPr="007821F4">
        <w:rPr>
          <w:lang w:eastAsia="zh-CN"/>
        </w:rPr>
        <w:t>]</w:t>
      </w:r>
      <w:r w:rsidR="00230623" w:rsidRPr="007821F4">
        <w:t xml:space="preserve"> United Nations Population Division. World Polpulation Prospects 2019; </w:t>
      </w:r>
      <w:r w:rsidR="009E2E2C" w:rsidRPr="007821F4">
        <w:t>&lt;</w:t>
      </w:r>
      <w:r w:rsidR="00230623" w:rsidRPr="007821F4">
        <w:t>http://creativecommons.org/licenses/by/3.0/igo/</w:t>
      </w:r>
      <w:r w:rsidR="009E2E2C" w:rsidRPr="007821F4">
        <w:t>&gt;</w:t>
      </w:r>
      <w:r w:rsidR="00230623" w:rsidRPr="007821F4">
        <w:t>.</w:t>
      </w:r>
    </w:p>
    <w:p w14:paraId="2CB84428" w14:textId="596DA619" w:rsidR="00230623" w:rsidRPr="007821F4" w:rsidRDefault="00037F83" w:rsidP="00D27C02">
      <w:pPr>
        <w:pStyle w:val="TESupportingInformation"/>
        <w:spacing w:after="0"/>
        <w:ind w:left="360" w:hangingChars="150" w:hanging="360"/>
        <w:rPr>
          <w:lang w:eastAsia="zh-CN"/>
        </w:rPr>
      </w:pPr>
      <w:r w:rsidRPr="007821F4">
        <w:rPr>
          <w:lang w:eastAsia="zh-CN"/>
        </w:rPr>
        <w:t>[</w:t>
      </w:r>
      <w:r w:rsidR="00120D2B" w:rsidRPr="007821F4">
        <w:rPr>
          <w:lang w:eastAsia="zh-CN"/>
        </w:rPr>
        <w:t>6</w:t>
      </w:r>
      <w:r w:rsidRPr="007821F4">
        <w:rPr>
          <w:lang w:eastAsia="zh-CN"/>
        </w:rPr>
        <w:t>]</w:t>
      </w:r>
      <w:r w:rsidR="003108CB" w:rsidRPr="007821F4">
        <w:t xml:space="preserve"> China Carbon Emission Accounting Database</w:t>
      </w:r>
      <w:r w:rsidR="003108CB" w:rsidRPr="007821F4">
        <w:rPr>
          <w:rFonts w:hint="eastAsia"/>
        </w:rPr>
        <w:t xml:space="preserve"> </w:t>
      </w:r>
      <w:r w:rsidR="003108CB" w:rsidRPr="007821F4">
        <w:t>(</w:t>
      </w:r>
      <w:r w:rsidR="003108CB" w:rsidRPr="007821F4">
        <w:rPr>
          <w:rFonts w:hint="eastAsia"/>
        </w:rPr>
        <w:t>C</w:t>
      </w:r>
      <w:r w:rsidR="003108CB" w:rsidRPr="007821F4">
        <w:t>EADs). Carbon Emission Inventory for China by Sector 1997 – 2019; 2020. https://www.ceads.net.cn/data/nation/.</w:t>
      </w:r>
    </w:p>
    <w:p w14:paraId="68E653AE" w14:textId="72DEF2EB" w:rsidR="003108CB" w:rsidRPr="007821F4" w:rsidRDefault="00037F83" w:rsidP="00D27C02">
      <w:pPr>
        <w:pStyle w:val="TESupportingInformation"/>
        <w:spacing w:after="0"/>
        <w:ind w:left="360" w:hangingChars="150" w:hanging="360"/>
      </w:pPr>
      <w:r w:rsidRPr="007821F4">
        <w:rPr>
          <w:lang w:eastAsia="zh-CN"/>
        </w:rPr>
        <w:t>[</w:t>
      </w:r>
      <w:r w:rsidR="00120D2B" w:rsidRPr="007821F4">
        <w:rPr>
          <w:lang w:eastAsia="zh-CN"/>
        </w:rPr>
        <w:t>7</w:t>
      </w:r>
      <w:r w:rsidRPr="007821F4">
        <w:rPr>
          <w:lang w:eastAsia="zh-CN"/>
        </w:rPr>
        <w:t>]</w:t>
      </w:r>
      <w:r w:rsidR="003108CB" w:rsidRPr="007821F4">
        <w:t xml:space="preserve"> China Electric Power Yearbook (CEPY). China Electric Power Yearbook 2020; China Electric Power Press: Beijing, 2021.</w:t>
      </w:r>
    </w:p>
    <w:p w14:paraId="7C2AC669" w14:textId="0A79E2D7" w:rsidR="003108CB" w:rsidRPr="007821F4" w:rsidRDefault="00037F83" w:rsidP="00D27C02">
      <w:pPr>
        <w:pStyle w:val="TESupportingInformation"/>
        <w:spacing w:after="0"/>
        <w:ind w:firstLine="0"/>
      </w:pPr>
      <w:r w:rsidRPr="007821F4">
        <w:rPr>
          <w:lang w:eastAsia="zh-CN"/>
        </w:rPr>
        <w:t>[</w:t>
      </w:r>
      <w:r w:rsidR="00120D2B" w:rsidRPr="007821F4">
        <w:rPr>
          <w:lang w:eastAsia="zh-CN"/>
        </w:rPr>
        <w:t>8</w:t>
      </w:r>
      <w:r w:rsidRPr="007821F4">
        <w:rPr>
          <w:lang w:eastAsia="zh-CN"/>
        </w:rPr>
        <w:t>]</w:t>
      </w:r>
      <w:r w:rsidR="003108CB" w:rsidRPr="007821F4">
        <w:t xml:space="preserve"> IEA. World Energy Outlook 2021; International Energy Agency, 2021.</w:t>
      </w:r>
    </w:p>
    <w:p w14:paraId="425C23EE" w14:textId="6BAD0982" w:rsidR="003108CB" w:rsidRPr="007821F4" w:rsidRDefault="00037F83" w:rsidP="00D27C02">
      <w:pPr>
        <w:pStyle w:val="TESupportingInformation"/>
        <w:spacing w:after="0"/>
        <w:ind w:left="360" w:hangingChars="150" w:hanging="360"/>
        <w:rPr>
          <w:noProof/>
        </w:rPr>
      </w:pPr>
      <w:r w:rsidRPr="007821F4">
        <w:rPr>
          <w:lang w:eastAsia="zh-CN"/>
        </w:rPr>
        <w:t>[</w:t>
      </w:r>
      <w:r w:rsidR="00B02D31" w:rsidRPr="007821F4">
        <w:rPr>
          <w:lang w:eastAsia="zh-CN"/>
        </w:rPr>
        <w:t>9</w:t>
      </w:r>
      <w:r w:rsidRPr="007821F4">
        <w:rPr>
          <w:lang w:eastAsia="zh-CN"/>
        </w:rPr>
        <w:t>]</w:t>
      </w:r>
      <w:bookmarkStart w:id="1" w:name="_Hlk97038243"/>
      <w:r w:rsidR="003768D0" w:rsidRPr="007821F4">
        <w:rPr>
          <w:noProof/>
        </w:rPr>
        <w:t xml:space="preserve"> Kang, J.; Ng, T. S.; Su, B.; Yuan, R. Optimizing the Chinese Electricity Mix for CO2 Emission Reduction: An Input–Output Linear Programming Model with Endogenous Capital. Environmental Science &amp; Technology 2019, 54 (2), 697-706.</w:t>
      </w:r>
      <w:bookmarkEnd w:id="1"/>
    </w:p>
    <w:p w14:paraId="566F8BEF" w14:textId="5A8EFB25" w:rsidR="008E3C47" w:rsidRPr="007821F4" w:rsidRDefault="00037F83" w:rsidP="00D27C02">
      <w:pPr>
        <w:pStyle w:val="TESupportingInformation"/>
        <w:spacing w:after="0"/>
        <w:ind w:left="480" w:hangingChars="200" w:hanging="480"/>
      </w:pPr>
      <w:r w:rsidRPr="007821F4">
        <w:rPr>
          <w:lang w:eastAsia="zh-CN"/>
        </w:rPr>
        <w:t>[</w:t>
      </w:r>
      <w:r w:rsidR="008E3C47" w:rsidRPr="007821F4">
        <w:rPr>
          <w:lang w:eastAsia="zh-CN"/>
        </w:rPr>
        <w:t>1</w:t>
      </w:r>
      <w:r w:rsidR="005953BF" w:rsidRPr="007821F4">
        <w:rPr>
          <w:lang w:eastAsia="zh-CN"/>
        </w:rPr>
        <w:t>0</w:t>
      </w:r>
      <w:r w:rsidRPr="007821F4">
        <w:rPr>
          <w:lang w:eastAsia="zh-CN"/>
        </w:rPr>
        <w:t>]</w:t>
      </w:r>
      <w:r w:rsidR="008E3C47" w:rsidRPr="007821F4">
        <w:t xml:space="preserve"> IEA. Projected Costs of Generating Electricity 2020; International Energy Agency: Paris, 2020.</w:t>
      </w:r>
    </w:p>
    <w:p w14:paraId="4B78DE41" w14:textId="0955F7F6" w:rsidR="001B5518" w:rsidRPr="007821F4" w:rsidRDefault="007821F4" w:rsidP="007821F4">
      <w:pPr>
        <w:pStyle w:val="TESupportingInformation"/>
        <w:spacing w:after="0"/>
        <w:ind w:left="480" w:hangingChars="200" w:hanging="480"/>
        <w:rPr>
          <w:noProof/>
        </w:rPr>
      </w:pPr>
      <w:r w:rsidRPr="007821F4">
        <w:rPr>
          <w:noProof/>
        </w:rPr>
        <w:lastRenderedPageBreak/>
        <w:t xml:space="preserve">[11] </w:t>
      </w:r>
      <w:r w:rsidR="00E94AC9" w:rsidRPr="007821F4">
        <w:rPr>
          <w:noProof/>
        </w:rPr>
        <w:t>Lindner, S.; Legault, J.; Guan, D. Disaggregating the Electricity Sector of China's Input–Output Table for Improved Environmental Life-Cycle Assessment. Economic Systems Research 2013, 25 (3), 300-320.</w:t>
      </w:r>
    </w:p>
    <w:sectPr w:rsidR="001B5518" w:rsidRPr="007821F4" w:rsidSect="0018778F">
      <w:footerReference w:type="even" r:id="rId14"/>
      <w:footerReference w:type="default" r:id="rId15"/>
      <w:type w:val="continuous"/>
      <w:pgSz w:w="12240" w:h="15840"/>
      <w:pgMar w:top="1440" w:right="1440" w:bottom="1440" w:left="1440" w:header="0" w:footer="0" w:gutter="0"/>
      <w:cols w:space="475"/>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Data r:id="rId1"/>
  </wne:toolbars>
  <wne:acds>
    <wne:acd wne:argValue="AgBBAEYAXwBUAGkAdABsAGUAXwBSAHUAbgBuAGkAbgBnAF8ASABlAGEAZAA=" wne:acdName="acd0" wne:fciIndexBasedOn="0065"/>
    <wne:acd wne:argValue="AgBBAEkAXwBSAGUAYwBlAGkAdgBlAGQAXwBEAGEAdABlAA==" wne:acdName="acd1" wne:fciIndexBasedOn="0065"/>
    <wne:acd wne:argValue="AgBCAEEAXwBUAGkAdABsAGUA" wne:acdName="acd2" wne:fciIndexBasedOn="0065"/>
    <wne:acd wne:argValue="AgBCAEIAXwBBAHUAdABoAG8AcgBfAE4AYQBtAGUA" wne:acdName="acd3" wne:fciIndexBasedOn="0065"/>
    <wne:acd wne:argValue="AgBCAEMAXwBBAHUAdABoAG8AcgBfAEEAZABkAHIAZQBzAHMA" wne:acdName="acd4" wne:fciIndexBasedOn="0065"/>
    <wne:acd wne:argValue="AgBCAEQAXwBBAGIAcwB0AHIAYQBjAHQA" wne:acdName="acd5" wne:fciIndexBasedOn="0065"/>
    <wne:acd wne:argValue="AgBCAEkAXwBFAG0AYQBpAGwAXwBBAGQAZAByAGUAcwBzAA==" wne:acdName="acd6" wne:fciIndexBasedOn="0065"/>
    <wne:acd wne:argValue="AgBGAEEAXwBDAG8AcgByAGUAcwBwAG8AbgBkAGkAbgBnAF8AQQB1AHQAaABvAHIAXwBGAG8AbwB0&#10;AG4AbwB0AGUA" wne:acdName="acd7" wne:fciIndexBasedOn="0065"/>
    <wne:acd wne:argValue="AgBGAEMAXwBDAGgAYQByAHQAXwBGAG8AbwB0AG4AbwB0AGUA" wne:acdName="acd8" wne:fciIndexBasedOn="0065"/>
    <wne:acd wne:argValue="AgBGAEQAXwBTAGMAaABlAG0AZQBfAEYAbwBvAHQAbgBvAHQAZQA=" wne:acdName="acd9" wne:fciIndexBasedOn="0065"/>
    <wne:acd wne:argValue="AgBGAEUAXwBUAGEAYgBsAGUAXwBGAG8AbwB0AG4AbwB0AGUA" wne:acdName="acd10" wne:fciIndexBasedOn="0065"/>
    <wne:acd wne:argValue="AgBTAE4AXwBTAHkAbgBvAHAAcwBpAHMAXwBUAE8AQwA=" wne:acdName="acd11" wne:fciIndexBasedOn="0065"/>
    <wne:acd wne:argValue="AgBUAEEAXwBNAGEAaQBuAF8AVABlAHgAdAA=" wne:acdName="acd12" wne:fciIndexBasedOn="0065"/>
    <wne:acd wne:argValue="AgBUAEMAXwBUAGEAYgBsAGUAXwBCAG8AZAB5AA==" wne:acdName="acd13" wne:fciIndexBasedOn="0065"/>
    <wne:acd wne:argValue="AgBUAEQAXwBBAGMAawBuAG8AdwBsAGUAZABnAG0AZQBuAHQAcwA=" wne:acdName="acd14" wne:fciIndexBasedOn="0065"/>
    <wne:acd wne:argValue="AgBUAEUAXwBTAHUAcABwAG8AcgB0AGkAbgBnAF8ASQBuAGYAbwByAG0AYQB0AGkAbwBuAA==" wne:acdName="acd15" wne:fciIndexBasedOn="0065"/>
    <wne:acd wne:argValue="AgBUAEYAXwBSAGUAZgBlAHIAZQBuAGMAZQBzAF8AUwBlAGMAdABpAG8AbgA=" wne:acdName="acd16" wne:fciIndexBasedOn="0065"/>
    <wne:acd wne:argValue="AgBWAEEAXwBGAGkAZwB1AHIAZQBfAEMAYQBwAHQAaQBvAG4A" wne:acdName="acd17" wne:fciIndexBasedOn="0065"/>
    <wne:acd wne:argValue="AgBWAEIAXwBDAGgAYQByAHQAXwBUAGkAdABsAGUA" wne:acdName="acd18" wne:fciIndexBasedOn="0065"/>
    <wne:acd wne:argValue="AgBWAEMAXwBTAGMAaABlAG0AZQBfAFQAaQB0AGwAZQA=" wne:acdName="acd19" wne:fciIndexBasedOn="0065"/>
    <wne:acd wne:argValue="AgBWAEQAXwBUAGEAYgBsAGUAXwBUAGkAdABsAGUA" wne:acdName="acd20" wne:fciIndexBasedOn="0065"/>
    <wne:acd wne:argValue="AgBCAEcAXwBLAGUAeQB3AG8AcgBkAHMA" wne:acdName="acd21" wne:fciIndexBasedOn="0065"/>
    <wne:acd wne:argValue="AgBCAEgAXwBCAHIAaQBlAGYAcwA=" wne:acdName="acd22" wne:fciIndexBasedOn="0065"/>
    <wne:acd wne:argValue="AgBCAEUAXwBBAHUAdABoAG8AcgBfAEIAaQBvAGcAcgBhAHAAaAB5AA==" wne:acdName="acd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0A27" w14:textId="77777777" w:rsidR="002A6075" w:rsidRDefault="002A6075">
      <w:r>
        <w:separator/>
      </w:r>
    </w:p>
  </w:endnote>
  <w:endnote w:type="continuationSeparator" w:id="0">
    <w:p w14:paraId="2114FB7D" w14:textId="77777777" w:rsidR="002A6075" w:rsidRDefault="002A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D6D4C" w14:textId="77777777" w:rsidR="00F77551" w:rsidRDefault="00F7755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46E6D879" w14:textId="77777777" w:rsidR="00F77551" w:rsidRDefault="00F7755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FF37" w14:textId="77777777" w:rsidR="00F77551" w:rsidRDefault="00F7755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D5DF8">
      <w:rPr>
        <w:rStyle w:val="a8"/>
        <w:noProof/>
      </w:rPr>
      <w:t>18</w:t>
    </w:r>
    <w:r>
      <w:rPr>
        <w:rStyle w:val="a8"/>
      </w:rPr>
      <w:fldChar w:fldCharType="end"/>
    </w:r>
  </w:p>
  <w:p w14:paraId="0E0EB953" w14:textId="77777777" w:rsidR="00F77551" w:rsidRDefault="00F7755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0647" w14:textId="77777777" w:rsidR="002A6075" w:rsidRDefault="002A6075">
      <w:r>
        <w:separator/>
      </w:r>
    </w:p>
  </w:footnote>
  <w:footnote w:type="continuationSeparator" w:id="0">
    <w:p w14:paraId="089C1D8D" w14:textId="77777777" w:rsidR="002A6075" w:rsidRDefault="002A6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1F3"/>
    <w:multiLevelType w:val="hybridMultilevel"/>
    <w:tmpl w:val="357C333A"/>
    <w:lvl w:ilvl="0" w:tplc="E976F854">
      <w:start w:val="1"/>
      <w:numFmt w:val="decimal"/>
      <w:lvlText w:val="(%1)"/>
      <w:lvlJc w:val="left"/>
      <w:pPr>
        <w:ind w:left="547" w:hanging="360"/>
      </w:pPr>
      <w:rPr>
        <w:rFonts w:hint="default"/>
      </w:rPr>
    </w:lvl>
    <w:lvl w:ilvl="1" w:tplc="04090019" w:tentative="1">
      <w:start w:val="1"/>
      <w:numFmt w:val="lowerLetter"/>
      <w:lvlText w:val="%2)"/>
      <w:lvlJc w:val="left"/>
      <w:pPr>
        <w:ind w:left="1027" w:hanging="420"/>
      </w:pPr>
    </w:lvl>
    <w:lvl w:ilvl="2" w:tplc="0409001B" w:tentative="1">
      <w:start w:val="1"/>
      <w:numFmt w:val="lowerRoman"/>
      <w:lvlText w:val="%3."/>
      <w:lvlJc w:val="right"/>
      <w:pPr>
        <w:ind w:left="1447" w:hanging="420"/>
      </w:pPr>
    </w:lvl>
    <w:lvl w:ilvl="3" w:tplc="0409000F" w:tentative="1">
      <w:start w:val="1"/>
      <w:numFmt w:val="decimal"/>
      <w:lvlText w:val="%4."/>
      <w:lvlJc w:val="left"/>
      <w:pPr>
        <w:ind w:left="1867" w:hanging="420"/>
      </w:pPr>
    </w:lvl>
    <w:lvl w:ilvl="4" w:tplc="04090019" w:tentative="1">
      <w:start w:val="1"/>
      <w:numFmt w:val="lowerLetter"/>
      <w:lvlText w:val="%5)"/>
      <w:lvlJc w:val="left"/>
      <w:pPr>
        <w:ind w:left="2287" w:hanging="420"/>
      </w:pPr>
    </w:lvl>
    <w:lvl w:ilvl="5" w:tplc="0409001B" w:tentative="1">
      <w:start w:val="1"/>
      <w:numFmt w:val="lowerRoman"/>
      <w:lvlText w:val="%6."/>
      <w:lvlJc w:val="right"/>
      <w:pPr>
        <w:ind w:left="2707" w:hanging="420"/>
      </w:pPr>
    </w:lvl>
    <w:lvl w:ilvl="6" w:tplc="0409000F" w:tentative="1">
      <w:start w:val="1"/>
      <w:numFmt w:val="decimal"/>
      <w:lvlText w:val="%7."/>
      <w:lvlJc w:val="left"/>
      <w:pPr>
        <w:ind w:left="3127" w:hanging="420"/>
      </w:pPr>
    </w:lvl>
    <w:lvl w:ilvl="7" w:tplc="04090019" w:tentative="1">
      <w:start w:val="1"/>
      <w:numFmt w:val="lowerLetter"/>
      <w:lvlText w:val="%8)"/>
      <w:lvlJc w:val="left"/>
      <w:pPr>
        <w:ind w:left="3547" w:hanging="420"/>
      </w:pPr>
    </w:lvl>
    <w:lvl w:ilvl="8" w:tplc="0409001B" w:tentative="1">
      <w:start w:val="1"/>
      <w:numFmt w:val="lowerRoman"/>
      <w:lvlText w:val="%9."/>
      <w:lvlJc w:val="right"/>
      <w:pPr>
        <w:ind w:left="3967" w:hanging="42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653B4"/>
    <w:multiLevelType w:val="hybridMultilevel"/>
    <w:tmpl w:val="08309C82"/>
    <w:lvl w:ilvl="0" w:tplc="FC981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7"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0"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1"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2" w15:restartNumberingAfterBreak="0">
    <w:nsid w:val="661337A6"/>
    <w:multiLevelType w:val="multilevel"/>
    <w:tmpl w:val="CA604D60"/>
    <w:lvl w:ilvl="0">
      <w:start w:val="1"/>
      <w:numFmt w:val="decimal"/>
      <w:lvlText w:val="%1."/>
      <w:lvlJc w:val="left"/>
      <w:pPr>
        <w:ind w:left="360" w:hanging="360"/>
      </w:pPr>
      <w:rPr>
        <w:rFonts w:hint="default"/>
      </w:rPr>
    </w:lvl>
    <w:lvl w:ilvl="1">
      <w:start w:val="1"/>
      <w:numFmt w:val="decimal"/>
      <w:isLgl/>
      <w:lvlText w:val="%1.%2"/>
      <w:lvlJc w:val="left"/>
      <w:pPr>
        <w:ind w:left="448" w:hanging="44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80100389">
    <w:abstractNumId w:val="10"/>
  </w:num>
  <w:num w:numId="2" w16cid:durableId="1948349564">
    <w:abstractNumId w:val="8"/>
  </w:num>
  <w:num w:numId="3" w16cid:durableId="76949289">
    <w:abstractNumId w:val="11"/>
  </w:num>
  <w:num w:numId="4" w16cid:durableId="1705128488">
    <w:abstractNumId w:val="9"/>
  </w:num>
  <w:num w:numId="5" w16cid:durableId="1194804988">
    <w:abstractNumId w:val="7"/>
  </w:num>
  <w:num w:numId="6" w16cid:durableId="99684518">
    <w:abstractNumId w:val="6"/>
  </w:num>
  <w:num w:numId="7" w16cid:durableId="608781319">
    <w:abstractNumId w:val="5"/>
  </w:num>
  <w:num w:numId="8" w16cid:durableId="418479392">
    <w:abstractNumId w:val="3"/>
  </w:num>
  <w:num w:numId="9" w16cid:durableId="604193238">
    <w:abstractNumId w:val="1"/>
  </w:num>
  <w:num w:numId="10" w16cid:durableId="1955012161">
    <w:abstractNumId w:val="4"/>
  </w:num>
  <w:num w:numId="11" w16cid:durableId="1207567707">
    <w:abstractNumId w:val="12"/>
  </w:num>
  <w:num w:numId="12" w16cid:durableId="1715420188">
    <w:abstractNumId w:val="0"/>
  </w:num>
  <w:num w:numId="13" w16cid:durableId="174163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31"/>
    <w:rsid w:val="000002F2"/>
    <w:rsid w:val="000100D7"/>
    <w:rsid w:val="00010D49"/>
    <w:rsid w:val="00031085"/>
    <w:rsid w:val="00037F83"/>
    <w:rsid w:val="0005660F"/>
    <w:rsid w:val="00067115"/>
    <w:rsid w:val="000702AD"/>
    <w:rsid w:val="00076A17"/>
    <w:rsid w:val="000A259E"/>
    <w:rsid w:val="000B2EEB"/>
    <w:rsid w:val="000B5610"/>
    <w:rsid w:val="000B71D5"/>
    <w:rsid w:val="000C05CC"/>
    <w:rsid w:val="00103730"/>
    <w:rsid w:val="00113864"/>
    <w:rsid w:val="00120D2B"/>
    <w:rsid w:val="00125D6E"/>
    <w:rsid w:val="0013664E"/>
    <w:rsid w:val="0015048E"/>
    <w:rsid w:val="0018778F"/>
    <w:rsid w:val="00190FD3"/>
    <w:rsid w:val="001945A7"/>
    <w:rsid w:val="00195ACA"/>
    <w:rsid w:val="001A1EA4"/>
    <w:rsid w:val="001A38B8"/>
    <w:rsid w:val="001A7730"/>
    <w:rsid w:val="001A7A90"/>
    <w:rsid w:val="001B5518"/>
    <w:rsid w:val="001C5CBA"/>
    <w:rsid w:val="001D7DAA"/>
    <w:rsid w:val="001D7F01"/>
    <w:rsid w:val="00212B1D"/>
    <w:rsid w:val="002230DD"/>
    <w:rsid w:val="00230623"/>
    <w:rsid w:val="00271A02"/>
    <w:rsid w:val="00275925"/>
    <w:rsid w:val="00276980"/>
    <w:rsid w:val="00292452"/>
    <w:rsid w:val="00296C7F"/>
    <w:rsid w:val="002A0AAF"/>
    <w:rsid w:val="002A6075"/>
    <w:rsid w:val="002A6D26"/>
    <w:rsid w:val="002A7493"/>
    <w:rsid w:val="002C3431"/>
    <w:rsid w:val="002D5DBD"/>
    <w:rsid w:val="002E1016"/>
    <w:rsid w:val="002E6039"/>
    <w:rsid w:val="003108CB"/>
    <w:rsid w:val="0031373B"/>
    <w:rsid w:val="00324128"/>
    <w:rsid w:val="00331916"/>
    <w:rsid w:val="00341469"/>
    <w:rsid w:val="003511F5"/>
    <w:rsid w:val="00361E35"/>
    <w:rsid w:val="003664E9"/>
    <w:rsid w:val="003679A1"/>
    <w:rsid w:val="003768D0"/>
    <w:rsid w:val="003828BA"/>
    <w:rsid w:val="003A42F0"/>
    <w:rsid w:val="003B11BE"/>
    <w:rsid w:val="003B4AF3"/>
    <w:rsid w:val="003B7907"/>
    <w:rsid w:val="003C78B5"/>
    <w:rsid w:val="003E1F76"/>
    <w:rsid w:val="00402E74"/>
    <w:rsid w:val="004235AD"/>
    <w:rsid w:val="00423EDD"/>
    <w:rsid w:val="0043709B"/>
    <w:rsid w:val="00445C0C"/>
    <w:rsid w:val="00451240"/>
    <w:rsid w:val="00475FD2"/>
    <w:rsid w:val="0048196F"/>
    <w:rsid w:val="004840B0"/>
    <w:rsid w:val="0048520B"/>
    <w:rsid w:val="00493C62"/>
    <w:rsid w:val="004A1861"/>
    <w:rsid w:val="004B75F2"/>
    <w:rsid w:val="004E283C"/>
    <w:rsid w:val="004E7054"/>
    <w:rsid w:val="004E7185"/>
    <w:rsid w:val="004F0D59"/>
    <w:rsid w:val="005553EF"/>
    <w:rsid w:val="0056187D"/>
    <w:rsid w:val="00567E81"/>
    <w:rsid w:val="00570CE9"/>
    <w:rsid w:val="00591A57"/>
    <w:rsid w:val="00592AF2"/>
    <w:rsid w:val="005953BF"/>
    <w:rsid w:val="0059724E"/>
    <w:rsid w:val="005A6890"/>
    <w:rsid w:val="005D0C10"/>
    <w:rsid w:val="005D1FD8"/>
    <w:rsid w:val="00604188"/>
    <w:rsid w:val="00614389"/>
    <w:rsid w:val="00615BB8"/>
    <w:rsid w:val="00616A06"/>
    <w:rsid w:val="0062030E"/>
    <w:rsid w:val="006455A5"/>
    <w:rsid w:val="00653CB0"/>
    <w:rsid w:val="00683131"/>
    <w:rsid w:val="006A3E34"/>
    <w:rsid w:val="006B2581"/>
    <w:rsid w:val="006C4C2A"/>
    <w:rsid w:val="006C74D5"/>
    <w:rsid w:val="006F22D0"/>
    <w:rsid w:val="006F7DEA"/>
    <w:rsid w:val="007000D9"/>
    <w:rsid w:val="0072203B"/>
    <w:rsid w:val="0073414C"/>
    <w:rsid w:val="00747701"/>
    <w:rsid w:val="007629D3"/>
    <w:rsid w:val="007821F4"/>
    <w:rsid w:val="00794616"/>
    <w:rsid w:val="007A11AD"/>
    <w:rsid w:val="007A3170"/>
    <w:rsid w:val="007C206C"/>
    <w:rsid w:val="007D181F"/>
    <w:rsid w:val="007D5DF8"/>
    <w:rsid w:val="007D6035"/>
    <w:rsid w:val="007F6ED9"/>
    <w:rsid w:val="008047DE"/>
    <w:rsid w:val="00804922"/>
    <w:rsid w:val="008633FA"/>
    <w:rsid w:val="008655C0"/>
    <w:rsid w:val="00880D2C"/>
    <w:rsid w:val="00881E2D"/>
    <w:rsid w:val="00890D6D"/>
    <w:rsid w:val="008D30F9"/>
    <w:rsid w:val="008D53B2"/>
    <w:rsid w:val="008E3C47"/>
    <w:rsid w:val="008E7EEA"/>
    <w:rsid w:val="008F596C"/>
    <w:rsid w:val="008F6A8D"/>
    <w:rsid w:val="00912169"/>
    <w:rsid w:val="0091662E"/>
    <w:rsid w:val="0092037A"/>
    <w:rsid w:val="009246AD"/>
    <w:rsid w:val="009330E7"/>
    <w:rsid w:val="009706A6"/>
    <w:rsid w:val="00992473"/>
    <w:rsid w:val="009932FE"/>
    <w:rsid w:val="00993F57"/>
    <w:rsid w:val="009E2E2C"/>
    <w:rsid w:val="009F2E7E"/>
    <w:rsid w:val="00A02D62"/>
    <w:rsid w:val="00A15339"/>
    <w:rsid w:val="00A20B11"/>
    <w:rsid w:val="00A20EB5"/>
    <w:rsid w:val="00A34959"/>
    <w:rsid w:val="00A35790"/>
    <w:rsid w:val="00A3579D"/>
    <w:rsid w:val="00A53D89"/>
    <w:rsid w:val="00A60C0C"/>
    <w:rsid w:val="00A65961"/>
    <w:rsid w:val="00A7074E"/>
    <w:rsid w:val="00A707E7"/>
    <w:rsid w:val="00A70DFF"/>
    <w:rsid w:val="00A764EF"/>
    <w:rsid w:val="00AA43C4"/>
    <w:rsid w:val="00AB34C5"/>
    <w:rsid w:val="00AE258E"/>
    <w:rsid w:val="00AF4F6D"/>
    <w:rsid w:val="00AF7F6A"/>
    <w:rsid w:val="00B00A00"/>
    <w:rsid w:val="00B02D31"/>
    <w:rsid w:val="00B05A88"/>
    <w:rsid w:val="00B10E38"/>
    <w:rsid w:val="00B36A55"/>
    <w:rsid w:val="00B44641"/>
    <w:rsid w:val="00B7618D"/>
    <w:rsid w:val="00BA0FFC"/>
    <w:rsid w:val="00BB34AA"/>
    <w:rsid w:val="00BD2C44"/>
    <w:rsid w:val="00BE0DEC"/>
    <w:rsid w:val="00BF502B"/>
    <w:rsid w:val="00C10EE0"/>
    <w:rsid w:val="00C12556"/>
    <w:rsid w:val="00C219FB"/>
    <w:rsid w:val="00C22B68"/>
    <w:rsid w:val="00C30F6B"/>
    <w:rsid w:val="00C4528F"/>
    <w:rsid w:val="00C45303"/>
    <w:rsid w:val="00C54307"/>
    <w:rsid w:val="00C6170A"/>
    <w:rsid w:val="00CA0120"/>
    <w:rsid w:val="00CC0E63"/>
    <w:rsid w:val="00CD3DC5"/>
    <w:rsid w:val="00CD5C5F"/>
    <w:rsid w:val="00CE60DD"/>
    <w:rsid w:val="00CF0FC8"/>
    <w:rsid w:val="00D00748"/>
    <w:rsid w:val="00D03046"/>
    <w:rsid w:val="00D03D3D"/>
    <w:rsid w:val="00D0415A"/>
    <w:rsid w:val="00D26E03"/>
    <w:rsid w:val="00D27C02"/>
    <w:rsid w:val="00D318E5"/>
    <w:rsid w:val="00D32E24"/>
    <w:rsid w:val="00D3441E"/>
    <w:rsid w:val="00D56491"/>
    <w:rsid w:val="00D568E3"/>
    <w:rsid w:val="00D60CCE"/>
    <w:rsid w:val="00D77DF1"/>
    <w:rsid w:val="00D8711E"/>
    <w:rsid w:val="00D879C1"/>
    <w:rsid w:val="00D915EC"/>
    <w:rsid w:val="00DB7905"/>
    <w:rsid w:val="00DD6DBB"/>
    <w:rsid w:val="00E0166E"/>
    <w:rsid w:val="00E01697"/>
    <w:rsid w:val="00E074F2"/>
    <w:rsid w:val="00E33172"/>
    <w:rsid w:val="00E544FB"/>
    <w:rsid w:val="00E6296D"/>
    <w:rsid w:val="00E90FE8"/>
    <w:rsid w:val="00E91482"/>
    <w:rsid w:val="00E94AC9"/>
    <w:rsid w:val="00E96302"/>
    <w:rsid w:val="00EA0DB7"/>
    <w:rsid w:val="00EA77AF"/>
    <w:rsid w:val="00EC7180"/>
    <w:rsid w:val="00EE25E5"/>
    <w:rsid w:val="00EF47AB"/>
    <w:rsid w:val="00EF4ED2"/>
    <w:rsid w:val="00F06A9C"/>
    <w:rsid w:val="00F134F5"/>
    <w:rsid w:val="00F21702"/>
    <w:rsid w:val="00F23037"/>
    <w:rsid w:val="00F3336D"/>
    <w:rsid w:val="00F47B85"/>
    <w:rsid w:val="00F54BDD"/>
    <w:rsid w:val="00F5645C"/>
    <w:rsid w:val="00F74BEE"/>
    <w:rsid w:val="00F77551"/>
    <w:rsid w:val="00F83ACE"/>
    <w:rsid w:val="00FA4D9A"/>
    <w:rsid w:val="00FC6854"/>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347EC3"/>
  <w14:defaultImageDpi w14:val="32767"/>
  <w15:docId w15:val="{169940BF-C69E-4F10-B898-93E144D3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heme="minorEastAsia"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jc w:val="both"/>
    </w:pPr>
    <w:rPr>
      <w:rFonts w:ascii="Times" w:hAnsi="Times"/>
      <w:sz w:val="24"/>
    </w:rPr>
  </w:style>
  <w:style w:type="paragraph" w:styleId="2">
    <w:name w:val="heading 2"/>
    <w:basedOn w:val="a"/>
    <w:next w:val="a"/>
    <w:link w:val="20"/>
    <w:uiPriority w:val="9"/>
    <w:unhideWhenUsed/>
    <w:qFormat/>
    <w:rsid w:val="000A259E"/>
    <w:pPr>
      <w:keepNext/>
      <w:keepLines/>
      <w:widowControl w:val="0"/>
      <w:spacing w:before="260" w:after="260" w:line="416" w:lineRule="auto"/>
      <w:outlineLvl w:val="1"/>
    </w:pPr>
    <w:rPr>
      <w:rFonts w:ascii="Times New Roman" w:eastAsiaTheme="majorEastAsia" w:hAnsi="Times New Roman" w:cstheme="majorBidi"/>
      <w:b/>
      <w:bCs/>
      <w:kern w:val="2"/>
      <w:sz w:val="30"/>
      <w:szCs w:val="32"/>
      <w:lang w:eastAsia="zh-CN"/>
    </w:rPr>
  </w:style>
  <w:style w:type="paragraph" w:styleId="3">
    <w:name w:val="heading 3"/>
    <w:basedOn w:val="a"/>
    <w:next w:val="a"/>
    <w:link w:val="30"/>
    <w:uiPriority w:val="9"/>
    <w:unhideWhenUsed/>
    <w:qFormat/>
    <w:rsid w:val="0091662E"/>
    <w:pPr>
      <w:keepNext/>
      <w:keepLines/>
      <w:widowControl w:val="0"/>
      <w:spacing w:before="260" w:after="260" w:line="416" w:lineRule="auto"/>
      <w:outlineLvl w:val="2"/>
    </w:pPr>
    <w:rPr>
      <w:rFonts w:ascii="Times New Roman" w:eastAsia="宋体" w:hAnsi="Times New Roman" w:cstheme="min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paragraph" w:styleId="a4">
    <w:name w:val="Body Text"/>
    <w:basedOn w:val="a"/>
    <w:pPr>
      <w:jc w:val="center"/>
    </w:pPr>
    <w:rPr>
      <w:b/>
      <w:sz w:val="40"/>
    </w:rPr>
  </w:style>
  <w:style w:type="paragraph" w:styleId="a5">
    <w:name w:val="footnote text"/>
    <w:basedOn w:val="a"/>
    <w:next w:val="TFReferencesSection"/>
    <w:semiHidden/>
  </w:style>
  <w:style w:type="paragraph" w:customStyle="1" w:styleId="TFReferencesSection">
    <w:name w:val="TF_References_Section"/>
    <w:basedOn w:val="a"/>
    <w:pPr>
      <w:spacing w:line="480" w:lineRule="auto"/>
      <w:ind w:firstLine="187"/>
    </w:pPr>
  </w:style>
  <w:style w:type="paragraph" w:customStyle="1" w:styleId="TAMainText">
    <w:name w:val="TA_Main_Text"/>
    <w:basedOn w:val="a"/>
    <w:pPr>
      <w:spacing w:after="0" w:line="480" w:lineRule="auto"/>
      <w:ind w:firstLine="202"/>
    </w:pPr>
  </w:style>
  <w:style w:type="paragraph" w:customStyle="1" w:styleId="BATitle">
    <w:name w:val="BA_Title"/>
    <w:basedOn w:val="a"/>
    <w:next w:val="BBAuthorName"/>
    <w:pPr>
      <w:spacing w:before="720" w:after="360" w:line="480" w:lineRule="auto"/>
      <w:jc w:val="center"/>
    </w:pPr>
    <w:rPr>
      <w:rFonts w:ascii="Times New Roman" w:hAnsi="Times New Roman"/>
      <w:sz w:val="44"/>
    </w:rPr>
  </w:style>
  <w:style w:type="paragraph" w:customStyle="1" w:styleId="BBAuthorName">
    <w:name w:val="BB_Author_Name"/>
    <w:basedOn w:val="a"/>
    <w:next w:val="BCAuthorAddress"/>
    <w:pPr>
      <w:spacing w:after="240" w:line="480" w:lineRule="auto"/>
      <w:jc w:val="center"/>
    </w:pPr>
    <w:rPr>
      <w:i/>
    </w:rPr>
  </w:style>
  <w:style w:type="paragraph" w:customStyle="1" w:styleId="BCAuthorAddress">
    <w:name w:val="BC_Author_Address"/>
    <w:basedOn w:val="a"/>
    <w:next w:val="BIEmailAddress"/>
    <w:pPr>
      <w:spacing w:after="240" w:line="480" w:lineRule="auto"/>
      <w:jc w:val="center"/>
    </w:pPr>
  </w:style>
  <w:style w:type="paragraph" w:customStyle="1" w:styleId="BIEmailAddress">
    <w:name w:val="BI_Email_Address"/>
    <w:basedOn w:val="a"/>
    <w:next w:val="AIReceivedDate"/>
    <w:pPr>
      <w:spacing w:line="480" w:lineRule="auto"/>
    </w:pPr>
  </w:style>
  <w:style w:type="paragraph" w:customStyle="1" w:styleId="AIReceivedDate">
    <w:name w:val="AI_Received_Date"/>
    <w:basedOn w:val="a"/>
    <w:next w:val="BDAbstract"/>
    <w:pPr>
      <w:spacing w:after="240" w:line="480" w:lineRule="auto"/>
    </w:pPr>
    <w:rPr>
      <w:b/>
    </w:rPr>
  </w:style>
  <w:style w:type="paragraph" w:customStyle="1" w:styleId="BDAbstract">
    <w:name w:val="BD_Abstract"/>
    <w:basedOn w:val="a"/>
    <w:next w:val="TAMainText"/>
    <w:pPr>
      <w:spacing w:before="360" w:after="360" w:line="480" w:lineRule="auto"/>
    </w:pPr>
  </w:style>
  <w:style w:type="paragraph" w:customStyle="1" w:styleId="TDAcknowledgments">
    <w:name w:val="TD_Acknowledgments"/>
    <w:basedOn w:val="a"/>
    <w:next w:val="a"/>
    <w:pPr>
      <w:spacing w:before="200" w:line="480" w:lineRule="auto"/>
      <w:ind w:firstLine="202"/>
    </w:pPr>
  </w:style>
  <w:style w:type="paragraph" w:customStyle="1" w:styleId="TESupportingInformation">
    <w:name w:val="TE_Supporting_Information"/>
    <w:basedOn w:val="a"/>
    <w:next w:val="a"/>
    <w:qFormat/>
    <w:rsid w:val="00445C0C"/>
    <w:pPr>
      <w:ind w:firstLine="187"/>
    </w:pPr>
    <w:rPr>
      <w:rFonts w:ascii="Times New Roman" w:eastAsia="Times New Roman" w:hAnsi="Times New Roman"/>
    </w:rPr>
  </w:style>
  <w:style w:type="paragraph" w:customStyle="1" w:styleId="VCSchemeTitle">
    <w:name w:val="VC_Scheme_Title"/>
    <w:basedOn w:val="a"/>
    <w:next w:val="a"/>
    <w:pPr>
      <w:spacing w:line="480" w:lineRule="auto"/>
    </w:pPr>
  </w:style>
  <w:style w:type="paragraph" w:customStyle="1" w:styleId="VDTableTitle">
    <w:name w:val="VD_Table_Title"/>
    <w:basedOn w:val="a"/>
    <w:next w:val="a"/>
    <w:pPr>
      <w:spacing w:line="480" w:lineRule="auto"/>
    </w:pPr>
  </w:style>
  <w:style w:type="paragraph" w:customStyle="1" w:styleId="VAFigureCaption">
    <w:name w:val="VA_Figure_Caption"/>
    <w:basedOn w:val="a"/>
    <w:next w:val="a"/>
    <w:pPr>
      <w:spacing w:line="480" w:lineRule="auto"/>
    </w:pPr>
  </w:style>
  <w:style w:type="paragraph" w:customStyle="1" w:styleId="VBChartTitle">
    <w:name w:val="VB_Chart_Title"/>
    <w:basedOn w:val="a"/>
    <w:next w:val="a"/>
    <w:pPr>
      <w:spacing w:line="480" w:lineRule="auto"/>
    </w:pPr>
  </w:style>
  <w:style w:type="paragraph" w:customStyle="1" w:styleId="FETableFootnote">
    <w:name w:val="FE_Table_Footnote"/>
    <w:basedOn w:val="a"/>
    <w:next w:val="a"/>
    <w:pPr>
      <w:ind w:firstLine="187"/>
    </w:pPr>
  </w:style>
  <w:style w:type="paragraph" w:customStyle="1" w:styleId="FCChartFootnote">
    <w:name w:val="FC_Chart_Footnote"/>
    <w:basedOn w:val="a"/>
    <w:next w:val="a"/>
    <w:pPr>
      <w:ind w:firstLine="187"/>
    </w:pPr>
  </w:style>
  <w:style w:type="paragraph" w:customStyle="1" w:styleId="FDSchemeFootnote">
    <w:name w:val="FD_Scheme_Footnote"/>
    <w:basedOn w:val="a"/>
    <w:next w:val="a"/>
    <w:pPr>
      <w:ind w:firstLine="187"/>
    </w:pPr>
  </w:style>
  <w:style w:type="paragraph" w:customStyle="1" w:styleId="TCTableBody">
    <w:name w:val="TC_Table_Body"/>
    <w:basedOn w:val="a"/>
  </w:style>
  <w:style w:type="paragraph" w:customStyle="1" w:styleId="AFTitleRunningHead">
    <w:name w:val="AF_Title_Running_Head"/>
    <w:basedOn w:val="a"/>
    <w:next w:val="TAMainText"/>
    <w:pPr>
      <w:spacing w:line="480" w:lineRule="auto"/>
    </w:pPr>
  </w:style>
  <w:style w:type="paragraph" w:customStyle="1" w:styleId="BEAuthorBiography">
    <w:name w:val="BE_Author_Biography"/>
    <w:basedOn w:val="a"/>
    <w:pPr>
      <w:spacing w:line="480" w:lineRule="auto"/>
    </w:pPr>
  </w:style>
  <w:style w:type="paragraph" w:customStyle="1" w:styleId="FACorrespondingAuthorFootnote">
    <w:name w:val="FA_Corresponding_Author_Footnote"/>
    <w:basedOn w:val="a"/>
    <w:next w:val="TAMainText"/>
    <w:pPr>
      <w:spacing w:line="480" w:lineRule="auto"/>
    </w:pPr>
  </w:style>
  <w:style w:type="paragraph" w:customStyle="1" w:styleId="SNSynopsisTOC">
    <w:name w:val="SN_Synopsis_TOC"/>
    <w:basedOn w:val="a"/>
    <w:pPr>
      <w:spacing w:line="480" w:lineRule="auto"/>
    </w:pPr>
  </w:style>
  <w:style w:type="character" w:styleId="a6">
    <w:name w:val="Hyperlink"/>
    <w:uiPriority w:val="99"/>
    <w:rPr>
      <w:color w:val="0000FF"/>
      <w:u w:val="single"/>
    </w:rPr>
  </w:style>
  <w:style w:type="paragraph" w:styleId="a7">
    <w:name w:val="footer"/>
    <w:basedOn w:val="a"/>
    <w:pPr>
      <w:tabs>
        <w:tab w:val="center" w:pos="4320"/>
        <w:tab w:val="right" w:pos="8640"/>
      </w:tabs>
    </w:pPr>
  </w:style>
  <w:style w:type="paragraph" w:customStyle="1" w:styleId="BGKeywords">
    <w:name w:val="BG_Keywords"/>
    <w:basedOn w:val="a"/>
    <w:pPr>
      <w:spacing w:line="480" w:lineRule="auto"/>
    </w:pPr>
  </w:style>
  <w:style w:type="paragraph" w:customStyle="1" w:styleId="BHBriefs">
    <w:name w:val="BH_Briefs"/>
    <w:basedOn w:val="a"/>
    <w:pPr>
      <w:spacing w:line="480" w:lineRule="auto"/>
    </w:pPr>
  </w:style>
  <w:style w:type="character" w:styleId="a8">
    <w:name w:val="page number"/>
    <w:basedOn w:val="a0"/>
  </w:style>
  <w:style w:type="paragraph" w:styleId="a9">
    <w:name w:val="Balloon Text"/>
    <w:basedOn w:val="a"/>
    <w:semiHidden/>
    <w:rsid w:val="00E96302"/>
    <w:rPr>
      <w:rFonts w:ascii="Tahoma" w:hAnsi="Tahoma" w:cs="Tahoma"/>
      <w:sz w:val="16"/>
      <w:szCs w:val="16"/>
    </w:rPr>
  </w:style>
  <w:style w:type="paragraph" w:customStyle="1" w:styleId="StyleFACorrespondingAuthorFootnote7pt">
    <w:name w:val="Style FA_Corresponding_Author_Footnote + 7 pt"/>
    <w:basedOn w:val="a"/>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a"/>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paragraph" w:styleId="aa">
    <w:name w:val="header"/>
    <w:basedOn w:val="a"/>
    <w:link w:val="ab"/>
    <w:unhideWhenUsed/>
    <w:rsid w:val="008F6A8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8F6A8D"/>
    <w:rPr>
      <w:rFonts w:ascii="Times" w:hAnsi="Times"/>
      <w:sz w:val="18"/>
      <w:szCs w:val="18"/>
    </w:rPr>
  </w:style>
  <w:style w:type="table" w:styleId="ac">
    <w:name w:val="Table Grid"/>
    <w:basedOn w:val="a1"/>
    <w:uiPriority w:val="39"/>
    <w:rsid w:val="00CD5C5F"/>
    <w:rPr>
      <w:rFonts w:asciiTheme="minorHAnsi"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a0"/>
    <w:uiPriority w:val="99"/>
    <w:semiHidden/>
    <w:unhideWhenUsed/>
    <w:rsid w:val="00C54307"/>
    <w:rPr>
      <w:color w:val="605E5C"/>
      <w:shd w:val="clear" w:color="auto" w:fill="E1DFDD"/>
    </w:rPr>
  </w:style>
  <w:style w:type="character" w:customStyle="1" w:styleId="20">
    <w:name w:val="标题 2 字符"/>
    <w:basedOn w:val="a0"/>
    <w:link w:val="2"/>
    <w:uiPriority w:val="9"/>
    <w:rsid w:val="000A259E"/>
    <w:rPr>
      <w:rFonts w:ascii="Times New Roman" w:eastAsiaTheme="majorEastAsia" w:hAnsi="Times New Roman" w:cstheme="majorBidi"/>
      <w:b/>
      <w:bCs/>
      <w:kern w:val="2"/>
      <w:sz w:val="30"/>
      <w:szCs w:val="32"/>
      <w:lang w:eastAsia="zh-CN"/>
    </w:rPr>
  </w:style>
  <w:style w:type="character" w:customStyle="1" w:styleId="30">
    <w:name w:val="标题 3 字符"/>
    <w:basedOn w:val="a0"/>
    <w:link w:val="3"/>
    <w:uiPriority w:val="9"/>
    <w:rsid w:val="0091662E"/>
    <w:rPr>
      <w:rFonts w:ascii="Times New Roman" w:eastAsia="宋体" w:hAnsi="Times New Roman" w:cstheme="minorBidi"/>
      <w:b/>
      <w:bCs/>
      <w:kern w:val="2"/>
      <w:sz w:val="32"/>
      <w:szCs w:val="32"/>
      <w:lang w:eastAsia="zh-CN"/>
    </w:rPr>
  </w:style>
  <w:style w:type="paragraph" w:styleId="ad">
    <w:name w:val="No Spacing"/>
    <w:uiPriority w:val="1"/>
    <w:qFormat/>
    <w:rsid w:val="0091662E"/>
    <w:pPr>
      <w:widowControl w:val="0"/>
      <w:jc w:val="both"/>
    </w:pPr>
    <w:rPr>
      <w:rFonts w:ascii="Times New Roman" w:eastAsia="宋体" w:hAnsi="Times New Roman" w:cstheme="minorBidi"/>
      <w:kern w:val="2"/>
      <w:sz w:val="24"/>
      <w:szCs w:val="22"/>
      <w:lang w:eastAsia="zh-CN"/>
    </w:rPr>
  </w:style>
  <w:style w:type="paragraph" w:styleId="ae">
    <w:name w:val="List Paragraph"/>
    <w:basedOn w:val="a"/>
    <w:uiPriority w:val="34"/>
    <w:qFormat/>
    <w:rsid w:val="001D7F01"/>
    <w:pPr>
      <w:ind w:firstLineChars="200" w:firstLine="420"/>
    </w:pPr>
  </w:style>
  <w:style w:type="paragraph" w:styleId="af">
    <w:name w:val="Revision"/>
    <w:hidden/>
    <w:uiPriority w:val="99"/>
    <w:semiHidden/>
    <w:rsid w:val="006C4C2A"/>
    <w:rPr>
      <w:rFonts w:ascii="Times" w:hAnsi="Times"/>
      <w:sz w:val="24"/>
    </w:rPr>
  </w:style>
  <w:style w:type="character" w:styleId="af0">
    <w:name w:val="line number"/>
    <w:basedOn w:val="a0"/>
    <w:semiHidden/>
    <w:unhideWhenUsed/>
    <w:rsid w:val="00D87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11A1-AA42-4296-A9E7-D772082C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13463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lmv00</dc:creator>
  <cp:keywords/>
  <cp:lastModifiedBy>Zhang Yanmei</cp:lastModifiedBy>
  <cp:revision>15</cp:revision>
  <cp:lastPrinted>2008-06-11T21:33:00Z</cp:lastPrinted>
  <dcterms:created xsi:type="dcterms:W3CDTF">2022-04-09T02:13:00Z</dcterms:created>
  <dcterms:modified xsi:type="dcterms:W3CDTF">2022-04-09T12:41:00Z</dcterms:modified>
</cp:coreProperties>
</file>