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D6F92" w14:textId="77777777" w:rsidR="00CA5CE6" w:rsidRDefault="00000000">
      <w:pPr>
        <w:spacing w:after="80" w:line="324" w:lineRule="auto"/>
        <w:jc w:val="center"/>
      </w:pPr>
      <w:r>
        <w:rPr>
          <w:rFonts w:eastAsia="SimHei"/>
          <w:b/>
          <w:sz w:val="30"/>
        </w:rPr>
        <w:t>标题：面向晚期胰腺导管腺癌的患者级证据与临床约束候选治疗识别基准研究方案（V3.0）</w:t>
      </w:r>
    </w:p>
    <w:p w14:paraId="193885F7" w14:textId="77777777" w:rsidR="00CA5CE6" w:rsidRDefault="00000000">
      <w:pPr>
        <w:pStyle w:val="Heading1"/>
      </w:pPr>
      <w:r>
        <w:rPr>
          <w:rFonts w:ascii="Times New Roman" w:eastAsia="SimSun" w:hAnsi="Times New Roman" w:cs="Times New Roman"/>
        </w:rPr>
        <w:t xml:space="preserve">1 </w:t>
      </w:r>
      <w:r>
        <w:rPr>
          <w:rFonts w:ascii="Times New Roman" w:eastAsia="SimSun" w:hAnsi="Times New Roman" w:cs="Times New Roman"/>
        </w:rPr>
        <w:t>研究背景概述</w:t>
      </w:r>
    </w:p>
    <w:p w14:paraId="28780450" w14:textId="77777777" w:rsidR="00CA5CE6" w:rsidRDefault="00000000">
      <w:pPr>
        <w:pStyle w:val="Heading2"/>
      </w:pPr>
      <w:r>
        <w:rPr>
          <w:rFonts w:ascii="Times New Roman" w:eastAsia="SimSun" w:hAnsi="Times New Roman" w:cs="Times New Roman"/>
        </w:rPr>
        <w:t xml:space="preserve">1.1 </w:t>
      </w:r>
      <w:r>
        <w:rPr>
          <w:rFonts w:ascii="Times New Roman" w:eastAsia="SimSun" w:hAnsi="Times New Roman" w:cs="Times New Roman"/>
        </w:rPr>
        <w:t>现实需求与未解决问题</w:t>
      </w:r>
    </w:p>
    <w:p w14:paraId="1F4A31A7" w14:textId="77777777" w:rsidR="00CA5CE6" w:rsidRDefault="00000000">
      <w:pPr>
        <w:spacing w:after="80" w:line="324" w:lineRule="auto"/>
        <w:ind w:firstLine="480"/>
      </w:pPr>
      <w:r>
        <w:t>晚期胰腺导管腺癌（PDAC）治疗选择高度依赖疾病分期、可切除性、ECOG、胆道梗阻与胆红素、营养和骨髓储备、既往治疗及分子特征。FOLFIRINOX/mFOLFIRINOX、NALIRIFOX、吉西他滨联合白蛋白紫杉醇等方案的适用人群不同；BRCA1/2、PALB2、MSI-H/dMMR、NTRK、BRAF、HER2、KRAS G12C及NRG1等少见分子异常可改变后线候选路径[1–2]。</w:t>
      </w:r>
    </w:p>
    <w:p w14:paraId="7C5F9D2B" w14:textId="77777777" w:rsidR="00CA5CE6" w:rsidRDefault="00000000">
      <w:pPr>
        <w:spacing w:after="80" w:line="324" w:lineRule="auto"/>
        <w:ind w:firstLine="480"/>
      </w:pPr>
      <w:r>
        <w:t>现有公开任务多评价变异可操作性、知识库匹配、药物敏感性或指南问答，较少同时判断患者级候选是否有证据、是否适用于当前PDAC治疗线次、是否触发不可补偿风险，以及证据不足时是否应停止输出。AACR GENIE BPC PANC提供胰腺癌纵向临床基因组资料，但缺少完整ECOG、实验室、实际剂量和既往毒性，不能单独支撑完整临床适用性金标准[2]。</w:t>
      </w:r>
    </w:p>
    <w:p w14:paraId="7B1D8217" w14:textId="77777777" w:rsidR="00CA5CE6" w:rsidRDefault="00000000">
      <w:pPr>
        <w:spacing w:after="80" w:line="324" w:lineRule="auto"/>
        <w:ind w:firstLine="480"/>
      </w:pPr>
      <w:r>
        <w:t>本课题不预测“唯一最佳处方”，而构建公开证据驱动、带有限专家复核的研究基准：给定结构化晚期PDAC病例与冻结的候选方案池，将候选标注为“可考虑、条件性适用、应排除、证据不足”，并同时给出支持/反向证据、适用条件、临床约束和弃权理由。</w:t>
      </w:r>
    </w:p>
    <w:p w14:paraId="361495C8" w14:textId="77777777" w:rsidR="00CA5CE6" w:rsidRDefault="00000000">
      <w:pPr>
        <w:pStyle w:val="Heading2"/>
      </w:pPr>
      <w:r>
        <w:rPr>
          <w:rFonts w:ascii="Times New Roman" w:eastAsia="SimSun" w:hAnsi="Times New Roman" w:cs="Times New Roman"/>
        </w:rPr>
        <w:t xml:space="preserve">1.2 </w:t>
      </w:r>
      <w:r>
        <w:rPr>
          <w:rFonts w:ascii="Times New Roman" w:eastAsia="SimSun" w:hAnsi="Times New Roman" w:cs="Times New Roman"/>
        </w:rPr>
        <w:t>现有技术的缺陷与不足</w:t>
      </w:r>
    </w:p>
    <w:p w14:paraId="4EC2E303" w14:textId="77777777" w:rsidR="00CA5CE6" w:rsidRDefault="00000000">
      <w:pPr>
        <w:spacing w:after="80" w:line="324" w:lineRule="auto"/>
        <w:ind w:firstLine="480"/>
      </w:pPr>
      <w:r>
        <w:t>知识库、规则匹配和RAG能够找到相关药物或方案，但“相关”不等于“对当前患者适用”。常见失败包括把体外证据升级为临床证据、混淆胚系与体细胞结果、忽略既往方案及交叉耐药、把ECOG较差一概写成绝对禁忌，以及用总分抵消严重过敏、胆红素异常、骨髓抑制或明确标签禁忌。</w:t>
      </w:r>
    </w:p>
    <w:p w14:paraId="258BBD43" w14:textId="77777777" w:rsidR="00CA5CE6" w:rsidRDefault="00000000">
      <w:pPr>
        <w:spacing w:after="80" w:line="324" w:lineRule="auto"/>
        <w:ind w:firstLine="480"/>
      </w:pPr>
      <w:r>
        <w:t>公开数据不能直接提供同一患者的完整金标准。GENIE BPC PANC可提供分子信息、实际治疗、疗效和PFS/OS，但缺少完整ECOG、肝肾功能、血常规、剂量、CTCAE毒性和禁忌证；临床试验个体数据可补充这些字段，却只覆盖试验阶段且存在入组选择偏倚[2,9,14]。因此两类数据分别形成评测子集，不进行患者级横向拼接。</w:t>
      </w:r>
    </w:p>
    <w:tbl>
      <w:tblPr>
        <w:tblStyle w:val="TableGrid"/>
        <w:tblW w:w="9518" w:type="dxa"/>
        <w:tblInd w:w="120" w:type="dxa"/>
        <w:tblLayout w:type="fixed"/>
        <w:tblLook w:val="04A0" w:firstRow="1" w:lastRow="0" w:firstColumn="1" w:lastColumn="0" w:noHBand="0" w:noVBand="1"/>
      </w:tblPr>
      <w:tblGrid>
        <w:gridCol w:w="1918"/>
        <w:gridCol w:w="2912"/>
        <w:gridCol w:w="4688"/>
      </w:tblGrid>
      <w:tr w:rsidR="00CA5CE6" w14:paraId="7A19263C" w14:textId="77777777">
        <w:trPr>
          <w:tblHeader/>
        </w:trPr>
        <w:tc>
          <w:tcPr>
            <w:tcW w:w="1918" w:type="dxa"/>
            <w:shd w:val="clear" w:color="auto" w:fill="D9EAF7"/>
            <w:tcMar>
              <w:top w:w="80" w:type="dxa"/>
              <w:left w:w="120" w:type="dxa"/>
              <w:bottom w:w="80" w:type="dxa"/>
              <w:right w:w="120" w:type="dxa"/>
            </w:tcMar>
            <w:vAlign w:val="center"/>
          </w:tcPr>
          <w:p w14:paraId="7CE87EA4" w14:textId="77777777" w:rsidR="00CA5CE6" w:rsidRDefault="00000000">
            <w:pPr>
              <w:spacing w:line="240" w:lineRule="auto"/>
              <w:jc w:val="center"/>
            </w:pPr>
            <w:r>
              <w:rPr>
                <w:rFonts w:eastAsia="SimHei"/>
                <w:b/>
                <w:sz w:val="18"/>
              </w:rPr>
              <w:t>技术路线</w:t>
            </w:r>
          </w:p>
        </w:tc>
        <w:tc>
          <w:tcPr>
            <w:tcW w:w="2912" w:type="dxa"/>
            <w:shd w:val="clear" w:color="auto" w:fill="D9EAF7"/>
            <w:tcMar>
              <w:top w:w="80" w:type="dxa"/>
              <w:left w:w="120" w:type="dxa"/>
              <w:bottom w:w="80" w:type="dxa"/>
              <w:right w:w="120" w:type="dxa"/>
            </w:tcMar>
            <w:vAlign w:val="center"/>
          </w:tcPr>
          <w:p w14:paraId="7E4F4878" w14:textId="77777777" w:rsidR="00CA5CE6" w:rsidRDefault="00000000">
            <w:pPr>
              <w:spacing w:line="240" w:lineRule="auto"/>
              <w:jc w:val="center"/>
            </w:pPr>
            <w:r>
              <w:rPr>
                <w:rFonts w:eastAsia="SimHei"/>
                <w:b/>
                <w:sz w:val="18"/>
              </w:rPr>
              <w:t>代表性工作</w:t>
            </w:r>
          </w:p>
        </w:tc>
        <w:tc>
          <w:tcPr>
            <w:tcW w:w="4688" w:type="dxa"/>
            <w:shd w:val="clear" w:color="auto" w:fill="D9EAF7"/>
            <w:tcMar>
              <w:top w:w="80" w:type="dxa"/>
              <w:left w:w="120" w:type="dxa"/>
              <w:bottom w:w="80" w:type="dxa"/>
              <w:right w:w="120" w:type="dxa"/>
            </w:tcMar>
            <w:vAlign w:val="center"/>
          </w:tcPr>
          <w:p w14:paraId="429C1D34" w14:textId="77777777" w:rsidR="00CA5CE6" w:rsidRDefault="00000000">
            <w:pPr>
              <w:spacing w:line="240" w:lineRule="auto"/>
              <w:jc w:val="center"/>
            </w:pPr>
            <w:r>
              <w:rPr>
                <w:rFonts w:eastAsia="SimHei"/>
                <w:b/>
                <w:sz w:val="18"/>
              </w:rPr>
              <w:t>已解决问题与剩余空白</w:t>
            </w:r>
          </w:p>
        </w:tc>
      </w:tr>
      <w:tr w:rsidR="00CA5CE6" w14:paraId="7654C077" w14:textId="77777777">
        <w:tc>
          <w:tcPr>
            <w:tcW w:w="1918" w:type="dxa"/>
            <w:tcMar>
              <w:top w:w="80" w:type="dxa"/>
              <w:left w:w="120" w:type="dxa"/>
              <w:bottom w:w="80" w:type="dxa"/>
              <w:right w:w="120" w:type="dxa"/>
            </w:tcMar>
            <w:vAlign w:val="center"/>
          </w:tcPr>
          <w:p w14:paraId="31DCBD8A" w14:textId="77777777" w:rsidR="00CA5CE6" w:rsidRDefault="00000000">
            <w:pPr>
              <w:spacing w:line="240" w:lineRule="auto"/>
              <w:jc w:val="left"/>
            </w:pPr>
            <w:r>
              <w:rPr>
                <w:sz w:val="18"/>
              </w:rPr>
              <w:t>分子证据知识库</w:t>
            </w:r>
          </w:p>
        </w:tc>
        <w:tc>
          <w:tcPr>
            <w:tcW w:w="2912" w:type="dxa"/>
            <w:tcMar>
              <w:top w:w="80" w:type="dxa"/>
              <w:left w:w="120" w:type="dxa"/>
              <w:bottom w:w="80" w:type="dxa"/>
              <w:right w:w="120" w:type="dxa"/>
            </w:tcMar>
            <w:vAlign w:val="center"/>
          </w:tcPr>
          <w:p w14:paraId="7C6026A1" w14:textId="77777777" w:rsidR="00CA5CE6" w:rsidRDefault="00000000">
            <w:pPr>
              <w:spacing w:line="240" w:lineRule="auto"/>
              <w:jc w:val="left"/>
            </w:pPr>
            <w:r>
              <w:rPr>
                <w:sz w:val="18"/>
              </w:rPr>
              <w:t>CIViC、OncoKB、MetaKB</w:t>
            </w:r>
          </w:p>
        </w:tc>
        <w:tc>
          <w:tcPr>
            <w:tcW w:w="4688" w:type="dxa"/>
            <w:tcMar>
              <w:top w:w="80" w:type="dxa"/>
              <w:left w:w="120" w:type="dxa"/>
              <w:bottom w:w="80" w:type="dxa"/>
              <w:right w:w="120" w:type="dxa"/>
            </w:tcMar>
            <w:vAlign w:val="center"/>
          </w:tcPr>
          <w:p w14:paraId="0FB6E3FB" w14:textId="77777777" w:rsidR="00CA5CE6" w:rsidRDefault="00000000">
            <w:pPr>
              <w:spacing w:line="240" w:lineRule="auto"/>
              <w:jc w:val="left"/>
            </w:pPr>
            <w:r>
              <w:rPr>
                <w:sz w:val="18"/>
              </w:rPr>
              <w:t>提供变异—疾病—治疗证据与等级，但不能直接给出患者级适用性；OncoKB存在训练与再分发限制。</w:t>
            </w:r>
          </w:p>
        </w:tc>
      </w:tr>
      <w:tr w:rsidR="00CA5CE6" w14:paraId="7D2F8B3E" w14:textId="77777777">
        <w:tc>
          <w:tcPr>
            <w:tcW w:w="1918" w:type="dxa"/>
            <w:tcMar>
              <w:top w:w="80" w:type="dxa"/>
              <w:left w:w="120" w:type="dxa"/>
              <w:bottom w:w="80" w:type="dxa"/>
              <w:right w:w="120" w:type="dxa"/>
            </w:tcMar>
            <w:vAlign w:val="center"/>
          </w:tcPr>
          <w:p w14:paraId="2C687C7C" w14:textId="77777777" w:rsidR="00CA5CE6" w:rsidRDefault="00000000">
            <w:pPr>
              <w:spacing w:line="240" w:lineRule="auto"/>
              <w:jc w:val="left"/>
            </w:pPr>
            <w:r>
              <w:rPr>
                <w:sz w:val="18"/>
              </w:rPr>
              <w:t>患者级解释</w:t>
            </w:r>
          </w:p>
        </w:tc>
        <w:tc>
          <w:tcPr>
            <w:tcW w:w="2912" w:type="dxa"/>
            <w:tcMar>
              <w:top w:w="80" w:type="dxa"/>
              <w:left w:w="120" w:type="dxa"/>
              <w:bottom w:w="80" w:type="dxa"/>
              <w:right w:w="120" w:type="dxa"/>
            </w:tcMar>
            <w:vAlign w:val="center"/>
          </w:tcPr>
          <w:p w14:paraId="3F7C6010" w14:textId="77777777" w:rsidR="00CA5CE6" w:rsidRDefault="00000000">
            <w:pPr>
              <w:spacing w:line="240" w:lineRule="auto"/>
              <w:jc w:val="left"/>
            </w:pPr>
            <w:r>
              <w:rPr>
                <w:sz w:val="18"/>
              </w:rPr>
              <w:t>MOAlmanac</w:t>
            </w:r>
          </w:p>
        </w:tc>
        <w:tc>
          <w:tcPr>
            <w:tcW w:w="4688" w:type="dxa"/>
            <w:tcMar>
              <w:top w:w="80" w:type="dxa"/>
              <w:left w:w="120" w:type="dxa"/>
              <w:bottom w:w="80" w:type="dxa"/>
              <w:right w:w="120" w:type="dxa"/>
            </w:tcMar>
            <w:vAlign w:val="center"/>
          </w:tcPr>
          <w:p w14:paraId="217E1670" w14:textId="77777777" w:rsidR="00CA5CE6" w:rsidRDefault="00000000">
            <w:pPr>
              <w:spacing w:line="240" w:lineRule="auto"/>
              <w:jc w:val="left"/>
            </w:pPr>
            <w:r>
              <w:rPr>
                <w:sz w:val="18"/>
              </w:rPr>
              <w:t>可整合分子特征并排序解释，但完整既往治疗和临床约束标签有限。</w:t>
            </w:r>
          </w:p>
        </w:tc>
      </w:tr>
      <w:tr w:rsidR="00CA5CE6" w14:paraId="1FBDC11F" w14:textId="77777777">
        <w:tc>
          <w:tcPr>
            <w:tcW w:w="1918" w:type="dxa"/>
            <w:tcMar>
              <w:top w:w="80" w:type="dxa"/>
              <w:left w:w="120" w:type="dxa"/>
              <w:bottom w:w="80" w:type="dxa"/>
              <w:right w:w="120" w:type="dxa"/>
            </w:tcMar>
            <w:vAlign w:val="center"/>
          </w:tcPr>
          <w:p w14:paraId="23FDD172" w14:textId="77777777" w:rsidR="00CA5CE6" w:rsidRDefault="00000000">
            <w:pPr>
              <w:spacing w:line="240" w:lineRule="auto"/>
              <w:jc w:val="left"/>
            </w:pPr>
            <w:r>
              <w:rPr>
                <w:sz w:val="18"/>
              </w:rPr>
              <w:t>纵向临床基因组队列</w:t>
            </w:r>
          </w:p>
        </w:tc>
        <w:tc>
          <w:tcPr>
            <w:tcW w:w="2912" w:type="dxa"/>
            <w:tcMar>
              <w:top w:w="80" w:type="dxa"/>
              <w:left w:w="120" w:type="dxa"/>
              <w:bottom w:w="80" w:type="dxa"/>
              <w:right w:w="120" w:type="dxa"/>
            </w:tcMar>
            <w:vAlign w:val="center"/>
          </w:tcPr>
          <w:p w14:paraId="5B58C8EC" w14:textId="77777777" w:rsidR="00CA5CE6" w:rsidRDefault="00000000">
            <w:pPr>
              <w:spacing w:line="240" w:lineRule="auto"/>
              <w:jc w:val="left"/>
            </w:pPr>
            <w:r>
              <w:rPr>
                <w:sz w:val="18"/>
              </w:rPr>
              <w:t>AACR GENIE BPC PANC</w:t>
            </w:r>
          </w:p>
        </w:tc>
        <w:tc>
          <w:tcPr>
            <w:tcW w:w="4688" w:type="dxa"/>
            <w:tcMar>
              <w:top w:w="80" w:type="dxa"/>
              <w:left w:w="120" w:type="dxa"/>
              <w:bottom w:w="80" w:type="dxa"/>
              <w:right w:w="120" w:type="dxa"/>
            </w:tcMar>
            <w:vAlign w:val="center"/>
          </w:tcPr>
          <w:p w14:paraId="7820DCA6" w14:textId="77777777" w:rsidR="00CA5CE6" w:rsidRDefault="00000000">
            <w:pPr>
              <w:spacing w:line="240" w:lineRule="auto"/>
              <w:jc w:val="left"/>
            </w:pPr>
            <w:r>
              <w:rPr>
                <w:sz w:val="18"/>
              </w:rPr>
              <w:t>提供胰腺癌分子、治疗、反应与结局；缺ECOG、实验室、剂量和完整毒性。</w:t>
            </w:r>
          </w:p>
        </w:tc>
      </w:tr>
      <w:tr w:rsidR="00CA5CE6" w14:paraId="7C9D02F1" w14:textId="77777777">
        <w:tc>
          <w:tcPr>
            <w:tcW w:w="1918" w:type="dxa"/>
            <w:tcMar>
              <w:top w:w="80" w:type="dxa"/>
              <w:left w:w="120" w:type="dxa"/>
              <w:bottom w:w="80" w:type="dxa"/>
              <w:right w:w="120" w:type="dxa"/>
            </w:tcMar>
            <w:vAlign w:val="center"/>
          </w:tcPr>
          <w:p w14:paraId="4DA67CA1" w14:textId="77777777" w:rsidR="00CA5CE6" w:rsidRDefault="00000000">
            <w:pPr>
              <w:spacing w:line="240" w:lineRule="auto"/>
              <w:jc w:val="left"/>
            </w:pPr>
            <w:r>
              <w:rPr>
                <w:sz w:val="18"/>
              </w:rPr>
              <w:t>试验个体数据共享</w:t>
            </w:r>
          </w:p>
        </w:tc>
        <w:tc>
          <w:tcPr>
            <w:tcW w:w="2912" w:type="dxa"/>
            <w:tcMar>
              <w:top w:w="80" w:type="dxa"/>
              <w:left w:w="120" w:type="dxa"/>
              <w:bottom w:w="80" w:type="dxa"/>
              <w:right w:w="120" w:type="dxa"/>
            </w:tcMar>
            <w:vAlign w:val="center"/>
          </w:tcPr>
          <w:p w14:paraId="07081970" w14:textId="77777777" w:rsidR="00CA5CE6" w:rsidRDefault="00000000">
            <w:pPr>
              <w:spacing w:line="240" w:lineRule="auto"/>
              <w:jc w:val="left"/>
            </w:pPr>
            <w:r>
              <w:rPr>
                <w:sz w:val="18"/>
              </w:rPr>
              <w:t>Vivli、NCI NCTN、Project Data Sphere</w:t>
            </w:r>
          </w:p>
        </w:tc>
        <w:tc>
          <w:tcPr>
            <w:tcW w:w="4688" w:type="dxa"/>
            <w:tcMar>
              <w:top w:w="80" w:type="dxa"/>
              <w:left w:w="120" w:type="dxa"/>
              <w:bottom w:w="80" w:type="dxa"/>
              <w:right w:w="120" w:type="dxa"/>
            </w:tcMar>
            <w:vAlign w:val="center"/>
          </w:tcPr>
          <w:p w14:paraId="5CC49535" w14:textId="77777777" w:rsidR="00CA5CE6" w:rsidRDefault="00000000">
            <w:pPr>
              <w:spacing w:line="240" w:lineRule="auto"/>
              <w:jc w:val="left"/>
            </w:pPr>
            <w:r>
              <w:rPr>
                <w:sz w:val="18"/>
              </w:rPr>
              <w:t>可补ECOG、实验室、剂量和CTCAE毒性；只覆盖试验阶段且存在选择偏倚。</w:t>
            </w:r>
          </w:p>
        </w:tc>
      </w:tr>
      <w:tr w:rsidR="00CA5CE6" w14:paraId="2255B7BA" w14:textId="77777777">
        <w:tc>
          <w:tcPr>
            <w:tcW w:w="1918" w:type="dxa"/>
            <w:tcMar>
              <w:top w:w="80" w:type="dxa"/>
              <w:left w:w="120" w:type="dxa"/>
              <w:bottom w:w="80" w:type="dxa"/>
              <w:right w:w="120" w:type="dxa"/>
            </w:tcMar>
            <w:vAlign w:val="center"/>
          </w:tcPr>
          <w:p w14:paraId="2E86DEF3" w14:textId="77777777" w:rsidR="00CA5CE6" w:rsidRDefault="00000000">
            <w:pPr>
              <w:spacing w:line="240" w:lineRule="auto"/>
              <w:jc w:val="left"/>
            </w:pPr>
            <w:r>
              <w:rPr>
                <w:sz w:val="18"/>
              </w:rPr>
              <w:t>肿瘤学RAG与智能体</w:t>
            </w:r>
          </w:p>
        </w:tc>
        <w:tc>
          <w:tcPr>
            <w:tcW w:w="2912" w:type="dxa"/>
            <w:tcMar>
              <w:top w:w="80" w:type="dxa"/>
              <w:left w:w="120" w:type="dxa"/>
              <w:bottom w:w="80" w:type="dxa"/>
              <w:right w:w="120" w:type="dxa"/>
            </w:tcMar>
            <w:vAlign w:val="center"/>
          </w:tcPr>
          <w:p w14:paraId="0723CC73" w14:textId="77777777" w:rsidR="00CA5CE6" w:rsidRDefault="00000000">
            <w:pPr>
              <w:spacing w:line="240" w:lineRule="auto"/>
              <w:jc w:val="left"/>
            </w:pPr>
            <w:r>
              <w:rPr>
                <w:sz w:val="18"/>
              </w:rPr>
              <w:t>Jun等；Ferber等</w:t>
            </w:r>
          </w:p>
        </w:tc>
        <w:tc>
          <w:tcPr>
            <w:tcW w:w="4688" w:type="dxa"/>
            <w:tcMar>
              <w:top w:w="80" w:type="dxa"/>
              <w:left w:w="120" w:type="dxa"/>
              <w:bottom w:w="80" w:type="dxa"/>
              <w:right w:w="120" w:type="dxa"/>
            </w:tcMar>
            <w:vAlign w:val="center"/>
          </w:tcPr>
          <w:p w14:paraId="036705CA" w14:textId="77777777" w:rsidR="00CA5CE6" w:rsidRDefault="00000000">
            <w:pPr>
              <w:spacing w:line="240" w:lineRule="auto"/>
              <w:jc w:val="left"/>
            </w:pPr>
            <w:r>
              <w:rPr>
                <w:sz w:val="18"/>
              </w:rPr>
              <w:t>证明知识增强与工具编排潜力；仍需统一PDAC任务、分项指标与风险边界。</w:t>
            </w:r>
          </w:p>
        </w:tc>
      </w:tr>
    </w:tbl>
    <w:p w14:paraId="4D762DE4" w14:textId="77777777" w:rsidR="00CA5CE6" w:rsidRDefault="00CA5CE6">
      <w:pPr>
        <w:spacing w:line="120" w:lineRule="auto"/>
      </w:pPr>
    </w:p>
    <w:p w14:paraId="49CB5D11" w14:textId="77777777" w:rsidR="00CA5CE6" w:rsidRDefault="00000000">
      <w:pPr>
        <w:spacing w:after="80" w:line="324" w:lineRule="auto"/>
        <w:ind w:firstLine="480"/>
      </w:pPr>
      <w:r>
        <w:t>本研究的创新点是把PDAC任务边界、决策时点、病例字段、四类候选状态、证据方向、约束分层、双轨数据、时间切分与安全评价固定下来，使不同方法在同一“考场”比较；它建立的是证据驱动参考标准，而非临床金标准。</w:t>
      </w:r>
    </w:p>
    <w:p w14:paraId="19BE3BD5" w14:textId="77777777" w:rsidR="00CA5CE6" w:rsidRDefault="00000000">
      <w:pPr>
        <w:pStyle w:val="Heading1"/>
      </w:pPr>
      <w:r>
        <w:rPr>
          <w:rFonts w:ascii="Times New Roman" w:eastAsia="SimSun" w:hAnsi="Times New Roman" w:cs="Times New Roman"/>
        </w:rPr>
        <w:t xml:space="preserve">2 </w:t>
      </w:r>
      <w:r>
        <w:rPr>
          <w:rFonts w:ascii="Times New Roman" w:eastAsia="SimSun" w:hAnsi="Times New Roman" w:cs="Times New Roman"/>
        </w:rPr>
        <w:t>课题构思与定位</w:t>
      </w:r>
    </w:p>
    <w:p w14:paraId="320A0803" w14:textId="77777777" w:rsidR="00CA5CE6" w:rsidRDefault="00000000">
      <w:pPr>
        <w:pStyle w:val="Heading2"/>
      </w:pPr>
      <w:r>
        <w:rPr>
          <w:rFonts w:ascii="Times New Roman" w:eastAsia="SimSun" w:hAnsi="Times New Roman" w:cs="Times New Roman"/>
        </w:rPr>
        <w:t xml:space="preserve">2.1 </w:t>
      </w:r>
      <w:r>
        <w:rPr>
          <w:rFonts w:ascii="Times New Roman" w:eastAsia="SimSun" w:hAnsi="Times New Roman" w:cs="Times New Roman"/>
        </w:rPr>
        <w:t>科学问题</w:t>
      </w:r>
    </w:p>
    <w:p w14:paraId="45E22651" w14:textId="77777777" w:rsidR="00CA5CE6" w:rsidRDefault="00000000">
      <w:pPr>
        <w:spacing w:after="80" w:line="324" w:lineRule="auto"/>
        <w:ind w:firstLine="480"/>
      </w:pPr>
      <w:r>
        <w:t>现有PDAC AI评价缺少同时覆盖患者上下文、正反证据、既往治疗、临床约束和安全弃权的统一基准。本研究解决：如何在公开资源和有限专家复核条件下，构建可复现、可比较、时间可追溯的晚期PDAC候选治疗识别Benchmark？</w:t>
      </w:r>
    </w:p>
    <w:p w14:paraId="0FE4D95B" w14:textId="77777777" w:rsidR="00CA5CE6" w:rsidRDefault="00000000">
      <w:pPr>
        <w:spacing w:after="80" w:line="324" w:lineRule="auto"/>
        <w:ind w:firstLine="480"/>
      </w:pPr>
      <w:r>
        <w:t>核心科学问题拆分为以下四个可验证子问题。</w:t>
      </w:r>
    </w:p>
    <w:p w14:paraId="5973290F" w14:textId="77777777" w:rsidR="00CA5CE6" w:rsidRDefault="00000000">
      <w:pPr>
        <w:pStyle w:val="ListParagraph"/>
        <w:numPr>
          <w:ilvl w:val="0"/>
          <w:numId w:val="6"/>
        </w:numPr>
        <w:spacing w:line="324" w:lineRule="auto"/>
      </w:pPr>
      <w:r>
        <w:rPr>
          <w:rFonts w:ascii="Arial" w:hAnsi="Arial"/>
          <w:sz w:val="21"/>
        </w:rPr>
        <w:t>任务边界问题：如何限定不可切除局部晚期、复发或转移性PDAC，固定结构化患者输入和候选方案池，避免把剂量处方和未经核验的试验推荐混入首版？</w:t>
      </w:r>
    </w:p>
    <w:p w14:paraId="31FB1CB6" w14:textId="77777777" w:rsidR="00CA5CE6" w:rsidRDefault="00000000">
      <w:pPr>
        <w:pStyle w:val="ListParagraph"/>
        <w:numPr>
          <w:ilvl w:val="0"/>
          <w:numId w:val="6"/>
        </w:numPr>
        <w:spacing w:line="324" w:lineRule="auto"/>
      </w:pPr>
      <w:r>
        <w:rPr>
          <w:rFonts w:ascii="Arial" w:hAnsi="Arial"/>
          <w:sz w:val="21"/>
        </w:rPr>
        <w:t>标签问题：如何联合编码支持、无效、耐药和毒性证据，并把临床条件区分为绝对排除、条件性限制、证据适用性不足和信息未知？</w:t>
      </w:r>
    </w:p>
    <w:p w14:paraId="09893A0D" w14:textId="77777777" w:rsidR="00CA5CE6" w:rsidRDefault="00000000">
      <w:pPr>
        <w:pStyle w:val="ListParagraph"/>
        <w:numPr>
          <w:ilvl w:val="0"/>
          <w:numId w:val="6"/>
        </w:numPr>
        <w:spacing w:line="324" w:lineRule="auto"/>
      </w:pPr>
      <w:r>
        <w:rPr>
          <w:rFonts w:ascii="Arial" w:hAnsi="Arial"/>
          <w:sz w:val="21"/>
        </w:rPr>
        <w:t>数据问题：如何把临床基因组队列、临床试验个体数据和证据资源分别用于合适子任务，并保证决策时点对齐、缺失值可解释且不伪造患者级拼接？</w:t>
      </w:r>
    </w:p>
    <w:p w14:paraId="7084C695" w14:textId="77777777" w:rsidR="00CA5CE6" w:rsidRDefault="00000000">
      <w:pPr>
        <w:pStyle w:val="ListParagraph"/>
        <w:numPr>
          <w:ilvl w:val="0"/>
          <w:numId w:val="6"/>
        </w:numPr>
        <w:spacing w:line="324" w:lineRule="auto"/>
      </w:pPr>
      <w:r>
        <w:rPr>
          <w:rFonts w:ascii="Arial" w:hAnsi="Arial"/>
          <w:sz w:val="21"/>
        </w:rPr>
        <w:t>泛化问题：如何通过证据时间外测试、中心/来源外测试和安全挑战集区分真实泛化、实体记忆与热门靶点偏差？</w:t>
      </w:r>
    </w:p>
    <w:p w14:paraId="30C3355F" w14:textId="77777777" w:rsidR="00CA5CE6" w:rsidRDefault="00000000">
      <w:pPr>
        <w:pStyle w:val="Heading2"/>
      </w:pPr>
      <w:r>
        <w:rPr>
          <w:rFonts w:ascii="Times New Roman" w:eastAsia="SimSun" w:hAnsi="Times New Roman" w:cs="Times New Roman"/>
        </w:rPr>
        <w:t xml:space="preserve">2.2 </w:t>
      </w:r>
      <w:r>
        <w:rPr>
          <w:rFonts w:ascii="Times New Roman" w:eastAsia="SimSun" w:hAnsi="Times New Roman" w:cs="Times New Roman"/>
        </w:rPr>
        <w:t>研究目的与研究意义</w:t>
      </w:r>
    </w:p>
    <w:p w14:paraId="4BE33EEC" w14:textId="77777777" w:rsidR="00CA5CE6" w:rsidRDefault="00000000">
      <w:pPr>
        <w:spacing w:after="80" w:line="324" w:lineRule="auto"/>
        <w:ind w:firstLine="480"/>
      </w:pPr>
      <w:r>
        <w:t>本研究完成一个可执行的晚期PDAC患者级候选治疗识别基准闭环，覆盖任务定义、数据收集与处理、参考标签、评价协议、三个核心基线与错误分析。</w:t>
      </w:r>
    </w:p>
    <w:p w14:paraId="67F1D386" w14:textId="77777777" w:rsidR="00CA5CE6" w:rsidRDefault="00000000">
      <w:pPr>
        <w:pStyle w:val="ListParagraph"/>
        <w:numPr>
          <w:ilvl w:val="0"/>
          <w:numId w:val="6"/>
        </w:numPr>
        <w:spacing w:line="324" w:lineRule="auto"/>
      </w:pPr>
      <w:r>
        <w:rPr>
          <w:rFonts w:ascii="Arial" w:hAnsi="Arial"/>
          <w:sz w:val="21"/>
        </w:rPr>
        <w:t>定义病例、候选方案、证据、约束和结构化提交格式；病例重点包含病理与分期、可切除性、分子检测、既往治疗、ECOG、胆红素及其他肝肾功能、血常规、营养状态、神经毒性、感染/血栓和合并用药。</w:t>
      </w:r>
    </w:p>
    <w:p w14:paraId="434CBC2F" w14:textId="77777777" w:rsidR="00CA5CE6" w:rsidRDefault="00000000">
      <w:pPr>
        <w:pStyle w:val="ListParagraph"/>
        <w:numPr>
          <w:ilvl w:val="0"/>
          <w:numId w:val="6"/>
        </w:numPr>
        <w:spacing w:line="324" w:lineRule="auto"/>
      </w:pPr>
      <w:r>
        <w:rPr>
          <w:rFonts w:ascii="Arial" w:hAnsi="Arial"/>
          <w:sz w:val="21"/>
        </w:rPr>
        <w:t>构建20–30例Pilot和50–80例人工复核Core；Extended规模由GENIE BPC PANC筛选后的真实可用样本决定，预审计前不承诺固定数量。不同数据轨道单独报告。</w:t>
      </w:r>
    </w:p>
    <w:p w14:paraId="71DC1E41" w14:textId="77777777" w:rsidR="00CA5CE6" w:rsidRDefault="00000000">
      <w:pPr>
        <w:pStyle w:val="ListParagraph"/>
        <w:numPr>
          <w:ilvl w:val="0"/>
          <w:numId w:val="6"/>
        </w:numPr>
        <w:spacing w:line="324" w:lineRule="auto"/>
      </w:pPr>
      <w:r>
        <w:rPr>
          <w:rFonts w:ascii="Arial" w:hAnsi="Arial"/>
          <w:sz w:val="21"/>
        </w:rPr>
        <w:t>实现规则匹配、证据分层排序和RAG＋确定性约束过滤三个核心基线。</w:t>
      </w:r>
    </w:p>
    <w:p w14:paraId="248192E2" w14:textId="77777777" w:rsidR="00CA5CE6" w:rsidRDefault="00000000">
      <w:pPr>
        <w:pStyle w:val="ListParagraph"/>
        <w:numPr>
          <w:ilvl w:val="0"/>
          <w:numId w:val="6"/>
        </w:numPr>
        <w:spacing w:line="324" w:lineRule="auto"/>
      </w:pPr>
      <w:r>
        <w:rPr>
          <w:rFonts w:ascii="Arial" w:hAnsi="Arial"/>
          <w:sz w:val="21"/>
        </w:rPr>
        <w:t>完成常规测试、证据时间外测试、来源外测试和安全挑战集；独立本地临床验证、剂量推荐和自动临床试验匹配列为条件性扩展。</w:t>
      </w:r>
    </w:p>
    <w:p w14:paraId="19ECB7E7" w14:textId="77777777" w:rsidR="00CA5CE6" w:rsidRDefault="00000000">
      <w:pPr>
        <w:pStyle w:val="ListParagraph"/>
        <w:numPr>
          <w:ilvl w:val="0"/>
          <w:numId w:val="6"/>
        </w:numPr>
        <w:spacing w:line="324" w:lineRule="auto"/>
      </w:pPr>
      <w:r>
        <w:rPr>
          <w:rFonts w:ascii="Arial" w:hAnsi="Arial"/>
          <w:sz w:val="21"/>
        </w:rPr>
        <w:t>形成数据卡、标注指南、评价脚本、错误分类和可复现实验工程。</w:t>
      </w:r>
    </w:p>
    <w:p w14:paraId="2957DD8E" w14:textId="77777777" w:rsidR="00CA5CE6" w:rsidRDefault="00000000">
      <w:pPr>
        <w:spacing w:after="80" w:line="324" w:lineRule="auto"/>
        <w:ind w:firstLine="480"/>
      </w:pPr>
      <w:r>
        <w:t>现实应用意义：为分子肿瘤委员会提供可审计的候选方案优先级、适用条件和排除理由，而不是自动处方。</w:t>
      </w:r>
    </w:p>
    <w:p w14:paraId="2ADB52C0" w14:textId="77777777" w:rsidR="00CA5CE6" w:rsidRDefault="00000000">
      <w:pPr>
        <w:spacing w:after="80" w:line="324" w:lineRule="auto"/>
        <w:ind w:firstLine="480"/>
      </w:pPr>
      <w:r>
        <w:t>学术研究意义：为晚期PDAC证据检索、候选识别和安全排序方法提供共享输入、标签与指标。</w:t>
      </w:r>
    </w:p>
    <w:p w14:paraId="3B025223" w14:textId="77777777" w:rsidR="00CA5CE6" w:rsidRDefault="00000000">
      <w:pPr>
        <w:spacing w:after="80" w:line="324" w:lineRule="auto"/>
        <w:ind w:firstLine="480"/>
      </w:pPr>
      <w:r>
        <w:t>方法论意义：把证据强度、证据方向、患者适用性和临床安全拆成可独立评价的环节，减少单一准确率掩盖高风险错误。</w:t>
      </w:r>
    </w:p>
    <w:p w14:paraId="6315E001" w14:textId="77777777" w:rsidR="00CA5CE6" w:rsidRDefault="00000000">
      <w:pPr>
        <w:pStyle w:val="Heading2"/>
      </w:pPr>
      <w:r>
        <w:rPr>
          <w:rFonts w:ascii="Times New Roman" w:eastAsia="SimSun" w:hAnsi="Times New Roman" w:cs="Times New Roman"/>
        </w:rPr>
        <w:t xml:space="preserve">2.3 </w:t>
      </w:r>
      <w:r>
        <w:rPr>
          <w:rFonts w:ascii="Times New Roman" w:eastAsia="SimSun" w:hAnsi="Times New Roman" w:cs="Times New Roman"/>
        </w:rPr>
        <w:t>预期贡献</w:t>
      </w:r>
    </w:p>
    <w:p w14:paraId="593F77A7" w14:textId="77777777" w:rsidR="00CA5CE6" w:rsidRDefault="00000000">
      <w:pPr>
        <w:spacing w:after="80" w:line="324" w:lineRule="auto"/>
        <w:ind w:firstLine="480"/>
      </w:pPr>
      <w:r>
        <w:t>本研究形成以下可验证贡献。</w:t>
      </w:r>
    </w:p>
    <w:p w14:paraId="72DE3415" w14:textId="77777777" w:rsidR="00CA5CE6" w:rsidRDefault="00000000">
      <w:pPr>
        <w:pStyle w:val="ListParagraph"/>
        <w:numPr>
          <w:ilvl w:val="0"/>
          <w:numId w:val="6"/>
        </w:numPr>
        <w:spacing w:line="324" w:lineRule="auto"/>
      </w:pPr>
      <w:r>
        <w:rPr>
          <w:rFonts w:ascii="Arial" w:hAnsi="Arial"/>
          <w:sz w:val="21"/>
        </w:rPr>
        <w:t>任务贡献：定义晚期PDAC患者级候选治疗识别任务、双轨数据结构及四类候选状态。</w:t>
      </w:r>
    </w:p>
    <w:p w14:paraId="5180F17B" w14:textId="77777777" w:rsidR="00CA5CE6" w:rsidRDefault="00000000">
      <w:pPr>
        <w:pStyle w:val="ListParagraph"/>
        <w:numPr>
          <w:ilvl w:val="0"/>
          <w:numId w:val="6"/>
        </w:numPr>
        <w:spacing w:line="324" w:lineRule="auto"/>
      </w:pPr>
      <w:r>
        <w:rPr>
          <w:rFonts w:ascii="Arial" w:hAnsi="Arial"/>
          <w:sz w:val="21"/>
        </w:rPr>
        <w:t>数据贡献：形成带决策时点、支持/反向证据、既往治疗、临床约束、缺失信息、来源标识和知识时间戳的分层病例集。</w:t>
      </w:r>
    </w:p>
    <w:p w14:paraId="5ABCCC15" w14:textId="77777777" w:rsidR="00CA5CE6" w:rsidRDefault="00000000">
      <w:pPr>
        <w:pStyle w:val="ListParagraph"/>
        <w:numPr>
          <w:ilvl w:val="0"/>
          <w:numId w:val="6"/>
        </w:numPr>
        <w:spacing w:line="324" w:lineRule="auto"/>
      </w:pPr>
      <w:r>
        <w:rPr>
          <w:rFonts w:ascii="Arial" w:hAnsi="Arial"/>
          <w:sz w:val="21"/>
        </w:rPr>
        <w:t>评价贡献：建立候选识别、证据、约束、排序和弃权五类指标，不输出伪精确综合总分。</w:t>
      </w:r>
    </w:p>
    <w:p w14:paraId="17EE17A6" w14:textId="77777777" w:rsidR="00CA5CE6" w:rsidRDefault="00000000">
      <w:pPr>
        <w:pStyle w:val="ListParagraph"/>
        <w:numPr>
          <w:ilvl w:val="0"/>
          <w:numId w:val="6"/>
        </w:numPr>
        <w:spacing w:line="324" w:lineRule="auto"/>
      </w:pPr>
      <w:r>
        <w:rPr>
          <w:rFonts w:ascii="Arial" w:hAnsi="Arial"/>
          <w:sz w:val="21"/>
        </w:rPr>
        <w:t>实验贡献：提供时间外、来源外与安全挑战集，公开重叠/泄漏审计、亚组结果和错误分类。</w:t>
      </w:r>
    </w:p>
    <w:p w14:paraId="240E02DD" w14:textId="77777777" w:rsidR="00CA5CE6" w:rsidRDefault="00000000">
      <w:pPr>
        <w:pStyle w:val="ListParagraph"/>
        <w:numPr>
          <w:ilvl w:val="0"/>
          <w:numId w:val="6"/>
        </w:numPr>
        <w:spacing w:line="324" w:lineRule="auto"/>
      </w:pPr>
      <w:r>
        <w:rPr>
          <w:rFonts w:ascii="Arial" w:hAnsi="Arial"/>
          <w:sz w:val="21"/>
        </w:rPr>
        <w:t>工具贡献：提供数据构建、实体标准化、统一提交和评测脚本。</w:t>
      </w:r>
    </w:p>
    <w:p w14:paraId="48909DAB" w14:textId="77777777" w:rsidR="00CA5CE6" w:rsidRDefault="00000000">
      <w:pPr>
        <w:pStyle w:val="Heading1"/>
      </w:pPr>
      <w:r>
        <w:rPr>
          <w:rFonts w:ascii="Times New Roman" w:eastAsia="SimSun" w:hAnsi="Times New Roman" w:cs="Times New Roman"/>
        </w:rPr>
        <w:t xml:space="preserve">3 </w:t>
      </w:r>
      <w:r>
        <w:rPr>
          <w:rFonts w:ascii="Times New Roman" w:eastAsia="SimSun" w:hAnsi="Times New Roman" w:cs="Times New Roman"/>
        </w:rPr>
        <w:t>可用数据分析</w:t>
      </w:r>
    </w:p>
    <w:p w14:paraId="6EFD8A9A" w14:textId="77777777" w:rsidR="00CA5CE6" w:rsidRDefault="00000000">
      <w:pPr>
        <w:pStyle w:val="Heading2"/>
      </w:pPr>
      <w:r>
        <w:rPr>
          <w:rFonts w:ascii="Times New Roman" w:eastAsia="SimSun" w:hAnsi="Times New Roman" w:cs="Times New Roman"/>
        </w:rPr>
        <w:t xml:space="preserve">3.1 </w:t>
      </w:r>
      <w:r>
        <w:rPr>
          <w:rFonts w:ascii="Times New Roman" w:eastAsia="SimSun" w:hAnsi="Times New Roman" w:cs="Times New Roman"/>
        </w:rPr>
        <w:t>数据来源</w:t>
      </w:r>
    </w:p>
    <w:p w14:paraId="0FBB1BDA" w14:textId="77777777" w:rsidR="00CA5CE6" w:rsidRDefault="00000000">
      <w:pPr>
        <w:spacing w:after="80" w:line="324" w:lineRule="auto"/>
        <w:ind w:firstLine="480"/>
      </w:pPr>
      <w:r>
        <w:t>数据采用“患者数据、证据数据、参考标签”三层结构。患者主队列为AACR GENIE BPC PANC 1.0-public，Project GENIE v19仅用于分子分布与长尾采样；ICGC ARGO PACA-CA/Precision-Panc、TCGA-PAAD和CPTAC-PDA用于独立分子验证[2,9,11–13]。ECOG、实验室、剂量和CTCAE毒性从获批的胰腺癌临床试验个体数据或合规本地病例建立独立约束子集[14]。NCI PDQ、CIViC、MOAlmanac、药品说明书、PubMed和ClinicalTrials.gov用于候选池与证据链[1,3,7,10]。</w:t>
      </w:r>
    </w:p>
    <w:tbl>
      <w:tblPr>
        <w:tblStyle w:val="TableGrid"/>
        <w:tblW w:w="9518" w:type="dxa"/>
        <w:tblInd w:w="120" w:type="dxa"/>
        <w:tblLayout w:type="fixed"/>
        <w:tblLook w:val="04A0" w:firstRow="1" w:lastRow="0" w:firstColumn="1" w:lastColumn="0" w:noHBand="0" w:noVBand="1"/>
      </w:tblPr>
      <w:tblGrid>
        <w:gridCol w:w="1776"/>
        <w:gridCol w:w="2912"/>
        <w:gridCol w:w="3125"/>
        <w:gridCol w:w="1705"/>
      </w:tblGrid>
      <w:tr w:rsidR="00CA5CE6" w14:paraId="190F4207" w14:textId="77777777">
        <w:trPr>
          <w:tblHeader/>
        </w:trPr>
        <w:tc>
          <w:tcPr>
            <w:tcW w:w="1776" w:type="dxa"/>
            <w:shd w:val="clear" w:color="auto" w:fill="D9EAF7"/>
            <w:tcMar>
              <w:top w:w="80" w:type="dxa"/>
              <w:left w:w="120" w:type="dxa"/>
              <w:bottom w:w="80" w:type="dxa"/>
              <w:right w:w="120" w:type="dxa"/>
            </w:tcMar>
            <w:vAlign w:val="center"/>
          </w:tcPr>
          <w:p w14:paraId="18282EDF" w14:textId="77777777" w:rsidR="00CA5CE6" w:rsidRDefault="00000000">
            <w:pPr>
              <w:spacing w:line="240" w:lineRule="auto"/>
              <w:jc w:val="center"/>
            </w:pPr>
            <w:r>
              <w:rPr>
                <w:rFonts w:eastAsia="SimHei"/>
                <w:b/>
                <w:sz w:val="18"/>
              </w:rPr>
              <w:t>数据源</w:t>
            </w:r>
          </w:p>
        </w:tc>
        <w:tc>
          <w:tcPr>
            <w:tcW w:w="2912" w:type="dxa"/>
            <w:shd w:val="clear" w:color="auto" w:fill="D9EAF7"/>
            <w:tcMar>
              <w:top w:w="80" w:type="dxa"/>
              <w:left w:w="120" w:type="dxa"/>
              <w:bottom w:w="80" w:type="dxa"/>
              <w:right w:w="120" w:type="dxa"/>
            </w:tcMar>
            <w:vAlign w:val="center"/>
          </w:tcPr>
          <w:p w14:paraId="589AEF16" w14:textId="77777777" w:rsidR="00CA5CE6" w:rsidRDefault="00000000">
            <w:pPr>
              <w:spacing w:line="240" w:lineRule="auto"/>
              <w:jc w:val="center"/>
            </w:pPr>
            <w:r>
              <w:rPr>
                <w:rFonts w:eastAsia="SimHei"/>
                <w:b/>
                <w:sz w:val="18"/>
              </w:rPr>
              <w:t>主要内容</w:t>
            </w:r>
          </w:p>
        </w:tc>
        <w:tc>
          <w:tcPr>
            <w:tcW w:w="3125" w:type="dxa"/>
            <w:shd w:val="clear" w:color="auto" w:fill="D9EAF7"/>
            <w:tcMar>
              <w:top w:w="80" w:type="dxa"/>
              <w:left w:w="120" w:type="dxa"/>
              <w:bottom w:w="80" w:type="dxa"/>
              <w:right w:w="120" w:type="dxa"/>
            </w:tcMar>
            <w:vAlign w:val="center"/>
          </w:tcPr>
          <w:p w14:paraId="4AD3032C" w14:textId="77777777" w:rsidR="00CA5CE6" w:rsidRDefault="00000000">
            <w:pPr>
              <w:spacing w:line="240" w:lineRule="auto"/>
              <w:jc w:val="center"/>
            </w:pPr>
            <w:r>
              <w:rPr>
                <w:rFonts w:eastAsia="SimHei"/>
                <w:b/>
                <w:sz w:val="18"/>
              </w:rPr>
              <w:t>本课题用途</w:t>
            </w:r>
          </w:p>
        </w:tc>
        <w:tc>
          <w:tcPr>
            <w:tcW w:w="1705" w:type="dxa"/>
            <w:shd w:val="clear" w:color="auto" w:fill="D9EAF7"/>
            <w:tcMar>
              <w:top w:w="80" w:type="dxa"/>
              <w:left w:w="120" w:type="dxa"/>
              <w:bottom w:w="80" w:type="dxa"/>
              <w:right w:w="120" w:type="dxa"/>
            </w:tcMar>
            <w:vAlign w:val="center"/>
          </w:tcPr>
          <w:p w14:paraId="1C2D8335" w14:textId="77777777" w:rsidR="00CA5CE6" w:rsidRDefault="00000000">
            <w:pPr>
              <w:spacing w:line="240" w:lineRule="auto"/>
              <w:jc w:val="center"/>
            </w:pPr>
            <w:r>
              <w:rPr>
                <w:rFonts w:eastAsia="SimHei"/>
                <w:b/>
                <w:sz w:val="18"/>
              </w:rPr>
              <w:t>限制与许可</w:t>
            </w:r>
          </w:p>
        </w:tc>
      </w:tr>
      <w:tr w:rsidR="00CA5CE6" w14:paraId="0441F329" w14:textId="77777777">
        <w:tc>
          <w:tcPr>
            <w:tcW w:w="1776" w:type="dxa"/>
            <w:tcMar>
              <w:top w:w="80" w:type="dxa"/>
              <w:left w:w="120" w:type="dxa"/>
              <w:bottom w:w="80" w:type="dxa"/>
              <w:right w:w="120" w:type="dxa"/>
            </w:tcMar>
            <w:vAlign w:val="center"/>
          </w:tcPr>
          <w:p w14:paraId="7964BBBD" w14:textId="77777777" w:rsidR="00CA5CE6" w:rsidRDefault="00000000">
            <w:pPr>
              <w:spacing w:line="240" w:lineRule="auto"/>
              <w:jc w:val="left"/>
            </w:pPr>
            <w:r>
              <w:rPr>
                <w:sz w:val="18"/>
              </w:rPr>
              <w:t>AACR GENIE BPC PANC 1.0</w:t>
            </w:r>
          </w:p>
        </w:tc>
        <w:tc>
          <w:tcPr>
            <w:tcW w:w="2912" w:type="dxa"/>
            <w:tcMar>
              <w:top w:w="80" w:type="dxa"/>
              <w:left w:w="120" w:type="dxa"/>
              <w:bottom w:w="80" w:type="dxa"/>
              <w:right w:w="120" w:type="dxa"/>
            </w:tcMar>
            <w:vAlign w:val="center"/>
          </w:tcPr>
          <w:p w14:paraId="28834084" w14:textId="77777777" w:rsidR="00CA5CE6" w:rsidRDefault="00000000">
            <w:pPr>
              <w:spacing w:line="240" w:lineRule="auto"/>
              <w:jc w:val="left"/>
            </w:pPr>
            <w:r>
              <w:rPr>
                <w:sz w:val="18"/>
              </w:rPr>
              <w:t>分子、纵向治疗、肿瘤反应、PFS/OS</w:t>
            </w:r>
          </w:p>
        </w:tc>
        <w:tc>
          <w:tcPr>
            <w:tcW w:w="3125" w:type="dxa"/>
            <w:tcMar>
              <w:top w:w="80" w:type="dxa"/>
              <w:left w:w="120" w:type="dxa"/>
              <w:bottom w:w="80" w:type="dxa"/>
              <w:right w:w="120" w:type="dxa"/>
            </w:tcMar>
            <w:vAlign w:val="center"/>
          </w:tcPr>
          <w:p w14:paraId="4E4ECF5C" w14:textId="77777777" w:rsidR="00CA5CE6" w:rsidRDefault="00000000">
            <w:pPr>
              <w:spacing w:line="240" w:lineRule="auto"/>
              <w:jc w:val="left"/>
            </w:pPr>
            <w:r>
              <w:rPr>
                <w:sz w:val="18"/>
              </w:rPr>
              <w:t>Track A主患者队列与病例骨架</w:t>
            </w:r>
          </w:p>
        </w:tc>
        <w:tc>
          <w:tcPr>
            <w:tcW w:w="1705" w:type="dxa"/>
            <w:tcMar>
              <w:top w:w="80" w:type="dxa"/>
              <w:left w:w="120" w:type="dxa"/>
              <w:bottom w:w="80" w:type="dxa"/>
              <w:right w:w="120" w:type="dxa"/>
            </w:tcMar>
            <w:vAlign w:val="center"/>
          </w:tcPr>
          <w:p w14:paraId="4075DA3B" w14:textId="77777777" w:rsidR="00CA5CE6" w:rsidRDefault="00000000">
            <w:pPr>
              <w:spacing w:line="240" w:lineRule="auto"/>
              <w:jc w:val="left"/>
            </w:pPr>
            <w:r>
              <w:rPr>
                <w:sz w:val="18"/>
              </w:rPr>
              <w:t>缺ECOG、实验室、剂量和完整毒性；试验药可能遮蔽</w:t>
            </w:r>
          </w:p>
        </w:tc>
      </w:tr>
      <w:tr w:rsidR="00CA5CE6" w14:paraId="53CC96DD" w14:textId="77777777">
        <w:tc>
          <w:tcPr>
            <w:tcW w:w="1776" w:type="dxa"/>
            <w:tcMar>
              <w:top w:w="80" w:type="dxa"/>
              <w:left w:w="120" w:type="dxa"/>
              <w:bottom w:w="80" w:type="dxa"/>
              <w:right w:w="120" w:type="dxa"/>
            </w:tcMar>
            <w:vAlign w:val="center"/>
          </w:tcPr>
          <w:p w14:paraId="711A2AAF" w14:textId="77777777" w:rsidR="00CA5CE6" w:rsidRDefault="00000000">
            <w:pPr>
              <w:spacing w:line="240" w:lineRule="auto"/>
              <w:jc w:val="left"/>
            </w:pPr>
            <w:r>
              <w:rPr>
                <w:sz w:val="18"/>
              </w:rPr>
              <w:t>AACR Project GENIE v19</w:t>
            </w:r>
          </w:p>
        </w:tc>
        <w:tc>
          <w:tcPr>
            <w:tcW w:w="2912" w:type="dxa"/>
            <w:tcMar>
              <w:top w:w="80" w:type="dxa"/>
              <w:left w:w="120" w:type="dxa"/>
              <w:bottom w:w="80" w:type="dxa"/>
              <w:right w:w="120" w:type="dxa"/>
            </w:tcMar>
            <w:vAlign w:val="center"/>
          </w:tcPr>
          <w:p w14:paraId="13E45DA9" w14:textId="77777777" w:rsidR="00CA5CE6" w:rsidRDefault="00000000">
            <w:pPr>
              <w:spacing w:line="240" w:lineRule="auto"/>
              <w:jc w:val="left"/>
            </w:pPr>
            <w:r>
              <w:rPr>
                <w:sz w:val="18"/>
              </w:rPr>
              <w:t>泛癌种临床基因组及胰腺癌长尾样本</w:t>
            </w:r>
          </w:p>
        </w:tc>
        <w:tc>
          <w:tcPr>
            <w:tcW w:w="3125" w:type="dxa"/>
            <w:tcMar>
              <w:top w:w="80" w:type="dxa"/>
              <w:left w:w="120" w:type="dxa"/>
              <w:bottom w:w="80" w:type="dxa"/>
              <w:right w:w="120" w:type="dxa"/>
            </w:tcMar>
            <w:vAlign w:val="center"/>
          </w:tcPr>
          <w:p w14:paraId="3AE9C708" w14:textId="77777777" w:rsidR="00CA5CE6" w:rsidRDefault="00000000">
            <w:pPr>
              <w:spacing w:line="240" w:lineRule="auto"/>
              <w:jc w:val="left"/>
            </w:pPr>
            <w:r>
              <w:rPr>
                <w:sz w:val="18"/>
              </w:rPr>
              <w:t>分子分布、长尾异常与采样边界</w:t>
            </w:r>
          </w:p>
        </w:tc>
        <w:tc>
          <w:tcPr>
            <w:tcW w:w="1705" w:type="dxa"/>
            <w:tcMar>
              <w:top w:w="80" w:type="dxa"/>
              <w:left w:w="120" w:type="dxa"/>
              <w:bottom w:w="80" w:type="dxa"/>
              <w:right w:w="120" w:type="dxa"/>
            </w:tcMar>
            <w:vAlign w:val="center"/>
          </w:tcPr>
          <w:p w14:paraId="35853EF2" w14:textId="77777777" w:rsidR="00CA5CE6" w:rsidRDefault="00000000">
            <w:pPr>
              <w:spacing w:line="240" w:lineRule="auto"/>
              <w:jc w:val="left"/>
            </w:pPr>
            <w:r>
              <w:rPr>
                <w:sz w:val="18"/>
              </w:rPr>
              <w:t>临床纵向字段较浅；与BPC/cBioPortal执行重叠审计</w:t>
            </w:r>
          </w:p>
        </w:tc>
      </w:tr>
      <w:tr w:rsidR="00CA5CE6" w14:paraId="51D0C0AA" w14:textId="77777777">
        <w:tc>
          <w:tcPr>
            <w:tcW w:w="1776" w:type="dxa"/>
            <w:tcMar>
              <w:top w:w="80" w:type="dxa"/>
              <w:left w:w="120" w:type="dxa"/>
              <w:bottom w:w="80" w:type="dxa"/>
              <w:right w:w="120" w:type="dxa"/>
            </w:tcMar>
            <w:vAlign w:val="center"/>
          </w:tcPr>
          <w:p w14:paraId="6AC48B07" w14:textId="77777777" w:rsidR="00CA5CE6" w:rsidRDefault="00000000">
            <w:pPr>
              <w:spacing w:line="240" w:lineRule="auto"/>
              <w:jc w:val="left"/>
            </w:pPr>
            <w:r>
              <w:rPr>
                <w:sz w:val="18"/>
              </w:rPr>
              <w:t>ICGC ARGO</w:t>
            </w:r>
          </w:p>
        </w:tc>
        <w:tc>
          <w:tcPr>
            <w:tcW w:w="2912" w:type="dxa"/>
            <w:tcMar>
              <w:top w:w="80" w:type="dxa"/>
              <w:left w:w="120" w:type="dxa"/>
              <w:bottom w:w="80" w:type="dxa"/>
              <w:right w:w="120" w:type="dxa"/>
            </w:tcMar>
            <w:vAlign w:val="center"/>
          </w:tcPr>
          <w:p w14:paraId="11167738" w14:textId="77777777" w:rsidR="00CA5CE6" w:rsidRDefault="00000000">
            <w:pPr>
              <w:spacing w:line="240" w:lineRule="auto"/>
              <w:jc w:val="left"/>
            </w:pPr>
            <w:r>
              <w:rPr>
                <w:sz w:val="18"/>
              </w:rPr>
              <w:t>PACA-CA、Precision-Panc分子与部分临床资料</w:t>
            </w:r>
          </w:p>
        </w:tc>
        <w:tc>
          <w:tcPr>
            <w:tcW w:w="3125" w:type="dxa"/>
            <w:tcMar>
              <w:top w:w="80" w:type="dxa"/>
              <w:left w:w="120" w:type="dxa"/>
              <w:bottom w:w="80" w:type="dxa"/>
              <w:right w:w="120" w:type="dxa"/>
            </w:tcMar>
            <w:vAlign w:val="center"/>
          </w:tcPr>
          <w:p w14:paraId="25E85392" w14:textId="77777777" w:rsidR="00CA5CE6" w:rsidRDefault="00000000">
            <w:pPr>
              <w:spacing w:line="240" w:lineRule="auto"/>
              <w:jc w:val="left"/>
            </w:pPr>
            <w:r>
              <w:rPr>
                <w:sz w:val="18"/>
              </w:rPr>
              <w:t>来源外分子/治疗反应验证</w:t>
            </w:r>
          </w:p>
        </w:tc>
        <w:tc>
          <w:tcPr>
            <w:tcW w:w="1705" w:type="dxa"/>
            <w:tcMar>
              <w:top w:w="80" w:type="dxa"/>
              <w:left w:w="120" w:type="dxa"/>
              <w:bottom w:w="80" w:type="dxa"/>
              <w:right w:w="120" w:type="dxa"/>
            </w:tcMar>
            <w:vAlign w:val="center"/>
          </w:tcPr>
          <w:p w14:paraId="5CDAD2AB" w14:textId="77777777" w:rsidR="00CA5CE6" w:rsidRDefault="00000000">
            <w:pPr>
              <w:spacing w:line="240" w:lineRule="auto"/>
              <w:jc w:val="left"/>
            </w:pPr>
            <w:r>
              <w:rPr>
                <w:sz w:val="18"/>
              </w:rPr>
              <w:t>部分数据受控；字段需逐表审计</w:t>
            </w:r>
          </w:p>
        </w:tc>
      </w:tr>
      <w:tr w:rsidR="00CA5CE6" w14:paraId="212A87DE" w14:textId="77777777">
        <w:tc>
          <w:tcPr>
            <w:tcW w:w="1776" w:type="dxa"/>
            <w:tcMar>
              <w:top w:w="80" w:type="dxa"/>
              <w:left w:w="120" w:type="dxa"/>
              <w:bottom w:w="80" w:type="dxa"/>
              <w:right w:w="120" w:type="dxa"/>
            </w:tcMar>
            <w:vAlign w:val="center"/>
          </w:tcPr>
          <w:p w14:paraId="507C0BBB" w14:textId="77777777" w:rsidR="00CA5CE6" w:rsidRDefault="00000000">
            <w:pPr>
              <w:spacing w:line="240" w:lineRule="auto"/>
              <w:jc w:val="left"/>
            </w:pPr>
            <w:r>
              <w:rPr>
                <w:sz w:val="18"/>
              </w:rPr>
              <w:t>TCGA-PAAD / CPTAC-PDA</w:t>
            </w:r>
          </w:p>
        </w:tc>
        <w:tc>
          <w:tcPr>
            <w:tcW w:w="2912" w:type="dxa"/>
            <w:tcMar>
              <w:top w:w="80" w:type="dxa"/>
              <w:left w:w="120" w:type="dxa"/>
              <w:bottom w:w="80" w:type="dxa"/>
              <w:right w:w="120" w:type="dxa"/>
            </w:tcMar>
            <w:vAlign w:val="center"/>
          </w:tcPr>
          <w:p w14:paraId="41DAD3D5" w14:textId="77777777" w:rsidR="00CA5CE6" w:rsidRDefault="00000000">
            <w:pPr>
              <w:spacing w:line="240" w:lineRule="auto"/>
              <w:jc w:val="left"/>
            </w:pPr>
            <w:r>
              <w:rPr>
                <w:sz w:val="18"/>
              </w:rPr>
              <w:t>基因组、转录组、蛋白组及粗粒度临床</w:t>
            </w:r>
          </w:p>
        </w:tc>
        <w:tc>
          <w:tcPr>
            <w:tcW w:w="3125" w:type="dxa"/>
            <w:tcMar>
              <w:top w:w="80" w:type="dxa"/>
              <w:left w:w="120" w:type="dxa"/>
              <w:bottom w:w="80" w:type="dxa"/>
              <w:right w:w="120" w:type="dxa"/>
            </w:tcMar>
            <w:vAlign w:val="center"/>
          </w:tcPr>
          <w:p w14:paraId="02FD767D" w14:textId="77777777" w:rsidR="00CA5CE6" w:rsidRDefault="00000000">
            <w:pPr>
              <w:spacing w:line="240" w:lineRule="auto"/>
              <w:jc w:val="left"/>
            </w:pPr>
            <w:r>
              <w:rPr>
                <w:sz w:val="18"/>
              </w:rPr>
              <w:t>分子机制和靶点外部验证</w:t>
            </w:r>
          </w:p>
        </w:tc>
        <w:tc>
          <w:tcPr>
            <w:tcW w:w="1705" w:type="dxa"/>
            <w:tcMar>
              <w:top w:w="80" w:type="dxa"/>
              <w:left w:w="120" w:type="dxa"/>
              <w:bottom w:w="80" w:type="dxa"/>
              <w:right w:w="120" w:type="dxa"/>
            </w:tcMar>
            <w:vAlign w:val="center"/>
          </w:tcPr>
          <w:p w14:paraId="50B7404C" w14:textId="77777777" w:rsidR="00CA5CE6" w:rsidRDefault="00000000">
            <w:pPr>
              <w:spacing w:line="240" w:lineRule="auto"/>
              <w:jc w:val="left"/>
            </w:pPr>
            <w:r>
              <w:rPr>
                <w:sz w:val="18"/>
              </w:rPr>
              <w:t>以可切除样本为主；不承担治疗适用性标签</w:t>
            </w:r>
          </w:p>
        </w:tc>
      </w:tr>
      <w:tr w:rsidR="00CA5CE6" w14:paraId="6DAE7082" w14:textId="77777777">
        <w:tc>
          <w:tcPr>
            <w:tcW w:w="1776" w:type="dxa"/>
            <w:tcMar>
              <w:top w:w="80" w:type="dxa"/>
              <w:left w:w="120" w:type="dxa"/>
              <w:bottom w:w="80" w:type="dxa"/>
              <w:right w:w="120" w:type="dxa"/>
            </w:tcMar>
            <w:vAlign w:val="center"/>
          </w:tcPr>
          <w:p w14:paraId="77AB1B79" w14:textId="77777777" w:rsidR="00CA5CE6" w:rsidRDefault="00000000">
            <w:pPr>
              <w:spacing w:line="240" w:lineRule="auto"/>
              <w:jc w:val="left"/>
            </w:pPr>
            <w:r>
              <w:rPr>
                <w:sz w:val="18"/>
              </w:rPr>
              <w:t>试验个体数据</w:t>
            </w:r>
          </w:p>
        </w:tc>
        <w:tc>
          <w:tcPr>
            <w:tcW w:w="2912" w:type="dxa"/>
            <w:tcMar>
              <w:top w:w="80" w:type="dxa"/>
              <w:left w:w="120" w:type="dxa"/>
              <w:bottom w:w="80" w:type="dxa"/>
              <w:right w:w="120" w:type="dxa"/>
            </w:tcMar>
            <w:vAlign w:val="center"/>
          </w:tcPr>
          <w:p w14:paraId="7A49EA43" w14:textId="77777777" w:rsidR="00CA5CE6" w:rsidRDefault="00000000">
            <w:pPr>
              <w:spacing w:line="240" w:lineRule="auto"/>
              <w:jc w:val="left"/>
            </w:pPr>
            <w:r>
              <w:rPr>
                <w:sz w:val="18"/>
              </w:rPr>
              <w:t>ECOG、实验室、剂量、CTCAE、疗效</w:t>
            </w:r>
          </w:p>
        </w:tc>
        <w:tc>
          <w:tcPr>
            <w:tcW w:w="3125" w:type="dxa"/>
            <w:tcMar>
              <w:top w:w="80" w:type="dxa"/>
              <w:left w:w="120" w:type="dxa"/>
              <w:bottom w:w="80" w:type="dxa"/>
              <w:right w:w="120" w:type="dxa"/>
            </w:tcMar>
            <w:vAlign w:val="center"/>
          </w:tcPr>
          <w:p w14:paraId="00AD0F8B" w14:textId="77777777" w:rsidR="00CA5CE6" w:rsidRDefault="00000000">
            <w:pPr>
              <w:spacing w:line="240" w:lineRule="auto"/>
              <w:jc w:val="left"/>
            </w:pPr>
            <w:r>
              <w:rPr>
                <w:sz w:val="18"/>
              </w:rPr>
              <w:t>Track B临床约束与毒性子集</w:t>
            </w:r>
          </w:p>
        </w:tc>
        <w:tc>
          <w:tcPr>
            <w:tcW w:w="1705" w:type="dxa"/>
            <w:tcMar>
              <w:top w:w="80" w:type="dxa"/>
              <w:left w:w="120" w:type="dxa"/>
              <w:bottom w:w="80" w:type="dxa"/>
              <w:right w:w="120" w:type="dxa"/>
            </w:tcMar>
            <w:vAlign w:val="center"/>
          </w:tcPr>
          <w:p w14:paraId="0A39FD13" w14:textId="77777777" w:rsidR="00CA5CE6" w:rsidRDefault="00000000">
            <w:pPr>
              <w:spacing w:line="240" w:lineRule="auto"/>
              <w:jc w:val="left"/>
            </w:pPr>
            <w:r>
              <w:rPr>
                <w:sz w:val="18"/>
              </w:rPr>
              <w:t>需申请；仅覆盖试验阶段，不能与GENIE按患者拼接</w:t>
            </w:r>
          </w:p>
        </w:tc>
      </w:tr>
      <w:tr w:rsidR="00CA5CE6" w14:paraId="44D3D9ED" w14:textId="77777777">
        <w:tc>
          <w:tcPr>
            <w:tcW w:w="1776" w:type="dxa"/>
            <w:tcMar>
              <w:top w:w="80" w:type="dxa"/>
              <w:left w:w="120" w:type="dxa"/>
              <w:bottom w:w="80" w:type="dxa"/>
              <w:right w:w="120" w:type="dxa"/>
            </w:tcMar>
            <w:vAlign w:val="center"/>
          </w:tcPr>
          <w:p w14:paraId="581F0FD1" w14:textId="77777777" w:rsidR="00CA5CE6" w:rsidRDefault="00000000">
            <w:pPr>
              <w:spacing w:line="240" w:lineRule="auto"/>
              <w:jc w:val="left"/>
            </w:pPr>
            <w:r>
              <w:rPr>
                <w:sz w:val="18"/>
              </w:rPr>
              <w:t>合规本地去标识病例（可选）</w:t>
            </w:r>
          </w:p>
        </w:tc>
        <w:tc>
          <w:tcPr>
            <w:tcW w:w="2912" w:type="dxa"/>
            <w:tcMar>
              <w:top w:w="80" w:type="dxa"/>
              <w:left w:w="120" w:type="dxa"/>
              <w:bottom w:w="80" w:type="dxa"/>
              <w:right w:w="120" w:type="dxa"/>
            </w:tcMar>
            <w:vAlign w:val="center"/>
          </w:tcPr>
          <w:p w14:paraId="3AAEAC41" w14:textId="77777777" w:rsidR="00CA5CE6" w:rsidRDefault="00000000">
            <w:pPr>
              <w:spacing w:line="240" w:lineRule="auto"/>
              <w:jc w:val="left"/>
            </w:pPr>
            <w:r>
              <w:rPr>
                <w:sz w:val="18"/>
              </w:rPr>
              <w:t>决策时点临床状态、完整治疗史和MDT意见</w:t>
            </w:r>
          </w:p>
        </w:tc>
        <w:tc>
          <w:tcPr>
            <w:tcW w:w="3125" w:type="dxa"/>
            <w:tcMar>
              <w:top w:w="80" w:type="dxa"/>
              <w:left w:w="120" w:type="dxa"/>
              <w:bottom w:w="80" w:type="dxa"/>
              <w:right w:w="120" w:type="dxa"/>
            </w:tcMar>
            <w:vAlign w:val="center"/>
          </w:tcPr>
          <w:p w14:paraId="5A12FF98" w14:textId="77777777" w:rsidR="00CA5CE6" w:rsidRDefault="00000000">
            <w:pPr>
              <w:spacing w:line="240" w:lineRule="auto"/>
              <w:jc w:val="left"/>
            </w:pPr>
            <w:r>
              <w:rPr>
                <w:sz w:val="18"/>
              </w:rPr>
              <w:t>独立Core扩展与临床复核</w:t>
            </w:r>
          </w:p>
        </w:tc>
        <w:tc>
          <w:tcPr>
            <w:tcW w:w="1705" w:type="dxa"/>
            <w:tcMar>
              <w:top w:w="80" w:type="dxa"/>
              <w:left w:w="120" w:type="dxa"/>
              <w:bottom w:w="80" w:type="dxa"/>
              <w:right w:w="120" w:type="dxa"/>
            </w:tcMar>
            <w:vAlign w:val="center"/>
          </w:tcPr>
          <w:p w14:paraId="25E45D16" w14:textId="77777777" w:rsidR="00CA5CE6" w:rsidRDefault="00000000">
            <w:pPr>
              <w:spacing w:line="240" w:lineRule="auto"/>
              <w:jc w:val="left"/>
            </w:pPr>
            <w:r>
              <w:rPr>
                <w:sz w:val="18"/>
              </w:rPr>
              <w:t>需伦理/数据治理审批；不作为当前必备前提</w:t>
            </w:r>
          </w:p>
        </w:tc>
      </w:tr>
      <w:tr w:rsidR="00CA5CE6" w14:paraId="44D3D9ED" w14:textId="77777777">
        <w:tc>
          <w:tcPr>
            <w:tcW w:w="1776" w:type="dxa"/>
            <w:tcMar>
              <w:top w:w="80" w:type="dxa"/>
              <w:left w:w="120" w:type="dxa"/>
              <w:bottom w:w="80" w:type="dxa"/>
              <w:right w:w="120" w:type="dxa"/>
            </w:tcMar>
            <w:vAlign w:val="center"/>
          </w:tcPr>
          <w:p w14:paraId="581F0FD1" w14:textId="77777777" w:rsidR="00CA5CE6" w:rsidRDefault="00000000">
            <w:pPr>
              <w:spacing w:line="240" w:lineRule="auto"/>
              <w:jc w:val="left"/>
            </w:pPr>
            <w:r>
              <w:rPr>
                <w:sz w:val="18"/>
              </w:rPr>
              <w:t>NCI PDQ、CIViC、MOAlmanac、PubMed</w:t>
            </w:r>
          </w:p>
        </w:tc>
        <w:tc>
          <w:tcPr>
            <w:tcW w:w="2912" w:type="dxa"/>
            <w:tcMar>
              <w:top w:w="80" w:type="dxa"/>
              <w:left w:w="120" w:type="dxa"/>
              <w:bottom w:w="80" w:type="dxa"/>
              <w:right w:w="120" w:type="dxa"/>
            </w:tcMar>
            <w:vAlign w:val="center"/>
          </w:tcPr>
          <w:p w14:paraId="3AAEAC41" w14:textId="77777777" w:rsidR="00CA5CE6" w:rsidRDefault="00000000">
            <w:pPr>
              <w:spacing w:line="240" w:lineRule="auto"/>
              <w:jc w:val="left"/>
            </w:pPr>
            <w:r>
              <w:rPr>
                <w:sz w:val="18"/>
              </w:rPr>
              <w:t>指南语境、方向化证据和原始文献</w:t>
            </w:r>
          </w:p>
        </w:tc>
        <w:tc>
          <w:tcPr>
            <w:tcW w:w="3125" w:type="dxa"/>
            <w:tcMar>
              <w:top w:w="80" w:type="dxa"/>
              <w:left w:w="120" w:type="dxa"/>
              <w:bottom w:w="80" w:type="dxa"/>
              <w:right w:w="120" w:type="dxa"/>
            </w:tcMar>
            <w:vAlign w:val="center"/>
          </w:tcPr>
          <w:p w14:paraId="5A12FF98" w14:textId="77777777" w:rsidR="00CA5CE6" w:rsidRDefault="00000000">
            <w:pPr>
              <w:spacing w:line="240" w:lineRule="auto"/>
              <w:jc w:val="left"/>
            </w:pPr>
            <w:r>
              <w:rPr>
                <w:sz w:val="18"/>
              </w:rPr>
              <w:t>候选方案池、支持/反向证据及等级</w:t>
            </w:r>
          </w:p>
        </w:tc>
        <w:tc>
          <w:tcPr>
            <w:tcW w:w="1705" w:type="dxa"/>
            <w:tcMar>
              <w:top w:w="80" w:type="dxa"/>
              <w:left w:w="120" w:type="dxa"/>
              <w:bottom w:w="80" w:type="dxa"/>
              <w:right w:w="120" w:type="dxa"/>
            </w:tcMar>
            <w:vAlign w:val="center"/>
          </w:tcPr>
          <w:p w14:paraId="25E45D16" w14:textId="77777777" w:rsidR="00CA5CE6" w:rsidRDefault="00000000">
            <w:pPr>
              <w:spacing w:line="240" w:lineRule="auto"/>
              <w:jc w:val="left"/>
            </w:pPr>
            <w:r>
              <w:rPr>
                <w:sz w:val="18"/>
              </w:rPr>
              <w:t>冻结证据截止日和版本；保留原始出处</w:t>
            </w:r>
          </w:p>
        </w:tc>
      </w:tr>
      <w:tr w:rsidR="00CA5CE6" w14:paraId="44D3D9ED" w14:textId="77777777">
        <w:tc>
          <w:tcPr>
            <w:tcW w:w="1776" w:type="dxa"/>
            <w:tcMar>
              <w:top w:w="80" w:type="dxa"/>
              <w:left w:w="120" w:type="dxa"/>
              <w:bottom w:w="80" w:type="dxa"/>
              <w:right w:w="120" w:type="dxa"/>
            </w:tcMar>
            <w:vAlign w:val="center"/>
          </w:tcPr>
          <w:p w14:paraId="581F0FD1" w14:textId="77777777" w:rsidR="00CA5CE6" w:rsidRDefault="00000000">
            <w:pPr>
              <w:spacing w:line="240" w:lineRule="auto"/>
              <w:jc w:val="left"/>
            </w:pPr>
            <w:r>
              <w:rPr>
                <w:sz w:val="18"/>
              </w:rPr>
              <w:t>FDA/NMPA说明书、ClinicalTrials.gov</w:t>
            </w:r>
          </w:p>
        </w:tc>
        <w:tc>
          <w:tcPr>
            <w:tcW w:w="2912" w:type="dxa"/>
            <w:tcMar>
              <w:top w:w="80" w:type="dxa"/>
              <w:left w:w="120" w:type="dxa"/>
              <w:bottom w:w="80" w:type="dxa"/>
              <w:right w:w="120" w:type="dxa"/>
            </w:tcMar>
            <w:vAlign w:val="center"/>
          </w:tcPr>
          <w:p w14:paraId="3AAEAC41" w14:textId="77777777" w:rsidR="00CA5CE6" w:rsidRDefault="00000000">
            <w:pPr>
              <w:spacing w:line="240" w:lineRule="auto"/>
              <w:jc w:val="left"/>
            </w:pPr>
            <w:r>
              <w:rPr>
                <w:sz w:val="18"/>
              </w:rPr>
              <w:t>适应证、警告、相互作用、试验条件</w:t>
            </w:r>
          </w:p>
        </w:tc>
        <w:tc>
          <w:tcPr>
            <w:tcW w:w="3125" w:type="dxa"/>
            <w:tcMar>
              <w:top w:w="80" w:type="dxa"/>
              <w:left w:w="120" w:type="dxa"/>
              <w:bottom w:w="80" w:type="dxa"/>
              <w:right w:w="120" w:type="dxa"/>
            </w:tcMar>
            <w:vAlign w:val="center"/>
          </w:tcPr>
          <w:p w14:paraId="5A12FF98" w14:textId="77777777" w:rsidR="00CA5CE6" w:rsidRDefault="00000000">
            <w:pPr>
              <w:spacing w:line="240" w:lineRule="auto"/>
              <w:jc w:val="left"/>
            </w:pPr>
            <w:r>
              <w:rPr>
                <w:sz w:val="18"/>
              </w:rPr>
              <w:t>约束规则和试验信息</w:t>
            </w:r>
          </w:p>
        </w:tc>
        <w:tc>
          <w:tcPr>
            <w:tcW w:w="1705" w:type="dxa"/>
            <w:tcMar>
              <w:top w:w="80" w:type="dxa"/>
              <w:left w:w="120" w:type="dxa"/>
              <w:bottom w:w="80" w:type="dxa"/>
              <w:right w:w="120" w:type="dxa"/>
            </w:tcMar>
            <w:vAlign w:val="center"/>
          </w:tcPr>
          <w:p w14:paraId="25E45D16" w14:textId="77777777" w:rsidR="00CA5CE6" w:rsidRDefault="00000000">
            <w:pPr>
              <w:spacing w:line="240" w:lineRule="auto"/>
              <w:jc w:val="left"/>
            </w:pPr>
            <w:r>
              <w:rPr>
                <w:sz w:val="18"/>
              </w:rPr>
              <w:t>动态更新且字段异质；必须人工核验</w:t>
            </w:r>
          </w:p>
        </w:tc>
      </w:tr>
      <w:tr w:rsidR="00CA5CE6" w14:paraId="44D3D9ED" w14:textId="77777777">
        <w:tc>
          <w:tcPr>
            <w:tcW w:w="1776" w:type="dxa"/>
            <w:tcMar>
              <w:top w:w="80" w:type="dxa"/>
              <w:left w:w="120" w:type="dxa"/>
              <w:bottom w:w="80" w:type="dxa"/>
              <w:right w:w="120" w:type="dxa"/>
            </w:tcMar>
            <w:vAlign w:val="center"/>
          </w:tcPr>
          <w:p w14:paraId="581F0FD1" w14:textId="77777777" w:rsidR="00CA5CE6" w:rsidRDefault="00000000">
            <w:pPr>
              <w:spacing w:line="240" w:lineRule="auto"/>
              <w:jc w:val="left"/>
            </w:pPr>
            <w:r>
              <w:rPr>
                <w:sz w:val="18"/>
              </w:rPr>
              <w:t>OncoKB</w:t>
            </w:r>
          </w:p>
        </w:tc>
        <w:tc>
          <w:tcPr>
            <w:tcW w:w="2912" w:type="dxa"/>
            <w:tcMar>
              <w:top w:w="80" w:type="dxa"/>
              <w:left w:w="120" w:type="dxa"/>
              <w:bottom w:w="80" w:type="dxa"/>
              <w:right w:w="120" w:type="dxa"/>
            </w:tcMar>
            <w:vAlign w:val="center"/>
          </w:tcPr>
          <w:p w14:paraId="3AAEAC41" w14:textId="77777777" w:rsidR="00CA5CE6" w:rsidRDefault="00000000">
            <w:pPr>
              <w:spacing w:line="240" w:lineRule="auto"/>
              <w:jc w:val="left"/>
            </w:pPr>
            <w:r>
              <w:rPr>
                <w:sz w:val="18"/>
              </w:rPr>
              <w:t>证据等级与生物标志物—治疗关系</w:t>
            </w:r>
          </w:p>
        </w:tc>
        <w:tc>
          <w:tcPr>
            <w:tcW w:w="3125" w:type="dxa"/>
            <w:tcMar>
              <w:top w:w="80" w:type="dxa"/>
              <w:left w:w="120" w:type="dxa"/>
              <w:bottom w:w="80" w:type="dxa"/>
              <w:right w:w="120" w:type="dxa"/>
            </w:tcMar>
            <w:vAlign w:val="center"/>
          </w:tcPr>
          <w:p w14:paraId="5A12FF98" w14:textId="77777777" w:rsidR="00CA5CE6" w:rsidRDefault="00000000">
            <w:pPr>
              <w:spacing w:line="240" w:lineRule="auto"/>
              <w:jc w:val="left"/>
            </w:pPr>
            <w:r>
              <w:rPr>
                <w:sz w:val="18"/>
              </w:rPr>
              <w:t>经许可的外部比较</w:t>
            </w:r>
          </w:p>
        </w:tc>
        <w:tc>
          <w:tcPr>
            <w:tcW w:w="1705" w:type="dxa"/>
            <w:tcMar>
              <w:top w:w="80" w:type="dxa"/>
              <w:left w:w="120" w:type="dxa"/>
              <w:bottom w:w="80" w:type="dxa"/>
              <w:right w:w="120" w:type="dxa"/>
            </w:tcMar>
            <w:vAlign w:val="center"/>
          </w:tcPr>
          <w:p w14:paraId="25E45D16" w14:textId="77777777" w:rsidR="00CA5CE6" w:rsidRDefault="00000000">
            <w:pPr>
              <w:spacing w:line="240" w:lineRule="auto"/>
              <w:jc w:val="left"/>
            </w:pPr>
            <w:r>
              <w:rPr>
                <w:sz w:val="18"/>
              </w:rPr>
              <w:t>不用于AI/ML训练；benchmark使用需另获许可</w:t>
            </w:r>
          </w:p>
        </w:tc>
      </w:tr>
    </w:tbl>
    <w:p w14:paraId="0E5C3723" w14:textId="77777777" w:rsidR="00CA5CE6" w:rsidRDefault="00CA5CE6">
      <w:pPr>
        <w:spacing w:line="120" w:lineRule="auto"/>
      </w:pPr>
    </w:p>
    <w:p w14:paraId="02BBEB9F" w14:textId="77777777" w:rsidR="00CA5CE6" w:rsidRDefault="00000000">
      <w:pPr>
        <w:pStyle w:val="Heading2"/>
      </w:pPr>
      <w:r>
        <w:rPr>
          <w:rFonts w:ascii="Times New Roman" w:eastAsia="SimSun" w:hAnsi="Times New Roman" w:cs="Times New Roman"/>
        </w:rPr>
        <w:lastRenderedPageBreak/>
        <w:t xml:space="preserve">3.2 </w:t>
      </w:r>
      <w:r>
        <w:rPr>
          <w:rFonts w:ascii="Times New Roman" w:eastAsia="SimSun" w:hAnsi="Times New Roman" w:cs="Times New Roman"/>
        </w:rPr>
        <w:t>数据可用性分析</w:t>
      </w:r>
    </w:p>
    <w:p w14:paraId="7E4AE52F" w14:textId="77777777" w:rsidR="00CA5CE6" w:rsidRDefault="00000000">
      <w:pPr>
        <w:spacing w:after="80" w:line="324" w:lineRule="auto"/>
        <w:ind w:firstLine="480"/>
      </w:pPr>
      <w:r>
        <w:t>首版疾病范围严格限定成年不可切除局部晚期、复发或转移性PDAC；排除胰腺腺泡细胞癌、腺鳞癌、未分化癌和神经内分泌肿瘤。Track A要求NGS早于待评价治疗决策，并至少具备可解释的既往治疗和结局；Track B要求决策时点附近的ECOG、关键实验室、给药/减量和毒性字段。</w:t>
      </w:r>
    </w:p>
    <w:p w14:paraId="1A4745A6" w14:textId="77777777" w:rsidR="00CA5CE6" w:rsidRDefault="00000000">
      <w:pPr>
        <w:spacing w:after="80" w:line="324" w:lineRule="auto"/>
        <w:ind w:firstLine="480"/>
      </w:pPr>
      <w:r>
        <w:t>公开数据不能提供唯一“最佳治疗”，也不能把不同数据源拼成同一患者。Track A评价“分子证据—既往治疗—候选方案匹配与结局描述”，Track B评价“临床安全约束、剂量可行性信息与毒性风险”。Core采用“可考虑、条件性适用、应排除、证据不足”多答案参考标准，真实结局只用于辅助分析，不直接作为最优方案标签。</w:t>
      </w:r>
    </w:p>
    <w:p w14:paraId="3B47A83A" w14:textId="77777777" w:rsidR="00CA5CE6" w:rsidRDefault="00000000">
      <w:pPr>
        <w:spacing w:after="80" w:line="324" w:lineRule="auto"/>
        <w:ind w:firstLine="480"/>
      </w:pPr>
      <w:r>
        <w:t>规模采用审计后锁定：20–30例Pilot用于修订schema；50–80例Core优先保证字段完整和人工复核；Extended纳入通过筛选的其余合格病例。正式锁题前报告PDAC样本数、晚期比例、NGS与决策时序、各字段缺失率、主要方案及可操作分子亚组数量，并按机构检查系统性缺失。</w:t>
      </w:r>
    </w:p>
    <w:p w14:paraId="470D9861" w14:textId="77777777" w:rsidR="00CA5CE6" w:rsidRDefault="00000000">
      <w:pPr>
        <w:pStyle w:val="Heading2"/>
      </w:pPr>
      <w:r>
        <w:rPr>
          <w:rFonts w:ascii="Times New Roman" w:eastAsia="SimSun" w:hAnsi="Times New Roman" w:cs="Times New Roman"/>
        </w:rPr>
        <w:t>3.3 数据收集方案</w:t>
      </w:r>
    </w:p>
    <w:p w14:paraId="6F9B9CDF" w14:textId="77777777" w:rsidR="00CA5CE6" w:rsidRDefault="00000000">
      <w:pPr>
        <w:spacing w:after="80" w:line="324" w:lineRule="auto"/>
        <w:ind w:firstLine="480"/>
      </w:pPr>
      <w:r>
        <w:t>数据收集遵循“来源登记—许可确认—原始快照—纳排筛选—字段映射—证据截止”的顺序；所有原始数据只读保存，派生表记录来源、版本、访问日期和转换脚本。</w:t>
      </w:r>
    </w:p>
    <w:tbl>
      <w:tblPr>
        <w:tblStyle w:val="TableGrid"/>
        <w:tblW w:w="9518" w:type="dxa"/>
        <w:tblInd w:w="120" w:type="dxa"/>
        <w:tblLayout w:type="fixed"/>
        <w:tblLook w:val="04A0" w:firstRow="1" w:lastRow="0" w:firstColumn="1" w:lastColumn="0" w:noHBand="0" w:noVBand="1"/>
      </w:tblPr>
      <w:tblGrid>
        <w:gridCol w:w="1776"/>
        <w:gridCol w:w="5185"/>
        <w:gridCol w:w="2557"/>
      </w:tblGrid>
      <w:tr w:rsidR="00CA5CE6" w14:paraId="455726E2" w14:textId="77777777">
        <w:trPr>
          <w:tblHeader/>
        </w:trPr>
        <w:tc>
          <w:tcPr>
            <w:tcW w:w="1776" w:type="dxa"/>
            <w:shd w:val="clear" w:color="auto" w:fill="D9EAF7"/>
            <w:tcMar>
              <w:top w:w="80" w:type="dxa"/>
              <w:left w:w="120" w:type="dxa"/>
              <w:bottom w:w="80" w:type="dxa"/>
              <w:right w:w="120" w:type="dxa"/>
            </w:tcMar>
            <w:vAlign w:val="center"/>
          </w:tcPr>
          <w:p w14:paraId="3FDE1CD5" w14:textId="77777777" w:rsidR="00CA5CE6" w:rsidRDefault="00000000">
            <w:pPr>
              <w:spacing w:line="240" w:lineRule="auto"/>
              <w:jc w:val="center"/>
            </w:pPr>
            <w:r>
              <w:rPr>
                <w:rFonts w:eastAsia="SimHei"/>
                <w:b/>
                <w:sz w:val="18"/>
              </w:rPr>
              <w:t>收集环节</w:t>
            </w:r>
          </w:p>
        </w:tc>
        <w:tc>
          <w:tcPr>
            <w:tcW w:w="5185" w:type="dxa"/>
            <w:shd w:val="clear" w:color="auto" w:fill="D9EAF7"/>
            <w:tcMar>
              <w:top w:w="80" w:type="dxa"/>
              <w:left w:w="120" w:type="dxa"/>
              <w:bottom w:w="80" w:type="dxa"/>
              <w:right w:w="120" w:type="dxa"/>
            </w:tcMar>
            <w:vAlign w:val="center"/>
          </w:tcPr>
          <w:p w14:paraId="470500F4" w14:textId="77777777" w:rsidR="00CA5CE6" w:rsidRDefault="00000000">
            <w:pPr>
              <w:spacing w:line="240" w:lineRule="auto"/>
              <w:jc w:val="center"/>
            </w:pPr>
            <w:r>
              <w:rPr>
                <w:rFonts w:eastAsia="SimHei"/>
                <w:b/>
                <w:sz w:val="18"/>
              </w:rPr>
              <w:t>具体方案</w:t>
            </w:r>
          </w:p>
        </w:tc>
        <w:tc>
          <w:tcPr>
            <w:tcW w:w="2557" w:type="dxa"/>
            <w:shd w:val="clear" w:color="auto" w:fill="D9EAF7"/>
            <w:tcMar>
              <w:top w:w="80" w:type="dxa"/>
              <w:left w:w="120" w:type="dxa"/>
              <w:bottom w:w="80" w:type="dxa"/>
              <w:right w:w="120" w:type="dxa"/>
            </w:tcMar>
            <w:vAlign w:val="center"/>
          </w:tcPr>
          <w:p w14:paraId="260267DC" w14:textId="77777777" w:rsidR="00CA5CE6" w:rsidRDefault="00000000">
            <w:pPr>
              <w:spacing w:line="240" w:lineRule="auto"/>
              <w:jc w:val="center"/>
            </w:pPr>
            <w:r>
              <w:rPr>
                <w:rFonts w:eastAsia="SimHei"/>
                <w:b/>
                <w:sz w:val="18"/>
              </w:rPr>
              <w:t>验收标准</w:t>
            </w:r>
          </w:p>
        </w:tc>
      </w:tr>
      <w:tr w:rsidR="00CA5CE6" w14:paraId="0869B727" w14:textId="77777777">
        <w:tc>
          <w:tcPr>
            <w:tcW w:w="1776" w:type="dxa"/>
            <w:tcMar>
              <w:top w:w="80" w:type="dxa"/>
              <w:left w:w="120" w:type="dxa"/>
              <w:bottom w:w="80" w:type="dxa"/>
              <w:right w:w="120" w:type="dxa"/>
            </w:tcMar>
            <w:vAlign w:val="center"/>
          </w:tcPr>
          <w:p w14:paraId="3B7B7C47" w14:textId="77777777" w:rsidR="00CA5CE6" w:rsidRDefault="00000000">
            <w:pPr>
              <w:spacing w:line="240" w:lineRule="auto"/>
              <w:jc w:val="left"/>
            </w:pPr>
            <w:r>
              <w:rPr>
                <w:sz w:val="18"/>
              </w:rPr>
              <w:t>来源登记与许可</w:t>
            </w:r>
          </w:p>
        </w:tc>
        <w:tc>
          <w:tcPr>
            <w:tcW w:w="5185" w:type="dxa"/>
            <w:tcMar>
              <w:top w:w="80" w:type="dxa"/>
              <w:left w:w="120" w:type="dxa"/>
              <w:bottom w:w="80" w:type="dxa"/>
              <w:right w:w="120" w:type="dxa"/>
            </w:tcMar>
            <w:vAlign w:val="center"/>
          </w:tcPr>
          <w:p w14:paraId="0B5B70E9" w14:textId="77777777" w:rsidR="00CA5CE6" w:rsidRDefault="00000000">
            <w:pPr>
              <w:spacing w:line="240" w:lineRule="auto"/>
              <w:jc w:val="left"/>
            </w:pPr>
            <w:r>
              <w:rPr>
                <w:sz w:val="18"/>
              </w:rPr>
              <w:t>建立数据源登记表，记录网址、版本、访问日期、许可、申请状态和允许的再分发范围。</w:t>
            </w:r>
          </w:p>
        </w:tc>
        <w:tc>
          <w:tcPr>
            <w:tcW w:w="2557" w:type="dxa"/>
            <w:tcMar>
              <w:top w:w="80" w:type="dxa"/>
              <w:left w:w="120" w:type="dxa"/>
              <w:bottom w:w="80" w:type="dxa"/>
              <w:right w:w="120" w:type="dxa"/>
            </w:tcMar>
            <w:vAlign w:val="center"/>
          </w:tcPr>
          <w:p w14:paraId="4E074833" w14:textId="77777777" w:rsidR="00CA5CE6" w:rsidRDefault="00000000">
            <w:pPr>
              <w:spacing w:line="240" w:lineRule="auto"/>
              <w:jc w:val="left"/>
            </w:pPr>
            <w:r>
              <w:rPr>
                <w:sz w:val="18"/>
              </w:rPr>
              <w:t>每个文件均有来源ID、许可状态和责任人。</w:t>
            </w:r>
          </w:p>
        </w:tc>
      </w:tr>
      <w:tr w:rsidR="00CA5CE6" w14:paraId="18016619" w14:textId="77777777">
        <w:tc>
          <w:tcPr>
            <w:tcW w:w="1776" w:type="dxa"/>
            <w:tcMar>
              <w:top w:w="80" w:type="dxa"/>
              <w:left w:w="120" w:type="dxa"/>
              <w:bottom w:w="80" w:type="dxa"/>
              <w:right w:w="120" w:type="dxa"/>
            </w:tcMar>
            <w:vAlign w:val="center"/>
          </w:tcPr>
          <w:p w14:paraId="5AA418DA" w14:textId="77777777" w:rsidR="00CA5CE6" w:rsidRDefault="00000000">
            <w:pPr>
              <w:spacing w:line="240" w:lineRule="auto"/>
              <w:jc w:val="left"/>
            </w:pPr>
            <w:r>
              <w:rPr>
                <w:sz w:val="18"/>
              </w:rPr>
              <w:t>患者主队列</w:t>
            </w:r>
          </w:p>
        </w:tc>
        <w:tc>
          <w:tcPr>
            <w:tcW w:w="5185" w:type="dxa"/>
            <w:tcMar>
              <w:top w:w="80" w:type="dxa"/>
              <w:left w:w="120" w:type="dxa"/>
              <w:bottom w:w="80" w:type="dxa"/>
              <w:right w:w="120" w:type="dxa"/>
            </w:tcMar>
            <w:vAlign w:val="center"/>
          </w:tcPr>
          <w:p w14:paraId="645A3A2F" w14:textId="77777777" w:rsidR="00CA5CE6" w:rsidRDefault="00000000">
            <w:pPr>
              <w:spacing w:line="240" w:lineRule="auto"/>
              <w:jc w:val="left"/>
            </w:pPr>
            <w:r>
              <w:rPr>
                <w:sz w:val="18"/>
              </w:rPr>
              <w:t>获取GENIE BPC PANC原始表、数据字典和版本说明；Project GENIE单独保存，不覆盖BPC。</w:t>
            </w:r>
          </w:p>
        </w:tc>
        <w:tc>
          <w:tcPr>
            <w:tcW w:w="2557" w:type="dxa"/>
            <w:tcMar>
              <w:top w:w="80" w:type="dxa"/>
              <w:left w:w="120" w:type="dxa"/>
              <w:bottom w:w="80" w:type="dxa"/>
              <w:right w:w="120" w:type="dxa"/>
            </w:tcMar>
            <w:vAlign w:val="center"/>
          </w:tcPr>
          <w:p w14:paraId="747718DA" w14:textId="77777777" w:rsidR="00CA5CE6" w:rsidRDefault="00000000">
            <w:pPr>
              <w:spacing w:line="240" w:lineRule="auto"/>
              <w:jc w:val="left"/>
            </w:pPr>
            <w:r>
              <w:rPr>
                <w:sz w:val="18"/>
              </w:rPr>
              <w:t>原始文件只读、校验和固定；表间主键可追踪。</w:t>
            </w:r>
          </w:p>
        </w:tc>
      </w:tr>
      <w:tr w:rsidR="00CA5CE6" w14:paraId="6A1F1875" w14:textId="77777777">
        <w:tc>
          <w:tcPr>
            <w:tcW w:w="1776" w:type="dxa"/>
            <w:tcMar>
              <w:top w:w="80" w:type="dxa"/>
              <w:left w:w="120" w:type="dxa"/>
              <w:bottom w:w="80" w:type="dxa"/>
              <w:right w:w="120" w:type="dxa"/>
            </w:tcMar>
            <w:vAlign w:val="center"/>
          </w:tcPr>
          <w:p w14:paraId="08B68D26" w14:textId="77777777" w:rsidR="00CA5CE6" w:rsidRDefault="00000000">
            <w:pPr>
              <w:spacing w:line="240" w:lineRule="auto"/>
              <w:jc w:val="left"/>
            </w:pPr>
            <w:r>
              <w:rPr>
                <w:sz w:val="18"/>
              </w:rPr>
              <w:t>外部验证数据</w:t>
            </w:r>
          </w:p>
        </w:tc>
        <w:tc>
          <w:tcPr>
            <w:tcW w:w="5185" w:type="dxa"/>
            <w:tcMar>
              <w:top w:w="80" w:type="dxa"/>
              <w:left w:w="120" w:type="dxa"/>
              <w:bottom w:w="80" w:type="dxa"/>
              <w:right w:w="120" w:type="dxa"/>
            </w:tcMar>
            <w:vAlign w:val="center"/>
          </w:tcPr>
          <w:p w14:paraId="5E51A9E5" w14:textId="77777777" w:rsidR="00CA5CE6" w:rsidRDefault="00000000">
            <w:pPr>
              <w:spacing w:line="240" w:lineRule="auto"/>
              <w:jc w:val="left"/>
            </w:pPr>
            <w:r>
              <w:rPr>
                <w:sz w:val="18"/>
              </w:rPr>
              <w:t>分别申请/下载ICGC ARGO、TCGA-PAAD和CPTAC-PDA；记录队列重叠与用途。</w:t>
            </w:r>
          </w:p>
        </w:tc>
        <w:tc>
          <w:tcPr>
            <w:tcW w:w="2557" w:type="dxa"/>
            <w:tcMar>
              <w:top w:w="80" w:type="dxa"/>
              <w:left w:w="120" w:type="dxa"/>
              <w:bottom w:w="80" w:type="dxa"/>
              <w:right w:w="120" w:type="dxa"/>
            </w:tcMar>
            <w:vAlign w:val="center"/>
          </w:tcPr>
          <w:p w14:paraId="7DEF8DC7" w14:textId="77777777" w:rsidR="00CA5CE6" w:rsidRDefault="00000000">
            <w:pPr>
              <w:spacing w:line="240" w:lineRule="auto"/>
              <w:jc w:val="left"/>
            </w:pPr>
            <w:r>
              <w:rPr>
                <w:sz w:val="18"/>
              </w:rPr>
              <w:t>每个队列只承担预先定义的验证任务。</w:t>
            </w:r>
          </w:p>
        </w:tc>
      </w:tr>
      <w:tr w:rsidR="00CA5CE6" w14:paraId="535E5538" w14:textId="77777777">
        <w:tc>
          <w:tcPr>
            <w:tcW w:w="1776" w:type="dxa"/>
            <w:tcMar>
              <w:top w:w="80" w:type="dxa"/>
              <w:left w:w="120" w:type="dxa"/>
              <w:bottom w:w="80" w:type="dxa"/>
              <w:right w:w="120" w:type="dxa"/>
            </w:tcMar>
            <w:vAlign w:val="center"/>
          </w:tcPr>
          <w:p w14:paraId="45FA226F" w14:textId="77777777" w:rsidR="00CA5CE6" w:rsidRDefault="00000000">
            <w:pPr>
              <w:spacing w:line="240" w:lineRule="auto"/>
              <w:jc w:val="left"/>
            </w:pPr>
            <w:r>
              <w:rPr>
                <w:sz w:val="18"/>
              </w:rPr>
              <w:t>临床约束数据</w:t>
            </w:r>
          </w:p>
        </w:tc>
        <w:tc>
          <w:tcPr>
            <w:tcW w:w="5185" w:type="dxa"/>
            <w:tcMar>
              <w:top w:w="80" w:type="dxa"/>
              <w:left w:w="120" w:type="dxa"/>
              <w:bottom w:w="80" w:type="dxa"/>
              <w:right w:w="120" w:type="dxa"/>
            </w:tcMar>
            <w:vAlign w:val="center"/>
          </w:tcPr>
          <w:p w14:paraId="2807E5AD" w14:textId="77777777" w:rsidR="00CA5CE6" w:rsidRDefault="00000000">
            <w:pPr>
              <w:spacing w:line="240" w:lineRule="auto"/>
              <w:jc w:val="left"/>
            </w:pPr>
            <w:r>
              <w:rPr>
                <w:sz w:val="18"/>
              </w:rPr>
              <w:t>筛选可申请的胰腺癌试验个体数据；若有本地病例，按伦理批准字段清单去标识导出。</w:t>
            </w:r>
          </w:p>
        </w:tc>
        <w:tc>
          <w:tcPr>
            <w:tcW w:w="2557" w:type="dxa"/>
            <w:tcMar>
              <w:top w:w="80" w:type="dxa"/>
              <w:left w:w="120" w:type="dxa"/>
              <w:bottom w:w="80" w:type="dxa"/>
              <w:right w:w="120" w:type="dxa"/>
            </w:tcMar>
            <w:vAlign w:val="center"/>
          </w:tcPr>
          <w:p w14:paraId="5202E029" w14:textId="77777777" w:rsidR="00CA5CE6" w:rsidRDefault="00000000">
            <w:pPr>
              <w:spacing w:line="240" w:lineRule="auto"/>
              <w:jc w:val="left"/>
            </w:pPr>
            <w:r>
              <w:rPr>
                <w:sz w:val="18"/>
              </w:rPr>
              <w:t>ECOG、实验室、给药、减量和CTCAE字段可定位至决策/治疗时间。</w:t>
            </w:r>
          </w:p>
        </w:tc>
      </w:tr>
      <w:tr w:rsidR="00CA5CE6" w14:paraId="34327252" w14:textId="77777777">
        <w:tc>
          <w:tcPr>
            <w:tcW w:w="1776" w:type="dxa"/>
            <w:tcMar>
              <w:top w:w="80" w:type="dxa"/>
              <w:left w:w="120" w:type="dxa"/>
              <w:bottom w:w="80" w:type="dxa"/>
              <w:right w:w="120" w:type="dxa"/>
            </w:tcMar>
            <w:vAlign w:val="center"/>
          </w:tcPr>
          <w:p w14:paraId="64F81464" w14:textId="77777777" w:rsidR="00CA5CE6" w:rsidRDefault="00000000">
            <w:pPr>
              <w:spacing w:line="240" w:lineRule="auto"/>
              <w:jc w:val="left"/>
            </w:pPr>
            <w:r>
              <w:rPr>
                <w:sz w:val="18"/>
              </w:rPr>
              <w:t>证据与标签资源</w:t>
            </w:r>
          </w:p>
        </w:tc>
        <w:tc>
          <w:tcPr>
            <w:tcW w:w="5185" w:type="dxa"/>
            <w:tcMar>
              <w:top w:w="80" w:type="dxa"/>
              <w:left w:w="120" w:type="dxa"/>
              <w:bottom w:w="80" w:type="dxa"/>
              <w:right w:w="120" w:type="dxa"/>
            </w:tcMar>
            <w:vAlign w:val="center"/>
          </w:tcPr>
          <w:p w14:paraId="1C33325F" w14:textId="77777777" w:rsidR="00CA5CE6" w:rsidRDefault="00000000">
            <w:pPr>
              <w:spacing w:line="240" w:lineRule="auto"/>
              <w:jc w:val="left"/>
            </w:pPr>
            <w:r>
              <w:rPr>
                <w:sz w:val="18"/>
              </w:rPr>
              <w:t>冻结NCI PDQ、指南、CIViC、MOAlmanac、说明书、PubMed和试验注册快照。</w:t>
            </w:r>
          </w:p>
        </w:tc>
        <w:tc>
          <w:tcPr>
            <w:tcW w:w="2557" w:type="dxa"/>
            <w:tcMar>
              <w:top w:w="80" w:type="dxa"/>
              <w:left w:w="120" w:type="dxa"/>
              <w:bottom w:w="80" w:type="dxa"/>
              <w:right w:w="120" w:type="dxa"/>
            </w:tcMar>
            <w:vAlign w:val="center"/>
          </w:tcPr>
          <w:p w14:paraId="73202B85" w14:textId="77777777" w:rsidR="00CA5CE6" w:rsidRDefault="00000000">
            <w:pPr>
              <w:spacing w:line="240" w:lineRule="auto"/>
              <w:jc w:val="left"/>
            </w:pPr>
            <w:r>
              <w:rPr>
                <w:sz w:val="18"/>
              </w:rPr>
              <w:t>每条证据保留版本、发布日期、适用人群和原文定位。</w:t>
            </w:r>
          </w:p>
        </w:tc>
      </w:tr>
      <w:tr w:rsidR="00CA5CE6" w14:paraId="1998F869" w14:textId="77777777">
        <w:tc>
          <w:tcPr>
            <w:tcW w:w="1776" w:type="dxa"/>
            <w:tcMar>
              <w:top w:w="80" w:type="dxa"/>
              <w:left w:w="120" w:type="dxa"/>
              <w:bottom w:w="80" w:type="dxa"/>
              <w:right w:w="120" w:type="dxa"/>
            </w:tcMar>
            <w:vAlign w:val="center"/>
          </w:tcPr>
          <w:p w14:paraId="0E5887F0" w14:textId="77777777" w:rsidR="00CA5CE6" w:rsidRDefault="00000000">
            <w:pPr>
              <w:spacing w:line="240" w:lineRule="auto"/>
              <w:jc w:val="left"/>
            </w:pPr>
            <w:r>
              <w:rPr>
                <w:sz w:val="18"/>
              </w:rPr>
              <w:t>数据审计门槛</w:t>
            </w:r>
          </w:p>
        </w:tc>
        <w:tc>
          <w:tcPr>
            <w:tcW w:w="5185" w:type="dxa"/>
            <w:tcMar>
              <w:top w:w="80" w:type="dxa"/>
              <w:left w:w="120" w:type="dxa"/>
              <w:bottom w:w="80" w:type="dxa"/>
              <w:right w:w="120" w:type="dxa"/>
            </w:tcMar>
            <w:vAlign w:val="center"/>
          </w:tcPr>
          <w:p w14:paraId="7563B4FC" w14:textId="77777777" w:rsidR="00CA5CE6" w:rsidRDefault="00000000">
            <w:pPr>
              <w:spacing w:line="240" w:lineRule="auto"/>
              <w:jc w:val="left"/>
            </w:pPr>
            <w:r>
              <w:rPr>
                <w:sz w:val="18"/>
              </w:rPr>
              <w:t>统计PDAC、晚期、既往治疗、明确进展、NGS早于决策、结局完整及主要亚组样本数。</w:t>
            </w:r>
          </w:p>
        </w:tc>
        <w:tc>
          <w:tcPr>
            <w:tcW w:w="2557" w:type="dxa"/>
            <w:tcMar>
              <w:top w:w="80" w:type="dxa"/>
              <w:left w:w="120" w:type="dxa"/>
              <w:bottom w:w="80" w:type="dxa"/>
              <w:right w:w="120" w:type="dxa"/>
            </w:tcMar>
            <w:vAlign w:val="center"/>
          </w:tcPr>
          <w:p w14:paraId="0D232D99" w14:textId="77777777" w:rsidR="00CA5CE6" w:rsidRDefault="00000000">
            <w:pPr>
              <w:spacing w:line="240" w:lineRule="auto"/>
              <w:jc w:val="left"/>
            </w:pPr>
            <w:r>
              <w:rPr>
                <w:sz w:val="18"/>
              </w:rPr>
              <w:t>形成纳排流程图、中心缺失率和可行性结论后再锁定规模。</w:t>
            </w:r>
          </w:p>
        </w:tc>
      </w:tr>
    </w:tbl>
    <w:p w14:paraId="470D9861" w14:textId="77777777" w:rsidR="00CA5CE6" w:rsidRDefault="00000000">
      <w:pPr>
        <w:pStyle w:val="Heading2"/>
      </w:pPr>
      <w:r>
        <w:rPr>
          <w:rFonts w:ascii="Times New Roman" w:eastAsia="SimSun" w:hAnsi="Times New Roman" w:cs="Times New Roman"/>
        </w:rPr>
        <w:t>3.4 数据处理与基准构建</w:t>
      </w:r>
    </w:p>
    <w:p w14:paraId="6F9B9CDF" w14:textId="77777777" w:rsidR="00CA5CE6" w:rsidRDefault="00000000">
      <w:pPr>
        <w:spacing w:after="80" w:line="324" w:lineRule="auto"/>
        <w:ind w:firstLine="480"/>
      </w:pPr>
      <w:r>
        <w:t>数据处理遵循“疾病筛选—去重—术语标准化—时间轴对齐—缺失编码—证据绑定—专家标签—质量控制—组级划分”的流水线。每一步输出中间表和审计日志，可从最终样例反向追溯至原始记录。</w:t>
      </w:r>
    </w:p>
    <w:tbl>
      <w:tblPr>
        <w:tblStyle w:val="TableGrid"/>
        <w:tblW w:w="9518" w:type="dxa"/>
        <w:tblInd w:w="120" w:type="dxa"/>
        <w:tblLayout w:type="fixed"/>
        <w:tblLook w:val="04A0" w:firstRow="1" w:lastRow="0" w:firstColumn="1" w:lastColumn="0" w:noHBand="0" w:noVBand="1"/>
      </w:tblPr>
      <w:tblGrid>
        <w:gridCol w:w="1776"/>
        <w:gridCol w:w="5185"/>
        <w:gridCol w:w="2557"/>
      </w:tblGrid>
      <w:tr w:rsidR="00CA5CE6" w14:paraId="455726E2" w14:textId="77777777">
        <w:trPr>
          <w:tblHeader/>
        </w:trPr>
        <w:tc>
          <w:tcPr>
            <w:tcW w:w="1776" w:type="dxa"/>
            <w:shd w:val="clear" w:color="auto" w:fill="D9EAF7"/>
            <w:tcMar>
              <w:top w:w="80" w:type="dxa"/>
              <w:left w:w="120" w:type="dxa"/>
              <w:bottom w:w="80" w:type="dxa"/>
              <w:right w:w="120" w:type="dxa"/>
            </w:tcMar>
            <w:vAlign w:val="center"/>
          </w:tcPr>
          <w:p w14:paraId="3FDE1CD5" w14:textId="77777777" w:rsidR="00CA5CE6" w:rsidRDefault="00000000">
            <w:pPr>
              <w:spacing w:line="240" w:lineRule="auto"/>
              <w:jc w:val="center"/>
            </w:pPr>
            <w:r>
              <w:rPr>
                <w:rFonts w:eastAsia="SimHei"/>
                <w:b/>
                <w:sz w:val="18"/>
              </w:rPr>
              <w:t>处理环节</w:t>
            </w:r>
          </w:p>
        </w:tc>
        <w:tc>
          <w:tcPr>
            <w:tcW w:w="5185" w:type="dxa"/>
            <w:shd w:val="clear" w:color="auto" w:fill="D9EAF7"/>
            <w:tcMar>
              <w:top w:w="80" w:type="dxa"/>
              <w:left w:w="120" w:type="dxa"/>
              <w:bottom w:w="80" w:type="dxa"/>
              <w:right w:w="120" w:type="dxa"/>
            </w:tcMar>
            <w:vAlign w:val="center"/>
          </w:tcPr>
          <w:p w14:paraId="470500F4" w14:textId="77777777" w:rsidR="00CA5CE6" w:rsidRDefault="00000000">
            <w:pPr>
              <w:spacing w:line="240" w:lineRule="auto"/>
              <w:jc w:val="center"/>
            </w:pPr>
            <w:r>
              <w:rPr>
                <w:rFonts w:eastAsia="SimHei"/>
                <w:b/>
                <w:sz w:val="18"/>
              </w:rPr>
              <w:t>具体方案</w:t>
            </w:r>
          </w:p>
        </w:tc>
        <w:tc>
          <w:tcPr>
            <w:tcW w:w="2557" w:type="dxa"/>
            <w:shd w:val="clear" w:color="auto" w:fill="D9EAF7"/>
            <w:tcMar>
              <w:top w:w="80" w:type="dxa"/>
              <w:left w:w="120" w:type="dxa"/>
              <w:bottom w:w="80" w:type="dxa"/>
              <w:right w:w="120" w:type="dxa"/>
            </w:tcMar>
            <w:vAlign w:val="center"/>
          </w:tcPr>
          <w:p w14:paraId="260267DC" w14:textId="77777777" w:rsidR="00CA5CE6" w:rsidRDefault="00000000">
            <w:pPr>
              <w:spacing w:line="240" w:lineRule="auto"/>
              <w:jc w:val="center"/>
            </w:pPr>
            <w:r>
              <w:rPr>
                <w:rFonts w:eastAsia="SimHei"/>
                <w:b/>
                <w:sz w:val="18"/>
              </w:rPr>
              <w:t>验收标准</w:t>
            </w:r>
          </w:p>
        </w:tc>
      </w:tr>
      <w:tr w:rsidR="00CA5CE6" w14:paraId="0869B727" w14:textId="77777777">
        <w:tc>
          <w:tcPr>
            <w:tcW w:w="1776" w:type="dxa"/>
            <w:tcMar>
              <w:top w:w="80" w:type="dxa"/>
              <w:left w:w="120" w:type="dxa"/>
              <w:bottom w:w="80" w:type="dxa"/>
              <w:right w:w="120" w:type="dxa"/>
            </w:tcMar>
            <w:vAlign w:val="center"/>
          </w:tcPr>
          <w:p w14:paraId="3B7B7C47" w14:textId="77777777" w:rsidR="00CA5CE6" w:rsidRDefault="00000000">
            <w:pPr>
              <w:spacing w:line="240" w:lineRule="auto"/>
              <w:jc w:val="left"/>
            </w:pPr>
            <w:r>
              <w:rPr>
                <w:sz w:val="18"/>
              </w:rPr>
              <w:t>疾病与决策时点筛选</w:t>
            </w:r>
          </w:p>
        </w:tc>
        <w:tc>
          <w:tcPr>
            <w:tcW w:w="5185" w:type="dxa"/>
            <w:tcMar>
              <w:top w:w="80" w:type="dxa"/>
              <w:left w:w="120" w:type="dxa"/>
              <w:bottom w:w="80" w:type="dxa"/>
              <w:right w:w="120" w:type="dxa"/>
            </w:tcMar>
            <w:vAlign w:val="center"/>
          </w:tcPr>
          <w:p w14:paraId="0B5B70E9" w14:textId="77777777" w:rsidR="00CA5CE6" w:rsidRDefault="00000000">
            <w:pPr>
              <w:spacing w:line="240" w:lineRule="auto"/>
              <w:jc w:val="left"/>
            </w:pPr>
            <w:r>
              <w:rPr>
                <w:sz w:val="18"/>
              </w:rPr>
              <w:t>仅保留成年晚期/复发/转移性PDAC；定义索引决策时点t0，Track A要求NGS≤t0。</w:t>
            </w:r>
          </w:p>
        </w:tc>
        <w:tc>
          <w:tcPr>
            <w:tcW w:w="2557" w:type="dxa"/>
            <w:tcMar>
              <w:top w:w="80" w:type="dxa"/>
              <w:left w:w="120" w:type="dxa"/>
              <w:bottom w:w="80" w:type="dxa"/>
              <w:right w:w="120" w:type="dxa"/>
            </w:tcMar>
            <w:vAlign w:val="center"/>
          </w:tcPr>
          <w:p w14:paraId="4E074833" w14:textId="77777777" w:rsidR="00CA5CE6" w:rsidRDefault="00000000">
            <w:pPr>
              <w:spacing w:line="240" w:lineRule="auto"/>
              <w:jc w:val="left"/>
            </w:pPr>
            <w:r>
              <w:rPr>
                <w:sz w:val="18"/>
              </w:rPr>
              <w:t>纳排原因逐例记录；非PDAC组织学不混入。</w:t>
            </w:r>
          </w:p>
        </w:tc>
      </w:tr>
      <w:tr w:rsidR="00CA5CE6" w14:paraId="18016619" w14:textId="77777777">
        <w:tc>
          <w:tcPr>
            <w:tcW w:w="1776" w:type="dxa"/>
            <w:tcMar>
              <w:top w:w="80" w:type="dxa"/>
              <w:left w:w="120" w:type="dxa"/>
              <w:bottom w:w="80" w:type="dxa"/>
              <w:right w:w="120" w:type="dxa"/>
            </w:tcMar>
            <w:vAlign w:val="center"/>
          </w:tcPr>
          <w:p w14:paraId="5AA418DA" w14:textId="77777777" w:rsidR="00CA5CE6" w:rsidRDefault="00000000">
            <w:pPr>
              <w:spacing w:line="240" w:lineRule="auto"/>
              <w:jc w:val="left"/>
            </w:pPr>
            <w:r>
              <w:rPr>
                <w:sz w:val="18"/>
              </w:rPr>
              <w:t>去重与来源隔离</w:t>
            </w:r>
          </w:p>
        </w:tc>
        <w:tc>
          <w:tcPr>
            <w:tcW w:w="5185" w:type="dxa"/>
            <w:tcMar>
              <w:top w:w="80" w:type="dxa"/>
              <w:left w:w="120" w:type="dxa"/>
              <w:bottom w:w="80" w:type="dxa"/>
              <w:right w:w="120" w:type="dxa"/>
            </w:tcMar>
            <w:vAlign w:val="center"/>
          </w:tcPr>
          <w:p w14:paraId="645A3A2F" w14:textId="77777777" w:rsidR="00CA5CE6" w:rsidRDefault="00000000">
            <w:pPr>
              <w:spacing w:line="240" w:lineRule="auto"/>
              <w:jc w:val="left"/>
            </w:pPr>
            <w:r>
              <w:rPr>
                <w:sz w:val="18"/>
              </w:rPr>
              <w:t>按患者、样本、项目和中心标识去重；审计GENIE、cBioPortal、TCGA/CPTAC潜在重复。</w:t>
            </w:r>
          </w:p>
        </w:tc>
        <w:tc>
          <w:tcPr>
            <w:tcW w:w="2557" w:type="dxa"/>
            <w:tcMar>
              <w:top w:w="80" w:type="dxa"/>
              <w:left w:w="120" w:type="dxa"/>
              <w:bottom w:w="80" w:type="dxa"/>
              <w:right w:w="120" w:type="dxa"/>
            </w:tcMar>
            <w:vAlign w:val="center"/>
          </w:tcPr>
          <w:p w14:paraId="747718DA" w14:textId="77777777" w:rsidR="00CA5CE6" w:rsidRDefault="00000000">
            <w:pPr>
              <w:spacing w:line="240" w:lineRule="auto"/>
              <w:jc w:val="left"/>
            </w:pPr>
            <w:r>
              <w:rPr>
                <w:sz w:val="18"/>
              </w:rPr>
              <w:t>同一患者只进入一个划分；不同来源不做患者级横向拼接。</w:t>
            </w:r>
          </w:p>
        </w:tc>
      </w:tr>
      <w:tr w:rsidR="00CA5CE6" w14:paraId="6A1F1875" w14:textId="77777777">
        <w:tc>
          <w:tcPr>
            <w:tcW w:w="1776" w:type="dxa"/>
            <w:tcMar>
              <w:top w:w="80" w:type="dxa"/>
              <w:left w:w="120" w:type="dxa"/>
              <w:bottom w:w="80" w:type="dxa"/>
              <w:right w:w="120" w:type="dxa"/>
            </w:tcMar>
            <w:vAlign w:val="center"/>
          </w:tcPr>
          <w:p w14:paraId="08B68D26" w14:textId="77777777" w:rsidR="00CA5CE6" w:rsidRDefault="00000000">
            <w:pPr>
              <w:spacing w:line="240" w:lineRule="auto"/>
              <w:jc w:val="left"/>
            </w:pPr>
            <w:r>
              <w:rPr>
                <w:sz w:val="18"/>
              </w:rPr>
              <w:t>术语与单位标准化</w:t>
            </w:r>
          </w:p>
        </w:tc>
        <w:tc>
          <w:tcPr>
            <w:tcW w:w="5185" w:type="dxa"/>
            <w:tcMar>
              <w:top w:w="80" w:type="dxa"/>
              <w:left w:w="120" w:type="dxa"/>
              <w:bottom w:w="80" w:type="dxa"/>
              <w:right w:w="120" w:type="dxa"/>
            </w:tcMar>
            <w:vAlign w:val="center"/>
          </w:tcPr>
          <w:p w14:paraId="5E51A9E5" w14:textId="77777777" w:rsidR="00CA5CE6" w:rsidRDefault="00000000">
            <w:pPr>
              <w:spacing w:line="240" w:lineRule="auto"/>
              <w:jc w:val="left"/>
            </w:pPr>
            <w:r>
              <w:rPr>
                <w:sz w:val="18"/>
              </w:rPr>
              <w:t>病理映射OncoTree/ICD-O；基因用HGNC/HGVS；药物和方案建立规范名、成分及线次映射；实验室统一单位。</w:t>
            </w:r>
          </w:p>
        </w:tc>
        <w:tc>
          <w:tcPr>
            <w:tcW w:w="2557" w:type="dxa"/>
            <w:tcMar>
              <w:top w:w="80" w:type="dxa"/>
              <w:left w:w="120" w:type="dxa"/>
              <w:bottom w:w="80" w:type="dxa"/>
              <w:right w:w="120" w:type="dxa"/>
            </w:tcMar>
            <w:vAlign w:val="center"/>
          </w:tcPr>
          <w:p w14:paraId="7DEF8DC7" w14:textId="77777777" w:rsidR="00CA5CE6" w:rsidRDefault="00000000">
            <w:pPr>
              <w:spacing w:line="240" w:lineRule="auto"/>
              <w:jc w:val="left"/>
            </w:pPr>
            <w:r>
              <w:rPr>
                <w:sz w:val="18"/>
              </w:rPr>
              <w:t>映射表版本化；无法映射项进入人工队列。</w:t>
            </w:r>
          </w:p>
        </w:tc>
      </w:tr>
      <w:tr w:rsidR="00CA5CE6" w14:paraId="535E5538" w14:textId="77777777">
        <w:tc>
          <w:tcPr>
            <w:tcW w:w="1776" w:type="dxa"/>
            <w:tcMar>
              <w:top w:w="80" w:type="dxa"/>
              <w:left w:w="120" w:type="dxa"/>
              <w:bottom w:w="80" w:type="dxa"/>
              <w:right w:w="120" w:type="dxa"/>
            </w:tcMar>
            <w:vAlign w:val="center"/>
          </w:tcPr>
          <w:p w14:paraId="45FA226F" w14:textId="77777777" w:rsidR="00CA5CE6" w:rsidRDefault="00000000">
            <w:pPr>
              <w:spacing w:line="240" w:lineRule="auto"/>
              <w:jc w:val="left"/>
            </w:pPr>
            <w:r>
              <w:rPr>
                <w:sz w:val="18"/>
              </w:rPr>
              <w:t>纵向时间轴对齐</w:t>
            </w:r>
          </w:p>
        </w:tc>
        <w:tc>
          <w:tcPr>
            <w:tcW w:w="5185" w:type="dxa"/>
            <w:tcMar>
              <w:top w:w="80" w:type="dxa"/>
              <w:left w:w="120" w:type="dxa"/>
              <w:bottom w:w="80" w:type="dxa"/>
              <w:right w:w="120" w:type="dxa"/>
            </w:tcMar>
            <w:vAlign w:val="center"/>
          </w:tcPr>
          <w:p w14:paraId="2807E5AD" w14:textId="77777777" w:rsidR="00CA5CE6" w:rsidRDefault="00000000">
            <w:pPr>
              <w:spacing w:line="240" w:lineRule="auto"/>
              <w:jc w:val="left"/>
            </w:pPr>
            <w:r>
              <w:rPr>
                <w:sz w:val="18"/>
              </w:rPr>
              <w:t>统一诊断、NGS、每线治疗、疗效、进展、毒性和随访日期；仅使用t0前信息生成输入。</w:t>
            </w:r>
          </w:p>
        </w:tc>
        <w:tc>
          <w:tcPr>
            <w:tcW w:w="2557" w:type="dxa"/>
            <w:tcMar>
              <w:top w:w="80" w:type="dxa"/>
              <w:left w:w="120" w:type="dxa"/>
              <w:bottom w:w="80" w:type="dxa"/>
              <w:right w:w="120" w:type="dxa"/>
            </w:tcMar>
            <w:vAlign w:val="center"/>
          </w:tcPr>
          <w:p w14:paraId="5202E029" w14:textId="77777777" w:rsidR="00CA5CE6" w:rsidRDefault="00000000">
            <w:pPr>
              <w:spacing w:line="240" w:lineRule="auto"/>
              <w:jc w:val="left"/>
            </w:pPr>
            <w:r>
              <w:rPr>
                <w:sz w:val="18"/>
              </w:rPr>
              <w:t>不存在未来信息泄漏；治疗线次和停药原因可复核。</w:t>
            </w:r>
          </w:p>
        </w:tc>
      </w:tr>
      <w:tr w:rsidR="00CA5CE6" w14:paraId="34327252" w14:textId="77777777">
        <w:tc>
          <w:tcPr>
            <w:tcW w:w="1776" w:type="dxa"/>
            <w:tcMar>
              <w:top w:w="80" w:type="dxa"/>
              <w:left w:w="120" w:type="dxa"/>
              <w:bottom w:w="80" w:type="dxa"/>
              <w:right w:w="120" w:type="dxa"/>
            </w:tcMar>
            <w:vAlign w:val="center"/>
          </w:tcPr>
          <w:p w14:paraId="64F81464" w14:textId="77777777" w:rsidR="00CA5CE6" w:rsidRDefault="00000000">
            <w:pPr>
              <w:spacing w:line="240" w:lineRule="auto"/>
              <w:jc w:val="left"/>
            </w:pPr>
            <w:r>
              <w:rPr>
                <w:sz w:val="18"/>
              </w:rPr>
              <w:t>缺失与检测范围编码</w:t>
            </w:r>
          </w:p>
        </w:tc>
        <w:tc>
          <w:tcPr>
            <w:tcW w:w="5185" w:type="dxa"/>
            <w:tcMar>
              <w:top w:w="80" w:type="dxa"/>
              <w:left w:w="120" w:type="dxa"/>
              <w:bottom w:w="80" w:type="dxa"/>
              <w:right w:w="120" w:type="dxa"/>
            </w:tcMar>
            <w:vAlign w:val="center"/>
          </w:tcPr>
          <w:p w14:paraId="1C33325F" w14:textId="77777777" w:rsidR="00CA5CE6" w:rsidRDefault="00000000">
            <w:pPr>
              <w:spacing w:line="240" w:lineRule="auto"/>
              <w:jc w:val="left"/>
            </w:pPr>
            <w:r>
              <w:rPr>
                <w:sz w:val="18"/>
              </w:rPr>
              <w:t>区分阴性、未检测、未知、不适用和被遮蔽；记录面板覆盖、样本类型及检测日期。</w:t>
            </w:r>
          </w:p>
        </w:tc>
        <w:tc>
          <w:tcPr>
            <w:tcW w:w="2557" w:type="dxa"/>
            <w:tcMar>
              <w:top w:w="80" w:type="dxa"/>
              <w:left w:w="120" w:type="dxa"/>
              <w:bottom w:w="80" w:type="dxa"/>
              <w:right w:w="120" w:type="dxa"/>
            </w:tcMar>
            <w:vAlign w:val="center"/>
          </w:tcPr>
          <w:p w14:paraId="73202B85" w14:textId="77777777" w:rsidR="00CA5CE6" w:rsidRDefault="00000000">
            <w:pPr>
              <w:spacing w:line="240" w:lineRule="auto"/>
              <w:jc w:val="left"/>
            </w:pPr>
            <w:r>
              <w:rPr>
                <w:sz w:val="18"/>
              </w:rPr>
              <w:t>缺失值不被自动解释为阴性或无风险。</w:t>
            </w:r>
          </w:p>
        </w:tc>
      </w:tr>
      <w:tr w:rsidR="00CA5CE6" w14:paraId="1998F869" w14:textId="77777777">
        <w:tc>
          <w:tcPr>
            <w:tcW w:w="1776" w:type="dxa"/>
            <w:tcMar>
              <w:top w:w="80" w:type="dxa"/>
              <w:left w:w="120" w:type="dxa"/>
              <w:bottom w:w="80" w:type="dxa"/>
              <w:right w:w="120" w:type="dxa"/>
            </w:tcMar>
            <w:vAlign w:val="center"/>
          </w:tcPr>
          <w:p w14:paraId="0E5887F0" w14:textId="77777777" w:rsidR="00CA5CE6" w:rsidRDefault="00000000">
            <w:pPr>
              <w:spacing w:line="240" w:lineRule="auto"/>
              <w:jc w:val="left"/>
            </w:pPr>
            <w:r>
              <w:rPr>
                <w:sz w:val="18"/>
              </w:rPr>
              <w:t>候选池与证据单元</w:t>
            </w:r>
          </w:p>
        </w:tc>
        <w:tc>
          <w:tcPr>
            <w:tcW w:w="5185" w:type="dxa"/>
            <w:tcMar>
              <w:top w:w="80" w:type="dxa"/>
              <w:left w:w="120" w:type="dxa"/>
              <w:bottom w:w="80" w:type="dxa"/>
              <w:right w:w="120" w:type="dxa"/>
            </w:tcMar>
            <w:vAlign w:val="center"/>
          </w:tcPr>
          <w:p w14:paraId="7563B4FC" w14:textId="77777777" w:rsidR="00CA5CE6" w:rsidRDefault="00000000">
            <w:pPr>
              <w:spacing w:line="240" w:lineRule="auto"/>
              <w:jc w:val="left"/>
            </w:pPr>
            <w:r>
              <w:rPr>
                <w:sz w:val="18"/>
              </w:rPr>
              <w:t>冻结PDAC标准方案和生物标志物匹配治疗；证据单元记录方向、等级、人群、变异、线次和截止日期。</w:t>
            </w:r>
          </w:p>
        </w:tc>
        <w:tc>
          <w:tcPr>
            <w:tcW w:w="2557" w:type="dxa"/>
            <w:tcMar>
              <w:top w:w="80" w:type="dxa"/>
              <w:left w:w="120" w:type="dxa"/>
              <w:bottom w:w="80" w:type="dxa"/>
              <w:right w:w="120" w:type="dxa"/>
            </w:tcMar>
            <w:vAlign w:val="center"/>
          </w:tcPr>
          <w:p w14:paraId="0D232D99" w14:textId="77777777" w:rsidR="00CA5CE6" w:rsidRDefault="00000000">
            <w:pPr>
              <w:spacing w:line="240" w:lineRule="auto"/>
              <w:jc w:val="left"/>
            </w:pPr>
            <w:r>
              <w:rPr>
                <w:sz w:val="18"/>
              </w:rPr>
              <w:t>每个候选及关键判断均可追溯至证据。</w:t>
            </w:r>
          </w:p>
        </w:tc>
      </w:tr>
      <w:tr w:rsidR="00CA5CE6" w14:paraId="1998F869" w14:textId="77777777">
        <w:tc>
          <w:tcPr>
            <w:tcW w:w="1776" w:type="dxa"/>
            <w:tcMar>
              <w:top w:w="80" w:type="dxa"/>
              <w:left w:w="120" w:type="dxa"/>
              <w:bottom w:w="80" w:type="dxa"/>
              <w:right w:w="120" w:type="dxa"/>
            </w:tcMar>
            <w:vAlign w:val="center"/>
          </w:tcPr>
          <w:p w14:paraId="0E5887F0" w14:textId="77777777" w:rsidR="00CA5CE6" w:rsidRDefault="00000000">
            <w:pPr>
              <w:spacing w:line="240" w:lineRule="auto"/>
              <w:jc w:val="left"/>
            </w:pPr>
            <w:r>
              <w:rPr>
                <w:sz w:val="18"/>
              </w:rPr>
              <w:t>标签与专家复核</w:t>
            </w:r>
          </w:p>
        </w:tc>
        <w:tc>
          <w:tcPr>
            <w:tcW w:w="5185" w:type="dxa"/>
            <w:tcMar>
              <w:top w:w="80" w:type="dxa"/>
              <w:left w:w="120" w:type="dxa"/>
              <w:bottom w:w="80" w:type="dxa"/>
              <w:right w:w="120" w:type="dxa"/>
            </w:tcMar>
            <w:vAlign w:val="center"/>
          </w:tcPr>
          <w:p w14:paraId="7563B4FC" w14:textId="77777777" w:rsidR="00CA5CE6" w:rsidRDefault="00000000">
            <w:pPr>
              <w:spacing w:line="240" w:lineRule="auto"/>
              <w:jc w:val="left"/>
            </w:pPr>
            <w:r>
              <w:rPr>
                <w:sz w:val="18"/>
              </w:rPr>
              <w:t>规则生成初标；专家给出四类状态、约束类型和理由；高风险项双人独立复核，分歧第三方裁决。</w:t>
            </w:r>
          </w:p>
        </w:tc>
        <w:tc>
          <w:tcPr>
            <w:tcW w:w="2557" w:type="dxa"/>
            <w:tcMar>
              <w:top w:w="80" w:type="dxa"/>
              <w:left w:w="120" w:type="dxa"/>
              <w:bottom w:w="80" w:type="dxa"/>
              <w:right w:w="120" w:type="dxa"/>
            </w:tcMar>
            <w:vAlign w:val="center"/>
          </w:tcPr>
          <w:p w14:paraId="0D232D99" w14:textId="77777777" w:rsidR="00CA5CE6" w:rsidRDefault="00000000">
            <w:pPr>
              <w:spacing w:line="240" w:lineRule="auto"/>
              <w:jc w:val="left"/>
            </w:pPr>
            <w:r>
              <w:rPr>
                <w:sz w:val="18"/>
              </w:rPr>
              <w:t>报告一致性；真实结局不直接等同最优方案。</w:t>
            </w:r>
          </w:p>
        </w:tc>
      </w:tr>
      <w:tr w:rsidR="00CA5CE6" w14:paraId="1998F869" w14:textId="77777777">
        <w:tc>
          <w:tcPr>
            <w:tcW w:w="1776" w:type="dxa"/>
            <w:tcMar>
              <w:top w:w="80" w:type="dxa"/>
              <w:left w:w="120" w:type="dxa"/>
              <w:bottom w:w="80" w:type="dxa"/>
              <w:right w:w="120" w:type="dxa"/>
            </w:tcMar>
            <w:vAlign w:val="center"/>
          </w:tcPr>
          <w:p w14:paraId="0E5887F0" w14:textId="77777777" w:rsidR="00CA5CE6" w:rsidRDefault="00000000">
            <w:pPr>
              <w:spacing w:line="240" w:lineRule="auto"/>
              <w:jc w:val="left"/>
            </w:pPr>
            <w:r>
              <w:rPr>
                <w:sz w:val="18"/>
              </w:rPr>
              <w:t>质量控制与划分</w:t>
            </w:r>
          </w:p>
        </w:tc>
        <w:tc>
          <w:tcPr>
            <w:tcW w:w="5185" w:type="dxa"/>
            <w:tcMar>
              <w:top w:w="80" w:type="dxa"/>
              <w:left w:w="120" w:type="dxa"/>
              <w:bottom w:w="80" w:type="dxa"/>
              <w:right w:w="120" w:type="dxa"/>
            </w:tcMar>
            <w:vAlign w:val="center"/>
          </w:tcPr>
          <w:p w14:paraId="7563B4FC" w14:textId="77777777" w:rsidR="00CA5CE6" w:rsidRDefault="00000000">
            <w:pPr>
              <w:spacing w:line="240" w:lineRule="auto"/>
              <w:jc w:val="left"/>
            </w:pPr>
            <w:r>
              <w:rPr>
                <w:sz w:val="18"/>
              </w:rPr>
              <w:t>执行schema校验、范围检查、缺失率、异常值、泄漏审计；按患者/来源组级划分并建立时间外与安全集。</w:t>
            </w:r>
          </w:p>
        </w:tc>
        <w:tc>
          <w:tcPr>
            <w:tcW w:w="2557" w:type="dxa"/>
            <w:tcMar>
              <w:top w:w="80" w:type="dxa"/>
              <w:left w:w="120" w:type="dxa"/>
              <w:bottom w:w="80" w:type="dxa"/>
              <w:right w:w="120" w:type="dxa"/>
            </w:tcMar>
            <w:vAlign w:val="center"/>
          </w:tcPr>
          <w:p w14:paraId="0D232D99" w14:textId="77777777" w:rsidR="00CA5CE6" w:rsidRDefault="00000000">
            <w:pPr>
              <w:spacing w:line="240" w:lineRule="auto"/>
              <w:jc w:val="left"/>
            </w:pPr>
            <w:r>
              <w:rPr>
                <w:sz w:val="18"/>
              </w:rPr>
              <w:t>Core锁定；Track A/B及合成挑战集分别发布和报告。</w:t>
            </w:r>
          </w:p>
        </w:tc>
      </w:tr>
    </w:tbl>
    <w:p w14:paraId="1C7EA5F8" w14:textId="77777777" w:rsidR="00CA5CE6" w:rsidRDefault="00CA5CE6">
      <w:pPr>
        <w:spacing w:line="120" w:lineRule="auto"/>
      </w:pPr>
    </w:p>
    <w:p w14:paraId="41B1DC0F" w14:textId="77777777" w:rsidR="00CA5CE6" w:rsidRDefault="00000000">
      <w:pPr>
        <w:pStyle w:val="Heading2"/>
      </w:pPr>
      <w:r>
        <w:rPr>
          <w:rFonts w:ascii="Times New Roman" w:eastAsia="SimSun" w:hAnsi="Times New Roman" w:cs="Times New Roman"/>
        </w:rPr>
        <w:t>3.5 数据风险与控制</w:t>
      </w:r>
    </w:p>
    <w:tbl>
      <w:tblPr>
        <w:tblStyle w:val="TableGrid"/>
        <w:tblW w:w="9518" w:type="dxa"/>
        <w:tblInd w:w="120" w:type="dxa"/>
        <w:tblLayout w:type="fixed"/>
        <w:tblLook w:val="04A0" w:firstRow="1" w:lastRow="0" w:firstColumn="1" w:lastColumn="0" w:noHBand="0" w:noVBand="1"/>
      </w:tblPr>
      <w:tblGrid>
        <w:gridCol w:w="1847"/>
        <w:gridCol w:w="3480"/>
        <w:gridCol w:w="4191"/>
      </w:tblGrid>
      <w:tr w:rsidR="00CA5CE6" w14:paraId="40F22050" w14:textId="77777777">
        <w:trPr>
          <w:tblHeader/>
        </w:trPr>
        <w:tc>
          <w:tcPr>
            <w:tcW w:w="1847" w:type="dxa"/>
            <w:shd w:val="clear" w:color="auto" w:fill="D9EAF7"/>
            <w:tcMar>
              <w:top w:w="80" w:type="dxa"/>
              <w:left w:w="120" w:type="dxa"/>
              <w:bottom w:w="80" w:type="dxa"/>
              <w:right w:w="120" w:type="dxa"/>
            </w:tcMar>
            <w:vAlign w:val="center"/>
          </w:tcPr>
          <w:p w14:paraId="5F53F16E" w14:textId="77777777" w:rsidR="00CA5CE6" w:rsidRDefault="00000000">
            <w:pPr>
              <w:spacing w:line="240" w:lineRule="auto"/>
              <w:jc w:val="center"/>
            </w:pPr>
            <w:r>
              <w:rPr>
                <w:rFonts w:eastAsia="SimHei"/>
                <w:b/>
                <w:sz w:val="18"/>
              </w:rPr>
              <w:t>风险</w:t>
            </w:r>
          </w:p>
        </w:tc>
        <w:tc>
          <w:tcPr>
            <w:tcW w:w="3480" w:type="dxa"/>
            <w:shd w:val="clear" w:color="auto" w:fill="D9EAF7"/>
            <w:tcMar>
              <w:top w:w="80" w:type="dxa"/>
              <w:left w:w="120" w:type="dxa"/>
              <w:bottom w:w="80" w:type="dxa"/>
              <w:right w:w="120" w:type="dxa"/>
            </w:tcMar>
            <w:vAlign w:val="center"/>
          </w:tcPr>
          <w:p w14:paraId="3261FBD4" w14:textId="77777777" w:rsidR="00CA5CE6" w:rsidRDefault="00000000">
            <w:pPr>
              <w:spacing w:line="240" w:lineRule="auto"/>
              <w:jc w:val="center"/>
            </w:pPr>
            <w:r>
              <w:rPr>
                <w:rFonts w:eastAsia="SimHei"/>
                <w:b/>
                <w:sz w:val="18"/>
              </w:rPr>
              <w:t>具体表现</w:t>
            </w:r>
          </w:p>
        </w:tc>
        <w:tc>
          <w:tcPr>
            <w:tcW w:w="4191" w:type="dxa"/>
            <w:shd w:val="clear" w:color="auto" w:fill="D9EAF7"/>
            <w:tcMar>
              <w:top w:w="80" w:type="dxa"/>
              <w:left w:w="120" w:type="dxa"/>
              <w:bottom w:w="80" w:type="dxa"/>
              <w:right w:w="120" w:type="dxa"/>
            </w:tcMar>
            <w:vAlign w:val="center"/>
          </w:tcPr>
          <w:p w14:paraId="7406B8F2" w14:textId="77777777" w:rsidR="00CA5CE6" w:rsidRDefault="00000000">
            <w:pPr>
              <w:spacing w:line="240" w:lineRule="auto"/>
              <w:jc w:val="center"/>
            </w:pPr>
            <w:r>
              <w:rPr>
                <w:rFonts w:eastAsia="SimHei"/>
                <w:b/>
                <w:sz w:val="18"/>
              </w:rPr>
              <w:t>控制方式</w:t>
            </w:r>
          </w:p>
        </w:tc>
      </w:tr>
      <w:tr w:rsidR="00CA5CE6" w14:paraId="6888C20E" w14:textId="77777777">
        <w:tc>
          <w:tcPr>
            <w:tcW w:w="1847" w:type="dxa"/>
            <w:tcMar>
              <w:top w:w="80" w:type="dxa"/>
              <w:left w:w="120" w:type="dxa"/>
              <w:bottom w:w="80" w:type="dxa"/>
              <w:right w:w="120" w:type="dxa"/>
            </w:tcMar>
            <w:vAlign w:val="center"/>
          </w:tcPr>
          <w:p w14:paraId="23CE7568" w14:textId="77777777" w:rsidR="00CA5CE6" w:rsidRDefault="00000000">
            <w:pPr>
              <w:spacing w:line="240" w:lineRule="auto"/>
              <w:jc w:val="left"/>
            </w:pPr>
            <w:r>
              <w:rPr>
                <w:sz w:val="18"/>
              </w:rPr>
              <w:t>临床约束缺失</w:t>
            </w:r>
          </w:p>
        </w:tc>
        <w:tc>
          <w:tcPr>
            <w:tcW w:w="3480" w:type="dxa"/>
            <w:tcMar>
              <w:top w:w="80" w:type="dxa"/>
              <w:left w:w="120" w:type="dxa"/>
              <w:bottom w:w="80" w:type="dxa"/>
              <w:right w:w="120" w:type="dxa"/>
            </w:tcMar>
            <w:vAlign w:val="center"/>
          </w:tcPr>
          <w:p w14:paraId="427AD02D" w14:textId="77777777" w:rsidR="00CA5CE6" w:rsidRDefault="00000000">
            <w:pPr>
              <w:spacing w:line="240" w:lineRule="auto"/>
              <w:jc w:val="left"/>
            </w:pPr>
            <w:r>
              <w:rPr>
                <w:sz w:val="18"/>
              </w:rPr>
              <w:t>GENIE缺ECOG、实验室、剂量、毒性和明确禁忌证。</w:t>
            </w:r>
          </w:p>
        </w:tc>
        <w:tc>
          <w:tcPr>
            <w:tcW w:w="4191" w:type="dxa"/>
            <w:tcMar>
              <w:top w:w="80" w:type="dxa"/>
              <w:left w:w="120" w:type="dxa"/>
              <w:bottom w:w="80" w:type="dxa"/>
              <w:right w:w="120" w:type="dxa"/>
            </w:tcMar>
            <w:vAlign w:val="center"/>
          </w:tcPr>
          <w:p w14:paraId="7C912D6E" w14:textId="77777777" w:rsidR="00CA5CE6" w:rsidRDefault="00000000">
            <w:pPr>
              <w:spacing w:line="240" w:lineRule="auto"/>
              <w:jc w:val="left"/>
            </w:pPr>
            <w:r>
              <w:rPr>
                <w:sz w:val="18"/>
              </w:rPr>
              <w:t>拆分Track A/Track B；拿不到约束数据时不宣称完整临床适用性。</w:t>
            </w:r>
          </w:p>
        </w:tc>
      </w:tr>
      <w:tr w:rsidR="00CA5CE6" w14:paraId="15D7B4F9" w14:textId="77777777">
        <w:tc>
          <w:tcPr>
            <w:tcW w:w="1847" w:type="dxa"/>
            <w:tcMar>
              <w:top w:w="80" w:type="dxa"/>
              <w:left w:w="120" w:type="dxa"/>
              <w:bottom w:w="80" w:type="dxa"/>
              <w:right w:w="120" w:type="dxa"/>
            </w:tcMar>
            <w:vAlign w:val="center"/>
          </w:tcPr>
          <w:p w14:paraId="61897EE8" w14:textId="77777777" w:rsidR="00CA5CE6" w:rsidRDefault="00000000">
            <w:pPr>
              <w:spacing w:line="240" w:lineRule="auto"/>
              <w:jc w:val="left"/>
            </w:pPr>
            <w:r>
              <w:rPr>
                <w:sz w:val="18"/>
              </w:rPr>
              <w:t>筛选后样本不足</w:t>
            </w:r>
          </w:p>
        </w:tc>
        <w:tc>
          <w:tcPr>
            <w:tcW w:w="3480" w:type="dxa"/>
            <w:tcMar>
              <w:top w:w="80" w:type="dxa"/>
              <w:left w:w="120" w:type="dxa"/>
              <w:bottom w:w="80" w:type="dxa"/>
              <w:right w:w="120" w:type="dxa"/>
            </w:tcMar>
            <w:vAlign w:val="center"/>
          </w:tcPr>
          <w:p w14:paraId="72D672BA" w14:textId="77777777" w:rsidR="00CA5CE6" w:rsidRDefault="00000000">
            <w:pPr>
              <w:spacing w:line="240" w:lineRule="auto"/>
              <w:jc w:val="left"/>
            </w:pPr>
            <w:r>
              <w:rPr>
                <w:sz w:val="18"/>
              </w:rPr>
              <w:t>限定PDAC、晚期、NGS早于决策及结局完整后样本显著缩小。</w:t>
            </w:r>
          </w:p>
        </w:tc>
        <w:tc>
          <w:tcPr>
            <w:tcW w:w="4191" w:type="dxa"/>
            <w:tcMar>
              <w:top w:w="80" w:type="dxa"/>
              <w:left w:w="120" w:type="dxa"/>
              <w:bottom w:w="80" w:type="dxa"/>
              <w:right w:w="120" w:type="dxa"/>
            </w:tcMar>
            <w:vAlign w:val="center"/>
          </w:tcPr>
          <w:p w14:paraId="27FC51B8" w14:textId="77777777" w:rsidR="00CA5CE6" w:rsidRDefault="00000000">
            <w:pPr>
              <w:spacing w:line="240" w:lineRule="auto"/>
              <w:jc w:val="left"/>
            </w:pPr>
            <w:r>
              <w:rPr>
                <w:sz w:val="18"/>
              </w:rPr>
              <w:t>正式建模前做真实CSV审计；优先高质量Core，不硬凑规模。</w:t>
            </w:r>
          </w:p>
        </w:tc>
      </w:tr>
      <w:tr w:rsidR="00CA5CE6" w14:paraId="13A634C4" w14:textId="77777777">
        <w:tc>
          <w:tcPr>
            <w:tcW w:w="1847" w:type="dxa"/>
            <w:tcMar>
              <w:top w:w="80" w:type="dxa"/>
              <w:left w:w="120" w:type="dxa"/>
              <w:bottom w:w="80" w:type="dxa"/>
              <w:right w:w="120" w:type="dxa"/>
            </w:tcMar>
            <w:vAlign w:val="center"/>
          </w:tcPr>
          <w:p w14:paraId="0F465F9E" w14:textId="77777777" w:rsidR="00CA5CE6" w:rsidRDefault="00000000">
            <w:pPr>
              <w:spacing w:line="240" w:lineRule="auto"/>
              <w:jc w:val="left"/>
            </w:pPr>
            <w:r>
              <w:rPr>
                <w:sz w:val="18"/>
              </w:rPr>
              <w:t>精准治疗亚组稀疏</w:t>
            </w:r>
          </w:p>
        </w:tc>
        <w:tc>
          <w:tcPr>
            <w:tcW w:w="3480" w:type="dxa"/>
            <w:tcMar>
              <w:top w:w="80" w:type="dxa"/>
              <w:left w:w="120" w:type="dxa"/>
              <w:bottom w:w="80" w:type="dxa"/>
              <w:right w:w="120" w:type="dxa"/>
            </w:tcMar>
            <w:vAlign w:val="center"/>
          </w:tcPr>
          <w:p w14:paraId="19CEFBDB" w14:textId="77777777" w:rsidR="00CA5CE6" w:rsidRDefault="00000000">
            <w:pPr>
              <w:spacing w:line="240" w:lineRule="auto"/>
              <w:jc w:val="left"/>
            </w:pPr>
            <w:r>
              <w:rPr>
                <w:sz w:val="18"/>
              </w:rPr>
              <w:t>BRCA/PALB2、MSI-H、NTRK等亚组类别严重不平衡。</w:t>
            </w:r>
          </w:p>
        </w:tc>
        <w:tc>
          <w:tcPr>
            <w:tcW w:w="4191" w:type="dxa"/>
            <w:tcMar>
              <w:top w:w="80" w:type="dxa"/>
              <w:left w:w="120" w:type="dxa"/>
              <w:bottom w:w="80" w:type="dxa"/>
              <w:right w:w="120" w:type="dxa"/>
            </w:tcMar>
            <w:vAlign w:val="center"/>
          </w:tcPr>
          <w:p w14:paraId="34A0B0AA" w14:textId="77777777" w:rsidR="00CA5CE6" w:rsidRDefault="00000000">
            <w:pPr>
              <w:spacing w:line="240" w:lineRule="auto"/>
              <w:jc w:val="left"/>
            </w:pPr>
            <w:r>
              <w:rPr>
                <w:sz w:val="18"/>
              </w:rPr>
              <w:t>分层报告、置信区间和挑战集；不以总体均值掩盖长尾失败。</w:t>
            </w:r>
          </w:p>
        </w:tc>
      </w:tr>
      <w:tr w:rsidR="00CA5CE6" w14:paraId="077D7A8D" w14:textId="77777777">
        <w:tc>
          <w:tcPr>
            <w:tcW w:w="1847" w:type="dxa"/>
            <w:tcMar>
              <w:top w:w="80" w:type="dxa"/>
              <w:left w:w="120" w:type="dxa"/>
              <w:bottom w:w="80" w:type="dxa"/>
              <w:right w:w="120" w:type="dxa"/>
            </w:tcMar>
            <w:vAlign w:val="center"/>
          </w:tcPr>
          <w:p w14:paraId="6A42EFDC" w14:textId="77777777" w:rsidR="00CA5CE6" w:rsidRDefault="00000000">
            <w:pPr>
              <w:spacing w:line="240" w:lineRule="auto"/>
              <w:jc w:val="left"/>
            </w:pPr>
            <w:r>
              <w:rPr>
                <w:sz w:val="18"/>
              </w:rPr>
              <w:t>组织学混杂</w:t>
            </w:r>
          </w:p>
        </w:tc>
        <w:tc>
          <w:tcPr>
            <w:tcW w:w="3480" w:type="dxa"/>
            <w:tcMar>
              <w:top w:w="80" w:type="dxa"/>
              <w:left w:w="120" w:type="dxa"/>
              <w:bottom w:w="80" w:type="dxa"/>
              <w:right w:w="120" w:type="dxa"/>
            </w:tcMar>
            <w:vAlign w:val="center"/>
          </w:tcPr>
          <w:p w14:paraId="24F8AEA7" w14:textId="77777777" w:rsidR="00CA5CE6" w:rsidRDefault="00000000">
            <w:pPr>
              <w:spacing w:line="240" w:lineRule="auto"/>
              <w:jc w:val="left"/>
            </w:pPr>
            <w:r>
              <w:rPr>
                <w:sz w:val="18"/>
              </w:rPr>
              <w:t>腺鳞癌、腺泡细胞癌和未分化癌可能被并入胰腺癌。</w:t>
            </w:r>
          </w:p>
        </w:tc>
        <w:tc>
          <w:tcPr>
            <w:tcW w:w="4191" w:type="dxa"/>
            <w:tcMar>
              <w:top w:w="80" w:type="dxa"/>
              <w:left w:w="120" w:type="dxa"/>
              <w:bottom w:w="80" w:type="dxa"/>
              <w:right w:w="120" w:type="dxa"/>
            </w:tcMar>
            <w:vAlign w:val="center"/>
          </w:tcPr>
          <w:p w14:paraId="73510D70" w14:textId="77777777" w:rsidR="00CA5CE6" w:rsidRDefault="00000000">
            <w:pPr>
              <w:spacing w:line="240" w:lineRule="auto"/>
              <w:jc w:val="left"/>
            </w:pPr>
            <w:r>
              <w:rPr>
                <w:sz w:val="18"/>
              </w:rPr>
              <w:t>首版严格限定PDAC；其他组织学单列或排除。</w:t>
            </w:r>
          </w:p>
        </w:tc>
      </w:tr>
      <w:tr w:rsidR="00CA5CE6" w14:paraId="4547F3E1" w14:textId="77777777">
        <w:tc>
          <w:tcPr>
            <w:tcW w:w="1847" w:type="dxa"/>
            <w:tcMar>
              <w:top w:w="80" w:type="dxa"/>
              <w:left w:w="120" w:type="dxa"/>
              <w:bottom w:w="80" w:type="dxa"/>
              <w:right w:w="120" w:type="dxa"/>
            </w:tcMar>
            <w:vAlign w:val="center"/>
          </w:tcPr>
          <w:p w14:paraId="73D3263F" w14:textId="77777777" w:rsidR="00CA5CE6" w:rsidRDefault="00000000">
            <w:pPr>
              <w:spacing w:line="240" w:lineRule="auto"/>
              <w:jc w:val="left"/>
            </w:pPr>
            <w:r>
              <w:rPr>
                <w:sz w:val="18"/>
              </w:rPr>
              <w:t>试验选择与信息遮蔽</w:t>
            </w:r>
          </w:p>
        </w:tc>
        <w:tc>
          <w:tcPr>
            <w:tcW w:w="3480" w:type="dxa"/>
            <w:tcMar>
              <w:top w:w="80" w:type="dxa"/>
              <w:left w:w="120" w:type="dxa"/>
              <w:bottom w:w="80" w:type="dxa"/>
              <w:right w:w="120" w:type="dxa"/>
            </w:tcMar>
            <w:vAlign w:val="center"/>
          </w:tcPr>
          <w:p w14:paraId="066F337B" w14:textId="77777777" w:rsidR="00CA5CE6" w:rsidRDefault="00000000">
            <w:pPr>
              <w:spacing w:line="240" w:lineRule="auto"/>
              <w:jc w:val="left"/>
            </w:pPr>
            <w:r>
              <w:rPr>
                <w:sz w:val="18"/>
              </w:rPr>
              <w:t>试验患者ECOG较好；GENIE可能隐藏试验药且缺实际剂量。</w:t>
            </w:r>
          </w:p>
        </w:tc>
        <w:tc>
          <w:tcPr>
            <w:tcW w:w="4191" w:type="dxa"/>
            <w:tcMar>
              <w:top w:w="80" w:type="dxa"/>
              <w:left w:w="120" w:type="dxa"/>
              <w:bottom w:w="80" w:type="dxa"/>
              <w:right w:w="120" w:type="dxa"/>
            </w:tcMar>
            <w:vAlign w:val="center"/>
          </w:tcPr>
          <w:p w14:paraId="73169B12" w14:textId="77777777" w:rsidR="00CA5CE6" w:rsidRDefault="00000000">
            <w:pPr>
              <w:spacing w:line="240" w:lineRule="auto"/>
              <w:jc w:val="left"/>
            </w:pPr>
            <w:r>
              <w:rPr>
                <w:sz w:val="18"/>
              </w:rPr>
              <w:t>记录选择偏倚和遮蔽状态；不把未知药物或剂量推断为确定值。</w:t>
            </w:r>
          </w:p>
        </w:tc>
      </w:tr>
      <w:tr w:rsidR="00CA5CE6" w14:paraId="4555898D" w14:textId="77777777">
        <w:tc>
          <w:tcPr>
            <w:tcW w:w="1847" w:type="dxa"/>
            <w:tcMar>
              <w:top w:w="80" w:type="dxa"/>
              <w:left w:w="120" w:type="dxa"/>
              <w:bottom w:w="80" w:type="dxa"/>
              <w:right w:w="120" w:type="dxa"/>
            </w:tcMar>
            <w:vAlign w:val="center"/>
          </w:tcPr>
          <w:p w14:paraId="7463DF9E" w14:textId="77777777" w:rsidR="00CA5CE6" w:rsidRDefault="00000000">
            <w:pPr>
              <w:spacing w:line="240" w:lineRule="auto"/>
              <w:jc w:val="left"/>
            </w:pPr>
            <w:r>
              <w:rPr>
                <w:sz w:val="18"/>
              </w:rPr>
              <w:t>跨源重复或伪拼接</w:t>
            </w:r>
          </w:p>
        </w:tc>
        <w:tc>
          <w:tcPr>
            <w:tcW w:w="3480" w:type="dxa"/>
            <w:tcMar>
              <w:top w:w="80" w:type="dxa"/>
              <w:left w:w="120" w:type="dxa"/>
              <w:bottom w:w="80" w:type="dxa"/>
              <w:right w:w="120" w:type="dxa"/>
            </w:tcMar>
            <w:vAlign w:val="center"/>
          </w:tcPr>
          <w:p w14:paraId="3686AB48" w14:textId="77777777" w:rsidR="00CA5CE6" w:rsidRDefault="00000000">
            <w:pPr>
              <w:spacing w:line="240" w:lineRule="auto"/>
              <w:jc w:val="left"/>
            </w:pPr>
            <w:r>
              <w:rPr>
                <w:sz w:val="18"/>
              </w:rPr>
              <w:t>聚合平台可能重复收录，且不同队列不是同一患者。</w:t>
            </w:r>
          </w:p>
        </w:tc>
        <w:tc>
          <w:tcPr>
            <w:tcW w:w="4191" w:type="dxa"/>
            <w:tcMar>
              <w:top w:w="80" w:type="dxa"/>
              <w:left w:w="120" w:type="dxa"/>
              <w:bottom w:w="80" w:type="dxa"/>
              <w:right w:w="120" w:type="dxa"/>
            </w:tcMar>
            <w:vAlign w:val="center"/>
          </w:tcPr>
          <w:p w14:paraId="6765BECC" w14:textId="77777777" w:rsidR="00CA5CE6" w:rsidRDefault="00000000">
            <w:pPr>
              <w:spacing w:line="240" w:lineRule="auto"/>
              <w:jc w:val="left"/>
            </w:pPr>
            <w:r>
              <w:rPr>
                <w:sz w:val="18"/>
              </w:rPr>
              <w:t>执行重叠审计；来源隔离；禁止患者级横向拼接。</w:t>
            </w:r>
          </w:p>
        </w:tc>
      </w:tr>
      <w:tr w:rsidR="00CA5CE6" w14:paraId="4555898D" w14:textId="77777777">
        <w:tc>
          <w:tcPr>
            <w:tcW w:w="1847" w:type="dxa"/>
            <w:tcMar>
              <w:top w:w="80" w:type="dxa"/>
              <w:left w:w="120" w:type="dxa"/>
              <w:bottom w:w="80" w:type="dxa"/>
              <w:right w:w="120" w:type="dxa"/>
            </w:tcMar>
            <w:vAlign w:val="center"/>
          </w:tcPr>
          <w:p w14:paraId="7463DF9E" w14:textId="77777777" w:rsidR="00CA5CE6" w:rsidRDefault="00000000">
            <w:pPr>
              <w:spacing w:line="240" w:lineRule="auto"/>
              <w:jc w:val="left"/>
            </w:pPr>
            <w:r>
              <w:rPr>
                <w:sz w:val="18"/>
              </w:rPr>
              <w:t>观察结局偏倚</w:t>
            </w:r>
          </w:p>
        </w:tc>
        <w:tc>
          <w:tcPr>
            <w:tcW w:w="3480" w:type="dxa"/>
            <w:tcMar>
              <w:top w:w="80" w:type="dxa"/>
              <w:left w:w="120" w:type="dxa"/>
              <w:bottom w:w="80" w:type="dxa"/>
              <w:right w:w="120" w:type="dxa"/>
            </w:tcMar>
            <w:vAlign w:val="center"/>
          </w:tcPr>
          <w:p w14:paraId="3686AB48" w14:textId="77777777" w:rsidR="00CA5CE6" w:rsidRDefault="00000000">
            <w:pPr>
              <w:spacing w:line="240" w:lineRule="auto"/>
              <w:jc w:val="left"/>
            </w:pPr>
            <w:r>
              <w:rPr>
                <w:sz w:val="18"/>
              </w:rPr>
              <w:t>实际接受方案及较长生存不等于当时最佳方案。</w:t>
            </w:r>
          </w:p>
        </w:tc>
        <w:tc>
          <w:tcPr>
            <w:tcW w:w="4191" w:type="dxa"/>
            <w:tcMar>
              <w:top w:w="80" w:type="dxa"/>
              <w:left w:w="120" w:type="dxa"/>
              <w:bottom w:w="80" w:type="dxa"/>
              <w:right w:w="120" w:type="dxa"/>
            </w:tcMar>
            <w:vAlign w:val="center"/>
          </w:tcPr>
          <w:p w14:paraId="6765BECC" w14:textId="77777777" w:rsidR="00CA5CE6" w:rsidRDefault="00000000">
            <w:pPr>
              <w:spacing w:line="240" w:lineRule="auto"/>
              <w:jc w:val="left"/>
            </w:pPr>
            <w:r>
              <w:rPr>
                <w:sz w:val="18"/>
              </w:rPr>
              <w:t>结局仅作辅助评价；参考标签来自冻结证据与专家复核。</w:t>
            </w:r>
          </w:p>
        </w:tc>
      </w:tr>
      <w:tr w:rsidR="00CA5CE6" w14:paraId="4555898D" w14:textId="77777777">
        <w:tc>
          <w:tcPr>
            <w:tcW w:w="1847" w:type="dxa"/>
            <w:tcMar>
              <w:top w:w="80" w:type="dxa"/>
              <w:left w:w="120" w:type="dxa"/>
              <w:bottom w:w="80" w:type="dxa"/>
              <w:right w:w="120" w:type="dxa"/>
            </w:tcMar>
            <w:vAlign w:val="center"/>
          </w:tcPr>
          <w:p w14:paraId="7463DF9E" w14:textId="77777777" w:rsidR="00CA5CE6" w:rsidRDefault="00000000">
            <w:pPr>
              <w:spacing w:line="240" w:lineRule="auto"/>
              <w:jc w:val="left"/>
            </w:pPr>
            <w:r>
              <w:rPr>
                <w:sz w:val="18"/>
              </w:rPr>
              <w:t>版本与许可</w:t>
            </w:r>
          </w:p>
        </w:tc>
        <w:tc>
          <w:tcPr>
            <w:tcW w:w="3480" w:type="dxa"/>
            <w:tcMar>
              <w:top w:w="80" w:type="dxa"/>
              <w:left w:w="120" w:type="dxa"/>
              <w:bottom w:w="80" w:type="dxa"/>
              <w:right w:w="120" w:type="dxa"/>
            </w:tcMar>
            <w:vAlign w:val="center"/>
          </w:tcPr>
          <w:p w14:paraId="3686AB48" w14:textId="77777777" w:rsidR="00CA5CE6" w:rsidRDefault="00000000">
            <w:pPr>
              <w:spacing w:line="240" w:lineRule="auto"/>
              <w:jc w:val="left"/>
            </w:pPr>
            <w:r>
              <w:rPr>
                <w:sz w:val="18"/>
              </w:rPr>
              <w:t>指南、知识库、标签和受控数据持续更新且许可不同。</w:t>
            </w:r>
          </w:p>
        </w:tc>
        <w:tc>
          <w:tcPr>
            <w:tcW w:w="4191" w:type="dxa"/>
            <w:tcMar>
              <w:top w:w="80" w:type="dxa"/>
              <w:left w:w="120" w:type="dxa"/>
              <w:bottom w:w="80" w:type="dxa"/>
              <w:right w:w="120" w:type="dxa"/>
            </w:tcMar>
            <w:vAlign w:val="center"/>
          </w:tcPr>
          <w:p w14:paraId="6765BECC" w14:textId="77777777" w:rsidR="00CA5CE6" w:rsidRDefault="00000000">
            <w:pPr>
              <w:spacing w:line="240" w:lineRule="auto"/>
              <w:jc w:val="left"/>
            </w:pPr>
            <w:r>
              <w:rPr>
                <w:sz w:val="18"/>
              </w:rPr>
              <w:t>冻结快照与截止日；保留来源；不再分发受限内容。</w:t>
            </w:r>
          </w:p>
        </w:tc>
      </w:tr>
      <w:tr w:rsidR="00CA5CE6" w14:paraId="4555898D" w14:textId="77777777">
        <w:tc>
          <w:tcPr>
            <w:tcW w:w="1847" w:type="dxa"/>
            <w:tcMar>
              <w:top w:w="80" w:type="dxa"/>
              <w:left w:w="120" w:type="dxa"/>
              <w:bottom w:w="80" w:type="dxa"/>
              <w:right w:w="120" w:type="dxa"/>
            </w:tcMar>
            <w:vAlign w:val="center"/>
          </w:tcPr>
          <w:p w14:paraId="7463DF9E" w14:textId="77777777" w:rsidR="00CA5CE6" w:rsidRDefault="00000000">
            <w:pPr>
              <w:spacing w:line="240" w:lineRule="auto"/>
              <w:jc w:val="left"/>
            </w:pPr>
            <w:r>
              <w:rPr>
                <w:sz w:val="18"/>
              </w:rPr>
              <w:t>临床误用</w:t>
            </w:r>
          </w:p>
        </w:tc>
        <w:tc>
          <w:tcPr>
            <w:tcW w:w="3480" w:type="dxa"/>
            <w:tcMar>
              <w:top w:w="80" w:type="dxa"/>
              <w:left w:w="120" w:type="dxa"/>
              <w:bottom w:w="80" w:type="dxa"/>
              <w:right w:w="120" w:type="dxa"/>
            </w:tcMar>
            <w:vAlign w:val="center"/>
          </w:tcPr>
          <w:p w14:paraId="3686AB48" w14:textId="77777777" w:rsidR="00CA5CE6" w:rsidRDefault="00000000">
            <w:pPr>
              <w:spacing w:line="240" w:lineRule="auto"/>
              <w:jc w:val="left"/>
            </w:pPr>
            <w:r>
              <w:rPr>
                <w:sz w:val="18"/>
              </w:rPr>
              <w:t>候选标签被理解为处方、剂量或替代MDT。</w:t>
            </w:r>
          </w:p>
        </w:tc>
        <w:tc>
          <w:tcPr>
            <w:tcW w:w="4191" w:type="dxa"/>
            <w:tcMar>
              <w:top w:w="80" w:type="dxa"/>
              <w:left w:w="120" w:type="dxa"/>
              <w:bottom w:w="80" w:type="dxa"/>
              <w:right w:w="120" w:type="dxa"/>
            </w:tcMar>
            <w:vAlign w:val="center"/>
          </w:tcPr>
          <w:p w14:paraId="6765BECC" w14:textId="77777777" w:rsidR="00CA5CE6" w:rsidRDefault="00000000">
            <w:pPr>
              <w:spacing w:line="240" w:lineRule="auto"/>
              <w:jc w:val="left"/>
            </w:pPr>
            <w:r>
              <w:rPr>
                <w:sz w:val="18"/>
              </w:rPr>
              <w:t>不输出剂量处方；明确研究用途、弃权边界和MDT最终决策权。</w:t>
            </w:r>
          </w:p>
        </w:tc>
      </w:tr>
    </w:tbl>
    <w:p w14:paraId="7D8AC035" w14:textId="77777777" w:rsidR="00CA5CE6" w:rsidRDefault="00CA5CE6">
      <w:pPr>
        <w:spacing w:line="120" w:lineRule="auto"/>
      </w:pPr>
    </w:p>
    <w:p w14:paraId="4EFCB73A" w14:textId="77777777" w:rsidR="00CA5CE6" w:rsidRDefault="00000000">
      <w:pPr>
        <w:pStyle w:val="Heading1"/>
      </w:pPr>
      <w:r>
        <w:rPr>
          <w:rFonts w:ascii="Times New Roman" w:eastAsia="SimSun" w:hAnsi="Times New Roman" w:cs="Times New Roman"/>
        </w:rPr>
        <w:t xml:space="preserve">4 </w:t>
      </w:r>
      <w:r>
        <w:rPr>
          <w:rFonts w:ascii="Times New Roman" w:eastAsia="SimSun" w:hAnsi="Times New Roman" w:cs="Times New Roman"/>
        </w:rPr>
        <w:t>研究目标与研究内容</w:t>
      </w:r>
    </w:p>
    <w:p w14:paraId="500DFD38" w14:textId="77777777" w:rsidR="00CA5CE6" w:rsidRDefault="00000000">
      <w:pPr>
        <w:pStyle w:val="Heading2"/>
      </w:pPr>
      <w:r>
        <w:rPr>
          <w:rFonts w:ascii="Times New Roman" w:eastAsia="SimSun" w:hAnsi="Times New Roman" w:cs="Times New Roman"/>
        </w:rPr>
        <w:t xml:space="preserve">4.1 </w:t>
      </w:r>
      <w:r>
        <w:rPr>
          <w:rFonts w:ascii="Times New Roman" w:eastAsia="SimSun" w:hAnsi="Times New Roman" w:cs="Times New Roman"/>
        </w:rPr>
        <w:t>研究目标</w:t>
      </w:r>
    </w:p>
    <w:p w14:paraId="43B81C51" w14:textId="77777777" w:rsidR="00CA5CE6" w:rsidRDefault="00000000">
      <w:pPr>
        <w:spacing w:after="80" w:line="324" w:lineRule="auto"/>
        <w:ind w:firstLine="480"/>
      </w:pPr>
      <w:r>
        <w:t>本研究总目标是构建一个可复现、可审计、范围明确的晚期PDAC候选治疗识别Benchmark。</w:t>
      </w:r>
    </w:p>
    <w:p w14:paraId="09233A81" w14:textId="77777777" w:rsidR="00CA5CE6" w:rsidRDefault="00000000">
      <w:pPr>
        <w:pStyle w:val="ListParagraph"/>
        <w:numPr>
          <w:ilvl w:val="0"/>
          <w:numId w:val="6"/>
        </w:numPr>
        <w:spacing w:line="324" w:lineRule="auto"/>
      </w:pPr>
      <w:r>
        <w:rPr>
          <w:rFonts w:ascii="Arial" w:hAnsi="Arial"/>
          <w:sz w:val="21"/>
        </w:rPr>
        <w:t>完成PDAC病例schema、候选方案池、证据schema、约束schema、双轨数据接口和预测提交格式。</w:t>
      </w:r>
    </w:p>
    <w:p w14:paraId="278809A2" w14:textId="77777777" w:rsidR="00CA5CE6" w:rsidRDefault="00000000">
      <w:pPr>
        <w:pStyle w:val="ListParagraph"/>
        <w:numPr>
          <w:ilvl w:val="0"/>
          <w:numId w:val="6"/>
        </w:numPr>
        <w:spacing w:line="324" w:lineRule="auto"/>
      </w:pPr>
      <w:r>
        <w:rPr>
          <w:rFonts w:ascii="Arial" w:hAnsi="Arial"/>
          <w:sz w:val="21"/>
        </w:rPr>
        <w:t>完成Pilot/Core/Extended三层数据、时间外测试、来源外测试与安全挑战集。</w:t>
      </w:r>
    </w:p>
    <w:p w14:paraId="28E64A1E" w14:textId="77777777" w:rsidR="00CA5CE6" w:rsidRDefault="00000000">
      <w:pPr>
        <w:pStyle w:val="ListParagraph"/>
        <w:numPr>
          <w:ilvl w:val="0"/>
          <w:numId w:val="6"/>
        </w:numPr>
        <w:spacing w:line="324" w:lineRule="auto"/>
      </w:pPr>
      <w:r>
        <w:rPr>
          <w:rFonts w:ascii="Arial" w:hAnsi="Arial"/>
          <w:sz w:val="21"/>
        </w:rPr>
        <w:t>实现三个核心基线和统一评测脚本。</w:t>
      </w:r>
    </w:p>
    <w:p w14:paraId="25B63891" w14:textId="77777777" w:rsidR="00CA5CE6" w:rsidRDefault="00000000">
      <w:pPr>
        <w:pStyle w:val="ListParagraph"/>
        <w:numPr>
          <w:ilvl w:val="0"/>
          <w:numId w:val="6"/>
        </w:numPr>
        <w:spacing w:line="324" w:lineRule="auto"/>
      </w:pPr>
      <w:r>
        <w:rPr>
          <w:rFonts w:ascii="Arial" w:hAnsi="Arial"/>
          <w:sz w:val="21"/>
        </w:rPr>
        <w:t>形成候选状态、证据方向、临床约束、排序和弃权指标体系。</w:t>
      </w:r>
    </w:p>
    <w:p w14:paraId="5AA4DA15" w14:textId="77777777" w:rsidR="00CA5CE6" w:rsidRDefault="00000000">
      <w:pPr>
        <w:pStyle w:val="ListParagraph"/>
        <w:numPr>
          <w:ilvl w:val="0"/>
          <w:numId w:val="6"/>
        </w:numPr>
        <w:spacing w:line="324" w:lineRule="auto"/>
      </w:pPr>
      <w:r>
        <w:rPr>
          <w:rFonts w:ascii="Arial" w:hAnsi="Arial"/>
          <w:sz w:val="21"/>
        </w:rPr>
        <w:t>完成主实验、分层结果、泄漏审计、错误分析和研究论文初稿。</w:t>
      </w:r>
    </w:p>
    <w:p w14:paraId="014F3571" w14:textId="77777777" w:rsidR="00CA5CE6" w:rsidRDefault="00000000">
      <w:pPr>
        <w:pStyle w:val="Heading2"/>
      </w:pPr>
      <w:r>
        <w:rPr>
          <w:rFonts w:ascii="Times New Roman" w:eastAsia="SimSun" w:hAnsi="Times New Roman" w:cs="Times New Roman"/>
        </w:rPr>
        <w:t xml:space="preserve">4.2 </w:t>
      </w:r>
      <w:r>
        <w:rPr>
          <w:rFonts w:ascii="Times New Roman" w:eastAsia="SimSun" w:hAnsi="Times New Roman" w:cs="Times New Roman"/>
        </w:rPr>
        <w:t>研究内容</w:t>
      </w:r>
    </w:p>
    <w:p w14:paraId="56C1F369" w14:textId="77777777" w:rsidR="00CA5CE6" w:rsidRDefault="00000000">
      <w:pPr>
        <w:pStyle w:val="Heading3"/>
      </w:pPr>
      <w:r>
        <w:rPr>
          <w:rFonts w:ascii="Times New Roman" w:eastAsia="SimSun" w:hAnsi="Times New Roman" w:cs="Times New Roman"/>
        </w:rPr>
        <w:t xml:space="preserve">4.2.1 </w:t>
      </w:r>
      <w:r>
        <w:rPr>
          <w:rFonts w:ascii="Times New Roman" w:eastAsia="SimSun" w:hAnsi="Times New Roman" w:cs="Times New Roman"/>
        </w:rPr>
        <w:t>任务定义与问题形式化</w:t>
      </w:r>
    </w:p>
    <w:p w14:paraId="69A3E84C" w14:textId="77777777" w:rsidR="00CA5CE6" w:rsidRDefault="00000000">
      <w:pPr>
        <w:spacing w:after="80" w:line="324" w:lineRule="auto"/>
        <w:ind w:firstLine="480"/>
      </w:pPr>
      <w:r>
        <w:t>输入为结构化患者病例P：病理、分期与可切除性C，分子事件及检测范围G，既往治疗、疗效与耐药H，ECOG、胆红素、肝肾功能、血常规和营养状态O，重要毒性/并发症/合并用药X，数据轨道S和知识时间点T。候选空间D为预先冻结的PDAC治疗方案及生物标志物匹配药物，不输出具体剂量。</w:t>
      </w:r>
    </w:p>
    <w:p w14:paraId="50139927" w14:textId="77777777" w:rsidR="00CA5CE6" w:rsidRDefault="00000000">
      <w:pPr>
        <w:spacing w:after="80" w:line="324" w:lineRule="auto"/>
        <w:ind w:firstLine="480"/>
      </w:pPr>
      <w:r>
        <w:t>对每个候选输出四类状态y∈{可考虑、条件性适用、应排除、证据不足}，并绑定支持证据、反向证据、证据等级、适用条件、约束理由、数据缺口和置信度。Benchmark分别评价候选识别、证据核验、约束判定、排序和弃权。</w:t>
      </w:r>
    </w:p>
    <w:p w14:paraId="1AE75C70" w14:textId="77777777" w:rsidR="00CA5CE6" w:rsidRDefault="00000000">
      <w:pPr>
        <w:pStyle w:val="Heading3"/>
      </w:pPr>
      <w:r>
        <w:rPr>
          <w:rFonts w:ascii="Times New Roman" w:eastAsia="SimSun" w:hAnsi="Times New Roman" w:cs="Times New Roman"/>
        </w:rPr>
        <w:t xml:space="preserve">4.2.2 </w:t>
      </w:r>
      <w:r>
        <w:rPr>
          <w:rFonts w:ascii="Times New Roman" w:eastAsia="SimSun" w:hAnsi="Times New Roman" w:cs="Times New Roman"/>
        </w:rPr>
        <w:t>数据集构建与划分策略</w:t>
      </w:r>
    </w:p>
    <w:p w14:paraId="38D20469" w14:textId="77777777" w:rsidR="00CA5CE6" w:rsidRDefault="00000000">
      <w:pPr>
        <w:spacing w:after="80" w:line="324" w:lineRule="auto"/>
        <w:ind w:firstLine="480"/>
      </w:pPr>
      <w:r>
        <w:t>开发集以规则构造及非Core病例为主；Core锁定测试。按患者ID和来源进行组级划分；时间外测试按证据发布日期切分；来源外测试保留独立数据源；安全挑战集集中覆盖胆红素升高、骨髓储备不足、ECOG较差、严重神经毒性、DPYD/UGT1A1风险、药物相互作用及关键信息缺失。</w:t>
      </w:r>
    </w:p>
    <w:p w14:paraId="6C00142C" w14:textId="77777777" w:rsidR="00CA5CE6" w:rsidRDefault="00000000">
      <w:pPr>
        <w:spacing w:after="80" w:line="324" w:lineRule="auto"/>
        <w:ind w:firstLine="480"/>
      </w:pPr>
      <w:r>
        <w:t>同一患者、同一病例改写、同一证据片段和同一患者骨架不得跨集合；对GENIE、cBioPortal、TCGA/CPTAC等潜在重复来源执行项目ID、样本ID和元数据重叠审计。Track A与Track B分别训练和报告，禁止按患者级字段横向合并。若后续获得合规本地病例，仅作为独立扩展测试。</w:t>
      </w:r>
    </w:p>
    <w:p w14:paraId="5A12C8A1" w14:textId="77777777" w:rsidR="00CA5CE6" w:rsidRDefault="00000000">
      <w:pPr>
        <w:pStyle w:val="Heading3"/>
      </w:pPr>
      <w:r>
        <w:rPr>
          <w:rFonts w:ascii="Times New Roman" w:eastAsia="SimSun" w:hAnsi="Times New Roman" w:cs="Times New Roman"/>
        </w:rPr>
        <w:t xml:space="preserve">4.2.3 </w:t>
      </w:r>
      <w:r>
        <w:rPr>
          <w:rFonts w:ascii="Times New Roman" w:eastAsia="SimSun" w:hAnsi="Times New Roman" w:cs="Times New Roman"/>
        </w:rPr>
        <w:t>评估方法与指标</w:t>
      </w:r>
    </w:p>
    <w:p w14:paraId="1DA7B0DE" w14:textId="77777777" w:rsidR="00CA5CE6" w:rsidRDefault="00000000">
      <w:pPr>
        <w:spacing w:after="80" w:line="324" w:lineRule="auto"/>
        <w:ind w:firstLine="480"/>
      </w:pPr>
      <w:r>
        <w:t>评价不以单一总分代表临床价值。主指标为四类候选状态Macro-F1和高风险约束违反率；辅助指标覆盖Recall@K/nDCG@K、证据方向与引用支持、AURC/Risk-Coverage及最差亚组表现。Track A、Track B和合成挑战集分别报告，避免数据质量差异被平均值掩盖。</w:t>
      </w:r>
    </w:p>
    <w:tbl>
      <w:tblPr>
        <w:tblStyle w:val="TableGrid"/>
        <w:tblW w:w="9518" w:type="dxa"/>
        <w:tblInd w:w="120" w:type="dxa"/>
        <w:tblLayout w:type="fixed"/>
        <w:tblLook w:val="04A0" w:firstRow="1" w:lastRow="0" w:firstColumn="1" w:lastColumn="0" w:noHBand="0" w:noVBand="1"/>
      </w:tblPr>
      <w:tblGrid>
        <w:gridCol w:w="1705"/>
        <w:gridCol w:w="3338"/>
        <w:gridCol w:w="4475"/>
      </w:tblGrid>
      <w:tr w:rsidR="00CA5CE6" w14:paraId="22E2D6DD" w14:textId="77777777">
        <w:trPr>
          <w:tblHeader/>
        </w:trPr>
        <w:tc>
          <w:tcPr>
            <w:tcW w:w="1705" w:type="dxa"/>
            <w:shd w:val="clear" w:color="auto" w:fill="D9EAF7"/>
            <w:tcMar>
              <w:top w:w="80" w:type="dxa"/>
              <w:left w:w="120" w:type="dxa"/>
              <w:bottom w:w="80" w:type="dxa"/>
              <w:right w:w="120" w:type="dxa"/>
            </w:tcMar>
            <w:vAlign w:val="center"/>
          </w:tcPr>
          <w:p w14:paraId="4538E919" w14:textId="77777777" w:rsidR="00CA5CE6" w:rsidRDefault="00000000">
            <w:pPr>
              <w:spacing w:line="240" w:lineRule="auto"/>
              <w:jc w:val="center"/>
            </w:pPr>
            <w:r>
              <w:rPr>
                <w:rFonts w:eastAsia="SimHei"/>
                <w:b/>
                <w:sz w:val="18"/>
              </w:rPr>
              <w:t>评价维度</w:t>
            </w:r>
          </w:p>
        </w:tc>
        <w:tc>
          <w:tcPr>
            <w:tcW w:w="3338" w:type="dxa"/>
            <w:shd w:val="clear" w:color="auto" w:fill="D9EAF7"/>
            <w:tcMar>
              <w:top w:w="80" w:type="dxa"/>
              <w:left w:w="120" w:type="dxa"/>
              <w:bottom w:w="80" w:type="dxa"/>
              <w:right w:w="120" w:type="dxa"/>
            </w:tcMar>
            <w:vAlign w:val="center"/>
          </w:tcPr>
          <w:p w14:paraId="3353439E" w14:textId="77777777" w:rsidR="00CA5CE6" w:rsidRDefault="00000000">
            <w:pPr>
              <w:spacing w:line="240" w:lineRule="auto"/>
              <w:jc w:val="center"/>
            </w:pPr>
            <w:r>
              <w:rPr>
                <w:rFonts w:eastAsia="SimHei"/>
                <w:b/>
                <w:sz w:val="18"/>
              </w:rPr>
              <w:t>指标</w:t>
            </w:r>
          </w:p>
        </w:tc>
        <w:tc>
          <w:tcPr>
            <w:tcW w:w="4475" w:type="dxa"/>
            <w:shd w:val="clear" w:color="auto" w:fill="D9EAF7"/>
            <w:tcMar>
              <w:top w:w="80" w:type="dxa"/>
              <w:left w:w="120" w:type="dxa"/>
              <w:bottom w:w="80" w:type="dxa"/>
              <w:right w:w="120" w:type="dxa"/>
            </w:tcMar>
            <w:vAlign w:val="center"/>
          </w:tcPr>
          <w:p w14:paraId="1C55CE94" w14:textId="77777777" w:rsidR="00CA5CE6" w:rsidRDefault="00000000">
            <w:pPr>
              <w:spacing w:line="240" w:lineRule="auto"/>
              <w:jc w:val="center"/>
            </w:pPr>
            <w:r>
              <w:rPr>
                <w:rFonts w:eastAsia="SimHei"/>
                <w:b/>
                <w:sz w:val="18"/>
              </w:rPr>
              <w:t>指标解释与预期作用</w:t>
            </w:r>
          </w:p>
        </w:tc>
      </w:tr>
      <w:tr w:rsidR="00CA5CE6" w14:paraId="170BBFE8" w14:textId="77777777">
        <w:tc>
          <w:tcPr>
            <w:tcW w:w="1705" w:type="dxa"/>
            <w:tcMar>
              <w:top w:w="80" w:type="dxa"/>
              <w:left w:w="120" w:type="dxa"/>
              <w:bottom w:w="80" w:type="dxa"/>
              <w:right w:w="120" w:type="dxa"/>
            </w:tcMar>
            <w:vAlign w:val="center"/>
          </w:tcPr>
          <w:p w14:paraId="7359A09E" w14:textId="77777777" w:rsidR="00CA5CE6" w:rsidRDefault="00000000">
            <w:pPr>
              <w:spacing w:line="240" w:lineRule="auto"/>
              <w:jc w:val="left"/>
            </w:pPr>
            <w:r>
              <w:rPr>
                <w:sz w:val="18"/>
              </w:rPr>
              <w:t>候选状态</w:t>
            </w:r>
          </w:p>
        </w:tc>
        <w:tc>
          <w:tcPr>
            <w:tcW w:w="3338" w:type="dxa"/>
            <w:tcMar>
              <w:top w:w="80" w:type="dxa"/>
              <w:left w:w="120" w:type="dxa"/>
              <w:bottom w:w="80" w:type="dxa"/>
              <w:right w:w="120" w:type="dxa"/>
            </w:tcMar>
            <w:vAlign w:val="center"/>
          </w:tcPr>
          <w:p w14:paraId="5073C06A" w14:textId="77777777" w:rsidR="00CA5CE6" w:rsidRDefault="00000000">
            <w:pPr>
              <w:spacing w:line="240" w:lineRule="auto"/>
              <w:jc w:val="left"/>
            </w:pPr>
            <w:r>
              <w:rPr>
                <w:sz w:val="18"/>
              </w:rPr>
              <w:t>Macro-F1、每类Recall/Precision</w:t>
            </w:r>
          </w:p>
        </w:tc>
        <w:tc>
          <w:tcPr>
            <w:tcW w:w="4475" w:type="dxa"/>
            <w:tcMar>
              <w:top w:w="80" w:type="dxa"/>
              <w:left w:w="120" w:type="dxa"/>
              <w:bottom w:w="80" w:type="dxa"/>
              <w:right w:w="120" w:type="dxa"/>
            </w:tcMar>
            <w:vAlign w:val="center"/>
          </w:tcPr>
          <w:p w14:paraId="03A97575" w14:textId="77777777" w:rsidR="00CA5CE6" w:rsidRDefault="00000000">
            <w:pPr>
              <w:spacing w:line="240" w:lineRule="auto"/>
              <w:jc w:val="left"/>
            </w:pPr>
            <w:r>
              <w:rPr>
                <w:sz w:val="18"/>
              </w:rPr>
              <w:t>评价可考虑、条件性、排除和证据不足四分类。</w:t>
            </w:r>
          </w:p>
        </w:tc>
      </w:tr>
      <w:tr w:rsidR="00CA5CE6" w14:paraId="51536402" w14:textId="77777777">
        <w:tc>
          <w:tcPr>
            <w:tcW w:w="1705" w:type="dxa"/>
            <w:tcMar>
              <w:top w:w="80" w:type="dxa"/>
              <w:left w:w="120" w:type="dxa"/>
              <w:bottom w:w="80" w:type="dxa"/>
              <w:right w:w="120" w:type="dxa"/>
            </w:tcMar>
            <w:vAlign w:val="center"/>
          </w:tcPr>
          <w:p w14:paraId="38CDD5D0" w14:textId="77777777" w:rsidR="00CA5CE6" w:rsidRDefault="00000000">
            <w:pPr>
              <w:spacing w:line="240" w:lineRule="auto"/>
              <w:jc w:val="left"/>
            </w:pPr>
            <w:r>
              <w:rPr>
                <w:sz w:val="18"/>
              </w:rPr>
              <w:t>候选排序</w:t>
            </w:r>
          </w:p>
        </w:tc>
        <w:tc>
          <w:tcPr>
            <w:tcW w:w="3338" w:type="dxa"/>
            <w:tcMar>
              <w:top w:w="80" w:type="dxa"/>
              <w:left w:w="120" w:type="dxa"/>
              <w:bottom w:w="80" w:type="dxa"/>
              <w:right w:w="120" w:type="dxa"/>
            </w:tcMar>
            <w:vAlign w:val="center"/>
          </w:tcPr>
          <w:p w14:paraId="4B905EAF" w14:textId="77777777" w:rsidR="00CA5CE6" w:rsidRDefault="00000000">
            <w:pPr>
              <w:spacing w:line="240" w:lineRule="auto"/>
              <w:jc w:val="left"/>
            </w:pPr>
            <w:r>
              <w:rPr>
                <w:sz w:val="18"/>
              </w:rPr>
              <w:t>Recall@K、nDCG@K</w:t>
            </w:r>
          </w:p>
        </w:tc>
        <w:tc>
          <w:tcPr>
            <w:tcW w:w="4475" w:type="dxa"/>
            <w:tcMar>
              <w:top w:w="80" w:type="dxa"/>
              <w:left w:w="120" w:type="dxa"/>
              <w:bottom w:w="80" w:type="dxa"/>
              <w:right w:w="120" w:type="dxa"/>
            </w:tcMar>
            <w:vAlign w:val="center"/>
          </w:tcPr>
          <w:p w14:paraId="7C8D3C68" w14:textId="77777777" w:rsidR="00CA5CE6" w:rsidRDefault="00000000">
            <w:pPr>
              <w:spacing w:line="240" w:lineRule="auto"/>
              <w:jc w:val="left"/>
            </w:pPr>
            <w:r>
              <w:rPr>
                <w:sz w:val="18"/>
              </w:rPr>
              <w:t>评价可接受候选是否进入Top-K及顺序。</w:t>
            </w:r>
          </w:p>
        </w:tc>
      </w:tr>
      <w:tr w:rsidR="00CA5CE6" w14:paraId="224A6866" w14:textId="77777777">
        <w:tc>
          <w:tcPr>
            <w:tcW w:w="1705" w:type="dxa"/>
            <w:tcMar>
              <w:top w:w="80" w:type="dxa"/>
              <w:left w:w="120" w:type="dxa"/>
              <w:bottom w:w="80" w:type="dxa"/>
              <w:right w:w="120" w:type="dxa"/>
            </w:tcMar>
            <w:vAlign w:val="center"/>
          </w:tcPr>
          <w:p w14:paraId="07306EBB" w14:textId="77777777" w:rsidR="00CA5CE6" w:rsidRDefault="00000000">
            <w:pPr>
              <w:spacing w:line="240" w:lineRule="auto"/>
              <w:jc w:val="left"/>
            </w:pPr>
            <w:r>
              <w:rPr>
                <w:sz w:val="18"/>
              </w:rPr>
              <w:t>证据质量</w:t>
            </w:r>
          </w:p>
        </w:tc>
        <w:tc>
          <w:tcPr>
            <w:tcW w:w="3338" w:type="dxa"/>
            <w:tcMar>
              <w:top w:w="80" w:type="dxa"/>
              <w:left w:w="120" w:type="dxa"/>
              <w:bottom w:w="80" w:type="dxa"/>
              <w:right w:w="120" w:type="dxa"/>
            </w:tcMar>
            <w:vAlign w:val="center"/>
          </w:tcPr>
          <w:p w14:paraId="6814B2C7" w14:textId="77777777" w:rsidR="00CA5CE6" w:rsidRDefault="00000000">
            <w:pPr>
              <w:spacing w:line="240" w:lineRule="auto"/>
              <w:jc w:val="left"/>
            </w:pPr>
            <w:r>
              <w:rPr>
                <w:sz w:val="18"/>
              </w:rPr>
              <w:t>Direction Macro-F1、Citation Support Precision</w:t>
            </w:r>
          </w:p>
        </w:tc>
        <w:tc>
          <w:tcPr>
            <w:tcW w:w="4475" w:type="dxa"/>
            <w:tcMar>
              <w:top w:w="80" w:type="dxa"/>
              <w:left w:w="120" w:type="dxa"/>
              <w:bottom w:w="80" w:type="dxa"/>
              <w:right w:w="120" w:type="dxa"/>
            </w:tcMar>
            <w:vAlign w:val="center"/>
          </w:tcPr>
          <w:p w14:paraId="7D1B7AFE" w14:textId="77777777" w:rsidR="00CA5CE6" w:rsidRDefault="00000000">
            <w:pPr>
              <w:spacing w:line="240" w:lineRule="auto"/>
              <w:jc w:val="left"/>
            </w:pPr>
            <w:r>
              <w:rPr>
                <w:sz w:val="18"/>
              </w:rPr>
              <w:t>评价证据方向与主张支持关系。</w:t>
            </w:r>
          </w:p>
        </w:tc>
      </w:tr>
      <w:tr w:rsidR="00CA5CE6" w14:paraId="14904074" w14:textId="77777777">
        <w:tc>
          <w:tcPr>
            <w:tcW w:w="1705" w:type="dxa"/>
            <w:tcMar>
              <w:top w:w="80" w:type="dxa"/>
              <w:left w:w="120" w:type="dxa"/>
              <w:bottom w:w="80" w:type="dxa"/>
              <w:right w:w="120" w:type="dxa"/>
            </w:tcMar>
            <w:vAlign w:val="center"/>
          </w:tcPr>
          <w:p w14:paraId="1B93C9C7" w14:textId="77777777" w:rsidR="00CA5CE6" w:rsidRDefault="00000000">
            <w:pPr>
              <w:spacing w:line="240" w:lineRule="auto"/>
              <w:jc w:val="left"/>
            </w:pPr>
            <w:r>
              <w:rPr>
                <w:sz w:val="18"/>
              </w:rPr>
              <w:t>约束安全</w:t>
            </w:r>
          </w:p>
        </w:tc>
        <w:tc>
          <w:tcPr>
            <w:tcW w:w="3338" w:type="dxa"/>
            <w:tcMar>
              <w:top w:w="80" w:type="dxa"/>
              <w:left w:w="120" w:type="dxa"/>
              <w:bottom w:w="80" w:type="dxa"/>
              <w:right w:w="120" w:type="dxa"/>
            </w:tcMar>
            <w:vAlign w:val="center"/>
          </w:tcPr>
          <w:p w14:paraId="0FB09E07" w14:textId="77777777" w:rsidR="00CA5CE6" w:rsidRDefault="00000000">
            <w:pPr>
              <w:spacing w:line="240" w:lineRule="auto"/>
              <w:jc w:val="left"/>
            </w:pPr>
            <w:r>
              <w:rPr>
                <w:sz w:val="18"/>
              </w:rPr>
              <w:t>High-risk Violation Rate、Constraint F1</w:t>
            </w:r>
          </w:p>
        </w:tc>
        <w:tc>
          <w:tcPr>
            <w:tcW w:w="4475" w:type="dxa"/>
            <w:tcMar>
              <w:top w:w="80" w:type="dxa"/>
              <w:left w:w="120" w:type="dxa"/>
              <w:bottom w:w="80" w:type="dxa"/>
              <w:right w:w="120" w:type="dxa"/>
            </w:tcMar>
            <w:vAlign w:val="center"/>
          </w:tcPr>
          <w:p w14:paraId="05AB3801" w14:textId="77777777" w:rsidR="00CA5CE6" w:rsidRDefault="00000000">
            <w:pPr>
              <w:spacing w:line="240" w:lineRule="auto"/>
              <w:jc w:val="left"/>
            </w:pPr>
            <w:r>
              <w:rPr>
                <w:sz w:val="18"/>
              </w:rPr>
              <w:t>严重错误独立计分，不被排序均值抵消。</w:t>
            </w:r>
          </w:p>
        </w:tc>
      </w:tr>
      <w:tr w:rsidR="00CA5CE6" w14:paraId="48FE8D2E" w14:textId="77777777">
        <w:tc>
          <w:tcPr>
            <w:tcW w:w="1705" w:type="dxa"/>
            <w:tcMar>
              <w:top w:w="80" w:type="dxa"/>
              <w:left w:w="120" w:type="dxa"/>
              <w:bottom w:w="80" w:type="dxa"/>
              <w:right w:w="120" w:type="dxa"/>
            </w:tcMar>
            <w:vAlign w:val="center"/>
          </w:tcPr>
          <w:p w14:paraId="7D055D8E" w14:textId="77777777" w:rsidR="00CA5CE6" w:rsidRDefault="00000000">
            <w:pPr>
              <w:spacing w:line="240" w:lineRule="auto"/>
              <w:jc w:val="left"/>
            </w:pPr>
            <w:r>
              <w:rPr>
                <w:sz w:val="18"/>
              </w:rPr>
              <w:t>校准弃权</w:t>
            </w:r>
          </w:p>
        </w:tc>
        <w:tc>
          <w:tcPr>
            <w:tcW w:w="3338" w:type="dxa"/>
            <w:tcMar>
              <w:top w:w="80" w:type="dxa"/>
              <w:left w:w="120" w:type="dxa"/>
              <w:bottom w:w="80" w:type="dxa"/>
              <w:right w:w="120" w:type="dxa"/>
            </w:tcMar>
            <w:vAlign w:val="center"/>
          </w:tcPr>
          <w:p w14:paraId="51E3125C" w14:textId="77777777" w:rsidR="00CA5CE6" w:rsidRDefault="00000000">
            <w:pPr>
              <w:spacing w:line="240" w:lineRule="auto"/>
              <w:jc w:val="left"/>
            </w:pPr>
            <w:r>
              <w:rPr>
                <w:sz w:val="18"/>
              </w:rPr>
              <w:t>Brier、AURC、Risk-Coverage</w:t>
            </w:r>
          </w:p>
        </w:tc>
        <w:tc>
          <w:tcPr>
            <w:tcW w:w="4475" w:type="dxa"/>
            <w:tcMar>
              <w:top w:w="80" w:type="dxa"/>
              <w:left w:w="120" w:type="dxa"/>
              <w:bottom w:w="80" w:type="dxa"/>
              <w:right w:w="120" w:type="dxa"/>
            </w:tcMar>
            <w:vAlign w:val="center"/>
          </w:tcPr>
          <w:p w14:paraId="0F444458" w14:textId="77777777" w:rsidR="00CA5CE6" w:rsidRDefault="00000000">
            <w:pPr>
              <w:spacing w:line="240" w:lineRule="auto"/>
              <w:jc w:val="left"/>
            </w:pPr>
            <w:r>
              <w:rPr>
                <w:sz w:val="18"/>
              </w:rPr>
              <w:t>评价置信度、覆盖率和安全弃权。</w:t>
            </w:r>
          </w:p>
        </w:tc>
      </w:tr>
      <w:tr w:rsidR="00CA5CE6" w14:paraId="72498F37" w14:textId="77777777">
        <w:tc>
          <w:tcPr>
            <w:tcW w:w="1705" w:type="dxa"/>
            <w:tcMar>
              <w:top w:w="80" w:type="dxa"/>
              <w:left w:w="120" w:type="dxa"/>
              <w:bottom w:w="80" w:type="dxa"/>
              <w:right w:w="120" w:type="dxa"/>
            </w:tcMar>
            <w:vAlign w:val="center"/>
          </w:tcPr>
          <w:p w14:paraId="687AF3CD" w14:textId="77777777" w:rsidR="00CA5CE6" w:rsidRDefault="00000000">
            <w:pPr>
              <w:spacing w:line="240" w:lineRule="auto"/>
              <w:jc w:val="left"/>
            </w:pPr>
            <w:r>
              <w:rPr>
                <w:sz w:val="18"/>
              </w:rPr>
              <w:t>亚组稳健性</w:t>
            </w:r>
          </w:p>
        </w:tc>
        <w:tc>
          <w:tcPr>
            <w:tcW w:w="3338" w:type="dxa"/>
            <w:tcMar>
              <w:top w:w="80" w:type="dxa"/>
              <w:left w:w="120" w:type="dxa"/>
              <w:bottom w:w="80" w:type="dxa"/>
              <w:right w:w="120" w:type="dxa"/>
            </w:tcMar>
            <w:vAlign w:val="center"/>
          </w:tcPr>
          <w:p w14:paraId="4FE7F45C" w14:textId="77777777" w:rsidR="00CA5CE6" w:rsidRDefault="00000000">
            <w:pPr>
              <w:spacing w:line="240" w:lineRule="auto"/>
              <w:jc w:val="left"/>
            </w:pPr>
            <w:r>
              <w:rPr>
                <w:sz w:val="18"/>
              </w:rPr>
              <w:t>Worst-group、时间外/来源外性能</w:t>
            </w:r>
          </w:p>
        </w:tc>
        <w:tc>
          <w:tcPr>
            <w:tcW w:w="4475" w:type="dxa"/>
            <w:tcMar>
              <w:top w:w="80" w:type="dxa"/>
              <w:left w:w="120" w:type="dxa"/>
              <w:bottom w:w="80" w:type="dxa"/>
              <w:right w:w="120" w:type="dxa"/>
            </w:tcMar>
            <w:vAlign w:val="center"/>
          </w:tcPr>
          <w:p w14:paraId="1096550D" w14:textId="77777777" w:rsidR="00CA5CE6" w:rsidRDefault="00000000">
            <w:pPr>
              <w:spacing w:line="240" w:lineRule="auto"/>
              <w:jc w:val="left"/>
            </w:pPr>
            <w:r>
              <w:rPr>
                <w:sz w:val="18"/>
              </w:rPr>
              <w:t>关注KRAS/HRR/MSI等长尾分子亚组、治疗线次、来源差异和知识漂移。</w:t>
            </w:r>
          </w:p>
        </w:tc>
      </w:tr>
    </w:tbl>
    <w:p w14:paraId="0B08135D" w14:textId="77777777" w:rsidR="00CA5CE6" w:rsidRDefault="00CA5CE6">
      <w:pPr>
        <w:spacing w:line="120" w:lineRule="auto"/>
      </w:pPr>
    </w:p>
    <w:p w14:paraId="4FDB9D4B" w14:textId="77777777" w:rsidR="00CA5CE6" w:rsidRDefault="00000000">
      <w:pPr>
        <w:pStyle w:val="Heading3"/>
      </w:pPr>
      <w:r>
        <w:rPr>
          <w:rFonts w:ascii="Times New Roman" w:eastAsia="SimSun" w:hAnsi="Times New Roman" w:cs="Times New Roman"/>
        </w:rPr>
        <w:t xml:space="preserve">4.2.4 </w:t>
      </w:r>
      <w:r>
        <w:rPr>
          <w:rFonts w:ascii="Times New Roman" w:eastAsia="SimSun" w:hAnsi="Times New Roman" w:cs="Times New Roman"/>
        </w:rPr>
        <w:t>技术框架与</w:t>
      </w:r>
      <w:r>
        <w:rPr>
          <w:rFonts w:ascii="Times New Roman" w:eastAsia="SimSun" w:hAnsi="Times New Roman" w:cs="Times New Roman"/>
        </w:rPr>
        <w:t>Baselines</w:t>
      </w:r>
    </w:p>
    <w:p w14:paraId="372E1D2A" w14:textId="77777777" w:rsidR="00CA5CE6" w:rsidRDefault="00000000">
      <w:pPr>
        <w:spacing w:after="80" w:line="324" w:lineRule="auto"/>
        <w:ind w:firstLine="480"/>
      </w:pPr>
      <w:r>
        <w:t>Benchmark使用统一JSON接口。每个系统接收相同病例、冻结候选池、数据轨道和知识快照，输出候选状态、证据、约束、置信度与弃权；评分器生成分项指标和逐例错误清单。</w:t>
      </w:r>
    </w:p>
    <w:p w14:paraId="7F21A2B4" w14:textId="77777777" w:rsidR="00CA5CE6" w:rsidRDefault="00000000">
      <w:pPr>
        <w:spacing w:after="80" w:line="324" w:lineRule="auto"/>
        <w:ind w:firstLine="480"/>
      </w:pPr>
      <w:r>
        <w:t>三个核心基线分别代表规则证据匹配、结构化证据分层排序和RAG后确定性约束过滤。它们共享语料、候选池和时间截点，分别在Track A与Track B运行，并记录提示词、模型、随机种子和运行成本。</w:t>
      </w:r>
    </w:p>
    <w:p w14:paraId="486BDA69" w14:textId="77777777" w:rsidR="00CA5CE6" w:rsidRDefault="00000000">
      <w:pPr>
        <w:keepNext/>
        <w:jc w:val="center"/>
      </w:pPr>
      <w:r>
        <w:rPr>
          <w:noProof/>
        </w:rPr>
        <w:drawing>
          <wp:inline distT="0" distB="0" distL="0" distR="0" wp14:anchorId="5FD26690" wp14:editId="25B58658">
            <wp:extent cx="5806440" cy="1274943"/>
            <wp:effectExtent l="0" t="0" r="0" b="0"/>
            <wp:docPr id="1" name="Picture 1" descr="患者级用药方案识别Benchmark总体流程" title="研究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png"/>
                    <pic:cNvPicPr/>
                  </pic:nvPicPr>
                  <pic:blipFill>
                    <a:blip r:embed="rId8"/>
                    <a:stretch>
                      <a:fillRect/>
                    </a:stretch>
                  </pic:blipFill>
                  <pic:spPr>
                    <a:xfrm>
                      <a:off x="0" y="0"/>
                      <a:ext cx="5806440" cy="1274943"/>
                    </a:xfrm>
                    <a:prstGeom prst="rect">
                      <a:avLst/>
                    </a:prstGeom>
                  </pic:spPr>
                </pic:pic>
              </a:graphicData>
            </a:graphic>
          </wp:inline>
        </w:drawing>
      </w:r>
    </w:p>
    <w:p w14:paraId="6CA6D41F" w14:textId="77777777" w:rsidR="00CA5CE6" w:rsidRDefault="00000000">
      <w:pPr>
        <w:spacing w:after="80" w:line="324" w:lineRule="auto"/>
        <w:jc w:val="center"/>
      </w:pPr>
      <w:r>
        <w:t>图1 晚期PDAC患者级候选治疗识别Benchmark流程</w:t>
      </w:r>
    </w:p>
    <w:tbl>
      <w:tblPr>
        <w:tblStyle w:val="TableGrid"/>
        <w:tblW w:w="9518" w:type="dxa"/>
        <w:tblInd w:w="120" w:type="dxa"/>
        <w:tblLayout w:type="fixed"/>
        <w:tblLook w:val="04A0" w:firstRow="1" w:lastRow="0" w:firstColumn="1" w:lastColumn="0" w:noHBand="0" w:noVBand="1"/>
      </w:tblPr>
      <w:tblGrid>
        <w:gridCol w:w="2060"/>
        <w:gridCol w:w="4901"/>
        <w:gridCol w:w="2557"/>
      </w:tblGrid>
      <w:tr w:rsidR="00CA5CE6" w14:paraId="3E3C4136" w14:textId="77777777">
        <w:trPr>
          <w:tblHeader/>
        </w:trPr>
        <w:tc>
          <w:tcPr>
            <w:tcW w:w="2060" w:type="dxa"/>
            <w:shd w:val="clear" w:color="auto" w:fill="D9EAF7"/>
            <w:tcMar>
              <w:top w:w="80" w:type="dxa"/>
              <w:left w:w="120" w:type="dxa"/>
              <w:bottom w:w="80" w:type="dxa"/>
              <w:right w:w="120" w:type="dxa"/>
            </w:tcMar>
            <w:vAlign w:val="center"/>
          </w:tcPr>
          <w:p w14:paraId="57248B44" w14:textId="77777777" w:rsidR="00CA5CE6" w:rsidRDefault="00000000">
            <w:pPr>
              <w:spacing w:line="240" w:lineRule="auto"/>
              <w:jc w:val="center"/>
            </w:pPr>
            <w:r>
              <w:rPr>
                <w:rFonts w:eastAsia="SimHei"/>
                <w:b/>
                <w:sz w:val="18"/>
              </w:rPr>
              <w:t>核心基线</w:t>
            </w:r>
          </w:p>
        </w:tc>
        <w:tc>
          <w:tcPr>
            <w:tcW w:w="4901" w:type="dxa"/>
            <w:shd w:val="clear" w:color="auto" w:fill="D9EAF7"/>
            <w:tcMar>
              <w:top w:w="80" w:type="dxa"/>
              <w:left w:w="120" w:type="dxa"/>
              <w:bottom w:w="80" w:type="dxa"/>
              <w:right w:w="120" w:type="dxa"/>
            </w:tcMar>
            <w:vAlign w:val="center"/>
          </w:tcPr>
          <w:p w14:paraId="2FFFA006" w14:textId="77777777" w:rsidR="00CA5CE6" w:rsidRDefault="00000000">
            <w:pPr>
              <w:spacing w:line="240" w:lineRule="auto"/>
              <w:jc w:val="center"/>
            </w:pPr>
            <w:r>
              <w:rPr>
                <w:rFonts w:eastAsia="SimHei"/>
                <w:b/>
                <w:sz w:val="18"/>
              </w:rPr>
              <w:t>实现方式</w:t>
            </w:r>
          </w:p>
        </w:tc>
        <w:tc>
          <w:tcPr>
            <w:tcW w:w="2557" w:type="dxa"/>
            <w:shd w:val="clear" w:color="auto" w:fill="D9EAF7"/>
            <w:tcMar>
              <w:top w:w="80" w:type="dxa"/>
              <w:left w:w="120" w:type="dxa"/>
              <w:bottom w:w="80" w:type="dxa"/>
              <w:right w:w="120" w:type="dxa"/>
            </w:tcMar>
            <w:vAlign w:val="center"/>
          </w:tcPr>
          <w:p w14:paraId="7CAAC45E" w14:textId="77777777" w:rsidR="00CA5CE6" w:rsidRDefault="00000000">
            <w:pPr>
              <w:spacing w:line="240" w:lineRule="auto"/>
              <w:jc w:val="center"/>
            </w:pPr>
            <w:r>
              <w:rPr>
                <w:rFonts w:eastAsia="SimHei"/>
                <w:b/>
                <w:sz w:val="18"/>
              </w:rPr>
              <w:t>实验目的</w:t>
            </w:r>
          </w:p>
        </w:tc>
      </w:tr>
      <w:tr w:rsidR="00CA5CE6" w14:paraId="745CE55B" w14:textId="77777777">
        <w:tc>
          <w:tcPr>
            <w:tcW w:w="2060" w:type="dxa"/>
            <w:tcMar>
              <w:top w:w="80" w:type="dxa"/>
              <w:left w:w="120" w:type="dxa"/>
              <w:bottom w:w="80" w:type="dxa"/>
              <w:right w:w="120" w:type="dxa"/>
            </w:tcMar>
            <w:vAlign w:val="center"/>
          </w:tcPr>
          <w:p w14:paraId="289E8039" w14:textId="77777777" w:rsidR="00CA5CE6" w:rsidRDefault="00000000">
            <w:pPr>
              <w:spacing w:line="240" w:lineRule="auto"/>
              <w:jc w:val="left"/>
            </w:pPr>
            <w:r>
              <w:rPr>
                <w:sz w:val="18"/>
              </w:rPr>
              <w:t>Rule Match</w:t>
            </w:r>
          </w:p>
        </w:tc>
        <w:tc>
          <w:tcPr>
            <w:tcW w:w="4901" w:type="dxa"/>
            <w:tcMar>
              <w:top w:w="80" w:type="dxa"/>
              <w:left w:w="120" w:type="dxa"/>
              <w:bottom w:w="80" w:type="dxa"/>
              <w:right w:w="120" w:type="dxa"/>
            </w:tcMar>
            <w:vAlign w:val="center"/>
          </w:tcPr>
          <w:p w14:paraId="63A9C8BF" w14:textId="77777777" w:rsidR="00CA5CE6" w:rsidRDefault="00000000">
            <w:pPr>
              <w:spacing w:line="240" w:lineRule="auto"/>
              <w:jc w:val="left"/>
            </w:pPr>
            <w:r>
              <w:rPr>
                <w:sz w:val="18"/>
              </w:rPr>
              <w:t>按PDAC情境、既往治疗、分子事件与证据等级进行确定性匹配。</w:t>
            </w:r>
          </w:p>
        </w:tc>
        <w:tc>
          <w:tcPr>
            <w:tcW w:w="2557" w:type="dxa"/>
            <w:tcMar>
              <w:top w:w="80" w:type="dxa"/>
              <w:left w:w="120" w:type="dxa"/>
              <w:bottom w:w="80" w:type="dxa"/>
              <w:right w:w="120" w:type="dxa"/>
            </w:tcMar>
            <w:vAlign w:val="center"/>
          </w:tcPr>
          <w:p w14:paraId="03873084" w14:textId="77777777" w:rsidR="00CA5CE6" w:rsidRDefault="00000000">
            <w:pPr>
              <w:spacing w:line="240" w:lineRule="auto"/>
              <w:jc w:val="left"/>
            </w:pPr>
            <w:r>
              <w:rPr>
                <w:sz w:val="18"/>
              </w:rPr>
              <w:t>最低可解释基线。</w:t>
            </w:r>
          </w:p>
        </w:tc>
      </w:tr>
      <w:tr w:rsidR="00CA5CE6" w14:paraId="4D0C0A81" w14:textId="77777777">
        <w:tc>
          <w:tcPr>
            <w:tcW w:w="2060" w:type="dxa"/>
            <w:tcMar>
              <w:top w:w="80" w:type="dxa"/>
              <w:left w:w="120" w:type="dxa"/>
              <w:bottom w:w="80" w:type="dxa"/>
              <w:right w:w="120" w:type="dxa"/>
            </w:tcMar>
            <w:vAlign w:val="center"/>
          </w:tcPr>
          <w:p w14:paraId="2AD7D71C" w14:textId="77777777" w:rsidR="00CA5CE6" w:rsidRDefault="00000000">
            <w:pPr>
              <w:spacing w:line="240" w:lineRule="auto"/>
              <w:jc w:val="left"/>
            </w:pPr>
            <w:r>
              <w:rPr>
                <w:sz w:val="18"/>
              </w:rPr>
              <w:t>Evidence Rank</w:t>
            </w:r>
          </w:p>
        </w:tc>
        <w:tc>
          <w:tcPr>
            <w:tcW w:w="4901" w:type="dxa"/>
            <w:tcMar>
              <w:top w:w="80" w:type="dxa"/>
              <w:left w:w="120" w:type="dxa"/>
              <w:bottom w:w="80" w:type="dxa"/>
              <w:right w:w="120" w:type="dxa"/>
            </w:tcMar>
            <w:vAlign w:val="center"/>
          </w:tcPr>
          <w:p w14:paraId="35641B2C" w14:textId="77777777" w:rsidR="00CA5CE6" w:rsidRDefault="00000000">
            <w:pPr>
              <w:spacing w:line="240" w:lineRule="auto"/>
              <w:jc w:val="left"/>
            </w:pPr>
            <w:r>
              <w:rPr>
                <w:sz w:val="18"/>
              </w:rPr>
              <w:t>使用结构化证据强度、方向、线次和适用性进行分层排序。</w:t>
            </w:r>
          </w:p>
        </w:tc>
        <w:tc>
          <w:tcPr>
            <w:tcW w:w="2557" w:type="dxa"/>
            <w:tcMar>
              <w:top w:w="80" w:type="dxa"/>
              <w:left w:w="120" w:type="dxa"/>
              <w:bottom w:w="80" w:type="dxa"/>
              <w:right w:w="120" w:type="dxa"/>
            </w:tcMar>
            <w:vAlign w:val="center"/>
          </w:tcPr>
          <w:p w14:paraId="5C734432" w14:textId="77777777" w:rsidR="00CA5CE6" w:rsidRDefault="00000000">
            <w:pPr>
              <w:spacing w:line="240" w:lineRule="auto"/>
              <w:jc w:val="left"/>
            </w:pPr>
            <w:r>
              <w:rPr>
                <w:sz w:val="18"/>
              </w:rPr>
              <w:t>比较非生成式证据聚合。</w:t>
            </w:r>
          </w:p>
        </w:tc>
      </w:tr>
      <w:tr w:rsidR="00CA5CE6" w14:paraId="740DAF22" w14:textId="77777777">
        <w:tc>
          <w:tcPr>
            <w:tcW w:w="2060" w:type="dxa"/>
            <w:tcMar>
              <w:top w:w="80" w:type="dxa"/>
              <w:left w:w="120" w:type="dxa"/>
              <w:bottom w:w="80" w:type="dxa"/>
              <w:right w:w="120" w:type="dxa"/>
            </w:tcMar>
            <w:vAlign w:val="center"/>
          </w:tcPr>
          <w:p w14:paraId="61FBD69F" w14:textId="77777777" w:rsidR="00CA5CE6" w:rsidRDefault="00000000">
            <w:pPr>
              <w:spacing w:line="240" w:lineRule="auto"/>
              <w:jc w:val="left"/>
            </w:pPr>
            <w:r>
              <w:rPr>
                <w:sz w:val="18"/>
              </w:rPr>
              <w:t>RAG + Constraint Filter</w:t>
            </w:r>
          </w:p>
        </w:tc>
        <w:tc>
          <w:tcPr>
            <w:tcW w:w="4901" w:type="dxa"/>
            <w:tcMar>
              <w:top w:w="80" w:type="dxa"/>
              <w:left w:w="120" w:type="dxa"/>
              <w:bottom w:w="80" w:type="dxa"/>
              <w:right w:w="120" w:type="dxa"/>
            </w:tcMar>
            <w:vAlign w:val="center"/>
          </w:tcPr>
          <w:p w14:paraId="156570D9" w14:textId="77777777" w:rsidR="00CA5CE6" w:rsidRDefault="00000000">
            <w:pPr>
              <w:spacing w:line="240" w:lineRule="auto"/>
              <w:jc w:val="left"/>
            </w:pPr>
            <w:r>
              <w:rPr>
                <w:sz w:val="18"/>
              </w:rPr>
              <w:t>检索冻结证据生成候选，再按Track A/B字段执行确定性约束判定和弃权。</w:t>
            </w:r>
          </w:p>
        </w:tc>
        <w:tc>
          <w:tcPr>
            <w:tcW w:w="2557" w:type="dxa"/>
            <w:tcMar>
              <w:top w:w="80" w:type="dxa"/>
              <w:left w:w="120" w:type="dxa"/>
              <w:bottom w:w="80" w:type="dxa"/>
              <w:right w:w="120" w:type="dxa"/>
            </w:tcMar>
            <w:vAlign w:val="center"/>
          </w:tcPr>
          <w:p w14:paraId="6FA6FB90" w14:textId="77777777" w:rsidR="00CA5CE6" w:rsidRDefault="00000000">
            <w:pPr>
              <w:spacing w:line="240" w:lineRule="auto"/>
              <w:jc w:val="left"/>
            </w:pPr>
            <w:r>
              <w:rPr>
                <w:sz w:val="18"/>
              </w:rPr>
              <w:t>安全增强强基线。</w:t>
            </w:r>
          </w:p>
        </w:tc>
      </w:tr>
    </w:tbl>
    <w:p w14:paraId="4C0493E0" w14:textId="77777777" w:rsidR="00CA5CE6" w:rsidRDefault="00CA5CE6">
      <w:pPr>
        <w:spacing w:line="120" w:lineRule="auto"/>
      </w:pPr>
    </w:p>
    <w:p w14:paraId="66A9E133" w14:textId="77777777" w:rsidR="00CA5CE6" w:rsidRDefault="00000000">
      <w:pPr>
        <w:pStyle w:val="Heading3"/>
      </w:pPr>
      <w:r>
        <w:rPr>
          <w:rFonts w:ascii="Times New Roman" w:eastAsia="SimSun" w:hAnsi="Times New Roman" w:cs="Times New Roman"/>
        </w:rPr>
        <w:t xml:space="preserve">4.2.5 </w:t>
      </w:r>
      <w:r>
        <w:rPr>
          <w:rFonts w:ascii="Times New Roman" w:eastAsia="SimSun" w:hAnsi="Times New Roman" w:cs="Times New Roman"/>
        </w:rPr>
        <w:t>实验设计</w:t>
      </w:r>
    </w:p>
    <w:p w14:paraId="1E313FCA" w14:textId="77777777" w:rsidR="00CA5CE6" w:rsidRDefault="00000000">
      <w:pPr>
        <w:pStyle w:val="ListParagraph"/>
        <w:numPr>
          <w:ilvl w:val="0"/>
          <w:numId w:val="6"/>
        </w:numPr>
        <w:spacing w:line="324" w:lineRule="auto"/>
      </w:pPr>
      <w:r>
        <w:rPr>
          <w:rFonts w:ascii="Arial" w:hAnsi="Arial"/>
          <w:sz w:val="21"/>
        </w:rPr>
        <w:t>主实验：在Core常规集上比较三个基线，分别报告Track A/Track B总体结果及治疗线次、分子亚组和数据来源分层结果。</w:t>
      </w:r>
    </w:p>
    <w:p w14:paraId="6268EF30" w14:textId="77777777" w:rsidR="00CA5CE6" w:rsidRDefault="00000000">
      <w:pPr>
        <w:pStyle w:val="ListParagraph"/>
        <w:numPr>
          <w:ilvl w:val="0"/>
          <w:numId w:val="6"/>
        </w:numPr>
        <w:spacing w:line="324" w:lineRule="auto"/>
      </w:pPr>
      <w:r>
        <w:rPr>
          <w:rFonts w:ascii="Arial" w:hAnsi="Arial"/>
          <w:sz w:val="21"/>
        </w:rPr>
        <w:t>时间外与来源外实验：冻结较早证据开发系统，在后续知识快照及保留数据源上测试，量化知识更新时间、中心差异与实体记忆影响。</w:t>
      </w:r>
    </w:p>
    <w:p w14:paraId="6EACF73A" w14:textId="77777777" w:rsidR="00CA5CE6" w:rsidRDefault="00000000">
      <w:pPr>
        <w:pStyle w:val="ListParagraph"/>
        <w:numPr>
          <w:ilvl w:val="0"/>
          <w:numId w:val="6"/>
        </w:numPr>
        <w:spacing w:line="324" w:lineRule="auto"/>
      </w:pPr>
      <w:r>
        <w:rPr>
          <w:rFonts w:ascii="Arial" w:hAnsi="Arial"/>
          <w:sz w:val="21"/>
        </w:rPr>
        <w:t>安全实验：在明确排除、条件限制、适用性不足和信息未知病例上比较高风险错误与弃权，重点分析胆红素、骨髓储备、ECOG、神经毒性和药物相互作用。</w:t>
      </w:r>
    </w:p>
    <w:p w14:paraId="7C955065" w14:textId="77777777" w:rsidR="00CA5CE6" w:rsidRDefault="00000000">
      <w:pPr>
        <w:pStyle w:val="ListParagraph"/>
        <w:numPr>
          <w:ilvl w:val="0"/>
          <w:numId w:val="6"/>
        </w:numPr>
        <w:spacing w:line="324" w:lineRule="auto"/>
      </w:pPr>
      <w:r>
        <w:rPr>
          <w:rFonts w:ascii="Arial" w:hAnsi="Arial"/>
          <w:sz w:val="21"/>
        </w:rPr>
        <w:t>一致性实验：对Core中所有高风险标签及至少20%的其余病例进行双人复核，报告一致性、分歧原因与第三方裁决结果。</w:t>
      </w:r>
    </w:p>
    <w:p w14:paraId="073A3B4A" w14:textId="77777777" w:rsidR="00CA5CE6" w:rsidRDefault="00000000">
      <w:pPr>
        <w:pStyle w:val="ListParagraph"/>
        <w:numPr>
          <w:ilvl w:val="0"/>
          <w:numId w:val="6"/>
        </w:numPr>
        <w:spacing w:line="324" w:lineRule="auto"/>
      </w:pPr>
      <w:r>
        <w:rPr>
          <w:rFonts w:ascii="Arial" w:hAnsi="Arial"/>
          <w:sz w:val="21"/>
        </w:rPr>
        <w:t>案例分析：展示病理混杂、NGS发生在决策之后、未检测被误作阴性、既往治疗线次错误、分子证据过度升级、不同数据源被错误拼接和过度弃权。</w:t>
      </w:r>
    </w:p>
    <w:p w14:paraId="60013E74" w14:textId="77777777" w:rsidR="00CA5CE6" w:rsidRDefault="00000000">
      <w:pPr>
        <w:pStyle w:val="Heading3"/>
      </w:pPr>
      <w:r>
        <w:rPr>
          <w:rFonts w:ascii="Times New Roman" w:eastAsia="SimSun" w:hAnsi="Times New Roman" w:cs="Times New Roman"/>
        </w:rPr>
        <w:t xml:space="preserve">4.2.6 </w:t>
      </w:r>
      <w:r>
        <w:rPr>
          <w:rFonts w:ascii="Times New Roman" w:eastAsia="SimSun" w:hAnsi="Times New Roman" w:cs="Times New Roman"/>
        </w:rPr>
        <w:t>机制分析、失败判定与备选路径</w:t>
      </w:r>
    </w:p>
    <w:p w14:paraId="2AC5C74D" w14:textId="77777777" w:rsidR="00CA5CE6" w:rsidRDefault="00000000">
      <w:pPr>
        <w:spacing w:after="80" w:line="324" w:lineRule="auto"/>
        <w:ind w:firstLine="480"/>
      </w:pPr>
      <w:r>
        <w:t>若方法在Core上均接近满分，增加长尾分子异常、既往治疗、冲突证据和缺失字段挑战；若均接近随机水平，先拆分候选状态、证据方向和约束子任务，检查病例字段和标签噪声。</w:t>
      </w:r>
    </w:p>
    <w:p w14:paraId="007BA2AD" w14:textId="77777777" w:rsidR="00CA5CE6" w:rsidRDefault="00000000">
      <w:pPr>
        <w:spacing w:after="80" w:line="324" w:lineRule="auto"/>
        <w:ind w:firstLine="480"/>
      </w:pPr>
      <w:r>
        <w:t>若筛选后真实病例不足，收缩为高质量Pilot/Core并把Extended改为压力测试；若获批试验个体数据或本地病例不足，则只发布Track A，不用合成字段冒充完整临床患者。若药品标签字段不完整，则回到原始SPL/说明书并人工核验。</w:t>
      </w:r>
    </w:p>
    <w:p w14:paraId="221C8830" w14:textId="77777777" w:rsidR="00CA5CE6" w:rsidRDefault="00000000">
      <w:pPr>
        <w:pStyle w:val="Heading1"/>
      </w:pPr>
      <w:r>
        <w:rPr>
          <w:rFonts w:ascii="Times New Roman" w:eastAsia="SimSun" w:hAnsi="Times New Roman" w:cs="Times New Roman"/>
        </w:rPr>
        <w:t xml:space="preserve">5 </w:t>
      </w:r>
      <w:r>
        <w:rPr>
          <w:rFonts w:ascii="Times New Roman" w:eastAsia="SimSun" w:hAnsi="Times New Roman" w:cs="Times New Roman"/>
        </w:rPr>
        <w:t>时间排程与最终交付</w:t>
      </w:r>
    </w:p>
    <w:p w14:paraId="3BA15BE7" w14:textId="77777777" w:rsidR="00CA5CE6" w:rsidRDefault="00000000">
      <w:pPr>
        <w:pStyle w:val="Heading2"/>
      </w:pPr>
      <w:r>
        <w:rPr>
          <w:rFonts w:ascii="Times New Roman" w:eastAsia="SimSun" w:hAnsi="Times New Roman" w:cs="Times New Roman"/>
        </w:rPr>
        <w:t xml:space="preserve">5.1 </w:t>
      </w:r>
      <w:r>
        <w:rPr>
          <w:rFonts w:ascii="Times New Roman" w:eastAsia="SimSun" w:hAnsi="Times New Roman" w:cs="Times New Roman"/>
        </w:rPr>
        <w:t>时间排程</w:t>
      </w:r>
    </w:p>
    <w:p w14:paraId="384F7051" w14:textId="77777777" w:rsidR="00CA5CE6" w:rsidRDefault="00000000">
      <w:pPr>
        <w:spacing w:after="80" w:line="324" w:lineRule="auto"/>
        <w:ind w:firstLine="480"/>
      </w:pPr>
      <w:r>
        <w:t>本研究拟按8周完成Proof of Concept；第1周先完成真实数据审计，后续规模与交付以高质量Core为优先，不承诺临床级验证。</w:t>
      </w:r>
    </w:p>
    <w:tbl>
      <w:tblPr>
        <w:tblStyle w:val="TableGrid"/>
        <w:tblW w:w="9518" w:type="dxa"/>
        <w:tblInd w:w="120" w:type="dxa"/>
        <w:tblLayout w:type="fixed"/>
        <w:tblLook w:val="04A0" w:firstRow="1" w:lastRow="0" w:firstColumn="1" w:lastColumn="0" w:noHBand="0" w:noVBand="1"/>
      </w:tblPr>
      <w:tblGrid>
        <w:gridCol w:w="1279"/>
        <w:gridCol w:w="5327"/>
        <w:gridCol w:w="2912"/>
      </w:tblGrid>
      <w:tr w:rsidR="00CA5CE6" w14:paraId="0233922C" w14:textId="77777777">
        <w:trPr>
          <w:tblHeader/>
        </w:trPr>
        <w:tc>
          <w:tcPr>
            <w:tcW w:w="1279" w:type="dxa"/>
            <w:shd w:val="clear" w:color="auto" w:fill="D9EAF7"/>
            <w:tcMar>
              <w:top w:w="80" w:type="dxa"/>
              <w:left w:w="120" w:type="dxa"/>
              <w:bottom w:w="80" w:type="dxa"/>
              <w:right w:w="120" w:type="dxa"/>
            </w:tcMar>
            <w:vAlign w:val="center"/>
          </w:tcPr>
          <w:p w14:paraId="5A94A8EB" w14:textId="77777777" w:rsidR="00CA5CE6" w:rsidRDefault="00000000">
            <w:pPr>
              <w:spacing w:line="240" w:lineRule="auto"/>
              <w:jc w:val="center"/>
            </w:pPr>
            <w:r>
              <w:rPr>
                <w:rFonts w:eastAsia="SimHei"/>
                <w:b/>
                <w:sz w:val="18"/>
              </w:rPr>
              <w:t>周次</w:t>
            </w:r>
          </w:p>
        </w:tc>
        <w:tc>
          <w:tcPr>
            <w:tcW w:w="5327" w:type="dxa"/>
            <w:shd w:val="clear" w:color="auto" w:fill="D9EAF7"/>
            <w:tcMar>
              <w:top w:w="80" w:type="dxa"/>
              <w:left w:w="120" w:type="dxa"/>
              <w:bottom w:w="80" w:type="dxa"/>
              <w:right w:w="120" w:type="dxa"/>
            </w:tcMar>
            <w:vAlign w:val="center"/>
          </w:tcPr>
          <w:p w14:paraId="142122E1" w14:textId="77777777" w:rsidR="00CA5CE6" w:rsidRDefault="00000000">
            <w:pPr>
              <w:spacing w:line="240" w:lineRule="auto"/>
              <w:jc w:val="center"/>
            </w:pPr>
            <w:r>
              <w:rPr>
                <w:rFonts w:eastAsia="SimHei"/>
                <w:b/>
                <w:sz w:val="18"/>
              </w:rPr>
              <w:t>工作目标</w:t>
            </w:r>
          </w:p>
        </w:tc>
        <w:tc>
          <w:tcPr>
            <w:tcW w:w="2912" w:type="dxa"/>
            <w:shd w:val="clear" w:color="auto" w:fill="D9EAF7"/>
            <w:tcMar>
              <w:top w:w="80" w:type="dxa"/>
              <w:left w:w="120" w:type="dxa"/>
              <w:bottom w:w="80" w:type="dxa"/>
              <w:right w:w="120" w:type="dxa"/>
            </w:tcMar>
            <w:vAlign w:val="center"/>
          </w:tcPr>
          <w:p w14:paraId="5643CD9B" w14:textId="77777777" w:rsidR="00CA5CE6" w:rsidRDefault="00000000">
            <w:pPr>
              <w:spacing w:line="240" w:lineRule="auto"/>
              <w:jc w:val="center"/>
            </w:pPr>
            <w:r>
              <w:rPr>
                <w:rFonts w:eastAsia="SimHei"/>
                <w:b/>
                <w:sz w:val="18"/>
              </w:rPr>
              <w:t>验收产物</w:t>
            </w:r>
          </w:p>
        </w:tc>
      </w:tr>
      <w:tr w:rsidR="00CA5CE6" w14:paraId="317FAABE" w14:textId="77777777">
        <w:tc>
          <w:tcPr>
            <w:tcW w:w="1279" w:type="dxa"/>
            <w:tcMar>
              <w:top w:w="80" w:type="dxa"/>
              <w:left w:w="120" w:type="dxa"/>
              <w:bottom w:w="80" w:type="dxa"/>
              <w:right w:w="120" w:type="dxa"/>
            </w:tcMar>
            <w:vAlign w:val="center"/>
          </w:tcPr>
          <w:p w14:paraId="0F7B53D1" w14:textId="77777777" w:rsidR="00CA5CE6" w:rsidRDefault="00000000">
            <w:pPr>
              <w:spacing w:line="240" w:lineRule="auto"/>
              <w:jc w:val="left"/>
            </w:pPr>
            <w:r>
              <w:rPr>
                <w:sz w:val="18"/>
              </w:rPr>
              <w:t>第1周</w:t>
            </w:r>
          </w:p>
        </w:tc>
        <w:tc>
          <w:tcPr>
            <w:tcW w:w="5327" w:type="dxa"/>
            <w:tcMar>
              <w:top w:w="80" w:type="dxa"/>
              <w:left w:w="120" w:type="dxa"/>
              <w:bottom w:w="80" w:type="dxa"/>
              <w:right w:w="120" w:type="dxa"/>
            </w:tcMar>
            <w:vAlign w:val="center"/>
          </w:tcPr>
          <w:p w14:paraId="094B2464" w14:textId="77777777" w:rsidR="00CA5CE6" w:rsidRDefault="00000000">
            <w:pPr>
              <w:spacing w:line="240" w:lineRule="auto"/>
              <w:jc w:val="left"/>
            </w:pPr>
            <w:r>
              <w:rPr>
                <w:sz w:val="18"/>
              </w:rPr>
              <w:t>冻结PDAC范围与数据截止日；完成GENIE BPC PANC真实CSV审计、许可登记和字段盘点。</w:t>
            </w:r>
          </w:p>
        </w:tc>
        <w:tc>
          <w:tcPr>
            <w:tcW w:w="2912" w:type="dxa"/>
            <w:tcMar>
              <w:top w:w="80" w:type="dxa"/>
              <w:left w:w="120" w:type="dxa"/>
              <w:bottom w:w="80" w:type="dxa"/>
              <w:right w:w="120" w:type="dxa"/>
            </w:tcMar>
            <w:vAlign w:val="center"/>
          </w:tcPr>
          <w:p w14:paraId="22BFC1EF" w14:textId="77777777" w:rsidR="00CA5CE6" w:rsidRDefault="00000000">
            <w:pPr>
              <w:spacing w:line="240" w:lineRule="auto"/>
              <w:jc w:val="left"/>
            </w:pPr>
            <w:r>
              <w:rPr>
                <w:sz w:val="18"/>
              </w:rPr>
              <w:t>可行性审计；来源清单；纳排流程。</w:t>
            </w:r>
          </w:p>
        </w:tc>
      </w:tr>
      <w:tr w:rsidR="00CA5CE6" w14:paraId="2EB6FA0E" w14:textId="77777777">
        <w:tc>
          <w:tcPr>
            <w:tcW w:w="1279" w:type="dxa"/>
            <w:tcMar>
              <w:top w:w="80" w:type="dxa"/>
              <w:left w:w="120" w:type="dxa"/>
              <w:bottom w:w="80" w:type="dxa"/>
              <w:right w:w="120" w:type="dxa"/>
            </w:tcMar>
            <w:vAlign w:val="center"/>
          </w:tcPr>
          <w:p w14:paraId="09C6085A" w14:textId="77777777" w:rsidR="00CA5CE6" w:rsidRDefault="00000000">
            <w:pPr>
              <w:spacing w:line="240" w:lineRule="auto"/>
              <w:jc w:val="left"/>
            </w:pPr>
            <w:r>
              <w:rPr>
                <w:sz w:val="18"/>
              </w:rPr>
              <w:t>第2周</w:t>
            </w:r>
          </w:p>
        </w:tc>
        <w:tc>
          <w:tcPr>
            <w:tcW w:w="5327" w:type="dxa"/>
            <w:tcMar>
              <w:top w:w="80" w:type="dxa"/>
              <w:left w:w="120" w:type="dxa"/>
              <w:bottom w:w="80" w:type="dxa"/>
              <w:right w:w="120" w:type="dxa"/>
            </w:tcMar>
            <w:vAlign w:val="center"/>
          </w:tcPr>
          <w:p w14:paraId="0D3B298F" w14:textId="77777777" w:rsidR="00CA5CE6" w:rsidRDefault="00000000">
            <w:pPr>
              <w:spacing w:line="240" w:lineRule="auto"/>
              <w:jc w:val="left"/>
            </w:pPr>
            <w:r>
              <w:rPr>
                <w:sz w:val="18"/>
              </w:rPr>
              <w:t>完成病例/证据/约束schema、双轨接口、候选方案池和术语映射。</w:t>
            </w:r>
          </w:p>
        </w:tc>
        <w:tc>
          <w:tcPr>
            <w:tcW w:w="2912" w:type="dxa"/>
            <w:tcMar>
              <w:top w:w="80" w:type="dxa"/>
              <w:left w:w="120" w:type="dxa"/>
              <w:bottom w:w="80" w:type="dxa"/>
              <w:right w:w="120" w:type="dxa"/>
            </w:tcMar>
            <w:vAlign w:val="center"/>
          </w:tcPr>
          <w:p w14:paraId="31B603A7" w14:textId="77777777" w:rsidR="00CA5CE6" w:rsidRDefault="00000000">
            <w:pPr>
              <w:spacing w:line="240" w:lineRule="auto"/>
              <w:jc w:val="left"/>
            </w:pPr>
            <w:r>
              <w:rPr>
                <w:sz w:val="18"/>
              </w:rPr>
              <w:t>任务规范V1；数据字典；候选池V1。</w:t>
            </w:r>
          </w:p>
        </w:tc>
      </w:tr>
      <w:tr w:rsidR="00CA5CE6" w14:paraId="23E64861" w14:textId="77777777">
        <w:tc>
          <w:tcPr>
            <w:tcW w:w="1279" w:type="dxa"/>
            <w:tcMar>
              <w:top w:w="80" w:type="dxa"/>
              <w:left w:w="120" w:type="dxa"/>
              <w:bottom w:w="80" w:type="dxa"/>
              <w:right w:w="120" w:type="dxa"/>
            </w:tcMar>
            <w:vAlign w:val="center"/>
          </w:tcPr>
          <w:p w14:paraId="3CA3C380" w14:textId="77777777" w:rsidR="00CA5CE6" w:rsidRDefault="00000000">
            <w:pPr>
              <w:spacing w:line="240" w:lineRule="auto"/>
              <w:jc w:val="left"/>
            </w:pPr>
            <w:r>
              <w:rPr>
                <w:sz w:val="18"/>
              </w:rPr>
              <w:t>第3周</w:t>
            </w:r>
          </w:p>
        </w:tc>
        <w:tc>
          <w:tcPr>
            <w:tcW w:w="5327" w:type="dxa"/>
            <w:tcMar>
              <w:top w:w="80" w:type="dxa"/>
              <w:left w:w="120" w:type="dxa"/>
              <w:bottom w:w="80" w:type="dxa"/>
              <w:right w:w="120" w:type="dxa"/>
            </w:tcMar>
            <w:vAlign w:val="center"/>
          </w:tcPr>
          <w:p w14:paraId="718FEC39" w14:textId="77777777" w:rsidR="00CA5CE6" w:rsidRDefault="00000000">
            <w:pPr>
              <w:spacing w:line="240" w:lineRule="auto"/>
              <w:jc w:val="left"/>
            </w:pPr>
            <w:r>
              <w:rPr>
                <w:sz w:val="18"/>
              </w:rPr>
              <w:t>完成去重、时间轴对齐、缺失编码和20–30例Pilot；修订标注规则。</w:t>
            </w:r>
          </w:p>
        </w:tc>
        <w:tc>
          <w:tcPr>
            <w:tcW w:w="2912" w:type="dxa"/>
            <w:tcMar>
              <w:top w:w="80" w:type="dxa"/>
              <w:left w:w="120" w:type="dxa"/>
              <w:bottom w:w="80" w:type="dxa"/>
              <w:right w:w="120" w:type="dxa"/>
            </w:tcMar>
            <w:vAlign w:val="center"/>
          </w:tcPr>
          <w:p w14:paraId="39664809" w14:textId="77777777" w:rsidR="00CA5CE6" w:rsidRDefault="00000000">
            <w:pPr>
              <w:spacing w:line="240" w:lineRule="auto"/>
              <w:jc w:val="left"/>
            </w:pPr>
            <w:r>
              <w:rPr>
                <w:sz w:val="18"/>
              </w:rPr>
              <w:t>处理流水线；Pilot质检；标注指南V1。</w:t>
            </w:r>
          </w:p>
        </w:tc>
      </w:tr>
      <w:tr w:rsidR="00CA5CE6" w14:paraId="367AA24F" w14:textId="77777777">
        <w:tc>
          <w:tcPr>
            <w:tcW w:w="1279" w:type="dxa"/>
            <w:tcMar>
              <w:top w:w="80" w:type="dxa"/>
              <w:left w:w="120" w:type="dxa"/>
              <w:bottom w:w="80" w:type="dxa"/>
              <w:right w:w="120" w:type="dxa"/>
            </w:tcMar>
            <w:vAlign w:val="center"/>
          </w:tcPr>
          <w:p w14:paraId="5473732D" w14:textId="77777777" w:rsidR="00CA5CE6" w:rsidRDefault="00000000">
            <w:pPr>
              <w:spacing w:line="240" w:lineRule="auto"/>
              <w:jc w:val="left"/>
            </w:pPr>
            <w:r>
              <w:rPr>
                <w:sz w:val="18"/>
              </w:rPr>
              <w:t>第4周</w:t>
            </w:r>
          </w:p>
        </w:tc>
        <w:tc>
          <w:tcPr>
            <w:tcW w:w="5327" w:type="dxa"/>
            <w:tcMar>
              <w:top w:w="80" w:type="dxa"/>
              <w:left w:w="120" w:type="dxa"/>
              <w:bottom w:w="80" w:type="dxa"/>
              <w:right w:w="120" w:type="dxa"/>
            </w:tcMar>
            <w:vAlign w:val="center"/>
          </w:tcPr>
          <w:p w14:paraId="6C165931" w14:textId="77777777" w:rsidR="00CA5CE6" w:rsidRDefault="00000000">
            <w:pPr>
              <w:spacing w:line="240" w:lineRule="auto"/>
              <w:jc w:val="left"/>
            </w:pPr>
            <w:r>
              <w:rPr>
                <w:sz w:val="18"/>
              </w:rPr>
              <w:t>锁定50–80例Core；构建Extended、时间外、来源外和安全挑战划分。</w:t>
            </w:r>
          </w:p>
        </w:tc>
        <w:tc>
          <w:tcPr>
            <w:tcW w:w="2912" w:type="dxa"/>
            <w:tcMar>
              <w:top w:w="80" w:type="dxa"/>
              <w:left w:w="120" w:type="dxa"/>
              <w:bottom w:w="80" w:type="dxa"/>
              <w:right w:w="120" w:type="dxa"/>
            </w:tcMar>
            <w:vAlign w:val="center"/>
          </w:tcPr>
          <w:p w14:paraId="30689075" w14:textId="77777777" w:rsidR="00CA5CE6" w:rsidRDefault="00000000">
            <w:pPr>
              <w:spacing w:line="240" w:lineRule="auto"/>
              <w:jc w:val="left"/>
            </w:pPr>
            <w:r>
              <w:rPr>
                <w:sz w:val="18"/>
              </w:rPr>
              <w:t>Benchmark V1；划分清单；一致性记录。</w:t>
            </w:r>
          </w:p>
        </w:tc>
      </w:tr>
      <w:tr w:rsidR="00CA5CE6" w14:paraId="24CD4794" w14:textId="77777777">
        <w:tc>
          <w:tcPr>
            <w:tcW w:w="1279" w:type="dxa"/>
            <w:tcMar>
              <w:top w:w="80" w:type="dxa"/>
              <w:left w:w="120" w:type="dxa"/>
              <w:bottom w:w="80" w:type="dxa"/>
              <w:right w:w="120" w:type="dxa"/>
            </w:tcMar>
            <w:vAlign w:val="center"/>
          </w:tcPr>
          <w:p w14:paraId="19B18752" w14:textId="77777777" w:rsidR="00CA5CE6" w:rsidRDefault="00000000">
            <w:pPr>
              <w:spacing w:line="240" w:lineRule="auto"/>
              <w:jc w:val="left"/>
            </w:pPr>
            <w:r>
              <w:rPr>
                <w:sz w:val="18"/>
              </w:rPr>
              <w:t>第5周</w:t>
            </w:r>
          </w:p>
        </w:tc>
        <w:tc>
          <w:tcPr>
            <w:tcW w:w="5327" w:type="dxa"/>
            <w:tcMar>
              <w:top w:w="80" w:type="dxa"/>
              <w:left w:w="120" w:type="dxa"/>
              <w:bottom w:w="80" w:type="dxa"/>
              <w:right w:w="120" w:type="dxa"/>
            </w:tcMar>
            <w:vAlign w:val="center"/>
          </w:tcPr>
          <w:p w14:paraId="4AA1075E" w14:textId="77777777" w:rsidR="00CA5CE6" w:rsidRDefault="00000000">
            <w:pPr>
              <w:spacing w:line="240" w:lineRule="auto"/>
              <w:jc w:val="left"/>
            </w:pPr>
            <w:r>
              <w:rPr>
                <w:sz w:val="18"/>
              </w:rPr>
              <w:t>实现三个核心基线与统一评测，分别运行Track A与Track B。</w:t>
            </w:r>
          </w:p>
        </w:tc>
        <w:tc>
          <w:tcPr>
            <w:tcW w:w="2912" w:type="dxa"/>
            <w:tcMar>
              <w:top w:w="80" w:type="dxa"/>
              <w:left w:w="120" w:type="dxa"/>
              <w:bottom w:w="80" w:type="dxa"/>
              <w:right w:w="120" w:type="dxa"/>
            </w:tcMar>
            <w:vAlign w:val="center"/>
          </w:tcPr>
          <w:p w14:paraId="1EA46BEE" w14:textId="77777777" w:rsidR="00CA5CE6" w:rsidRDefault="00000000">
            <w:pPr>
              <w:spacing w:line="240" w:lineRule="auto"/>
              <w:jc w:val="left"/>
            </w:pPr>
            <w:r>
              <w:rPr>
                <w:sz w:val="18"/>
              </w:rPr>
              <w:t>基线代码；评测脚本；首轮结果。</w:t>
            </w:r>
          </w:p>
        </w:tc>
      </w:tr>
      <w:tr w:rsidR="00CA5CE6" w14:paraId="02A1F4E8" w14:textId="77777777">
        <w:tc>
          <w:tcPr>
            <w:tcW w:w="1279" w:type="dxa"/>
            <w:tcMar>
              <w:top w:w="80" w:type="dxa"/>
              <w:left w:w="120" w:type="dxa"/>
              <w:bottom w:w="80" w:type="dxa"/>
              <w:right w:w="120" w:type="dxa"/>
            </w:tcMar>
            <w:vAlign w:val="center"/>
          </w:tcPr>
          <w:p w14:paraId="723FC27E" w14:textId="77777777" w:rsidR="00CA5CE6" w:rsidRDefault="00000000">
            <w:pPr>
              <w:spacing w:line="240" w:lineRule="auto"/>
              <w:jc w:val="left"/>
            </w:pPr>
            <w:r>
              <w:rPr>
                <w:sz w:val="18"/>
              </w:rPr>
              <w:t>第6周</w:t>
            </w:r>
          </w:p>
        </w:tc>
        <w:tc>
          <w:tcPr>
            <w:tcW w:w="5327" w:type="dxa"/>
            <w:tcMar>
              <w:top w:w="80" w:type="dxa"/>
              <w:left w:w="120" w:type="dxa"/>
              <w:bottom w:w="80" w:type="dxa"/>
              <w:right w:w="120" w:type="dxa"/>
            </w:tcMar>
            <w:vAlign w:val="center"/>
          </w:tcPr>
          <w:p w14:paraId="131551CA" w14:textId="77777777" w:rsidR="00CA5CE6" w:rsidRDefault="00000000">
            <w:pPr>
              <w:spacing w:line="240" w:lineRule="auto"/>
              <w:jc w:val="left"/>
            </w:pPr>
            <w:r>
              <w:rPr>
                <w:sz w:val="18"/>
              </w:rPr>
              <w:t>完成主实验、时间外、来源外与安全挑战实验。</w:t>
            </w:r>
          </w:p>
        </w:tc>
        <w:tc>
          <w:tcPr>
            <w:tcW w:w="2912" w:type="dxa"/>
            <w:tcMar>
              <w:top w:w="80" w:type="dxa"/>
              <w:left w:w="120" w:type="dxa"/>
              <w:bottom w:w="80" w:type="dxa"/>
              <w:right w:w="120" w:type="dxa"/>
            </w:tcMar>
            <w:vAlign w:val="center"/>
          </w:tcPr>
          <w:p w14:paraId="33EF6928" w14:textId="77777777" w:rsidR="00CA5CE6" w:rsidRDefault="00000000">
            <w:pPr>
              <w:spacing w:line="240" w:lineRule="auto"/>
              <w:jc w:val="left"/>
            </w:pPr>
            <w:r>
              <w:rPr>
                <w:sz w:val="18"/>
              </w:rPr>
              <w:t>主结果；Risk-Coverage；亚组表。</w:t>
            </w:r>
          </w:p>
        </w:tc>
      </w:tr>
      <w:tr w:rsidR="00CA5CE6" w14:paraId="4D58C9DB" w14:textId="77777777">
        <w:tc>
          <w:tcPr>
            <w:tcW w:w="1279" w:type="dxa"/>
            <w:tcMar>
              <w:top w:w="80" w:type="dxa"/>
              <w:left w:w="120" w:type="dxa"/>
              <w:bottom w:w="80" w:type="dxa"/>
              <w:right w:w="120" w:type="dxa"/>
            </w:tcMar>
            <w:vAlign w:val="center"/>
          </w:tcPr>
          <w:p w14:paraId="1A3D25CD" w14:textId="77777777" w:rsidR="00CA5CE6" w:rsidRDefault="00000000">
            <w:pPr>
              <w:spacing w:line="240" w:lineRule="auto"/>
              <w:jc w:val="left"/>
            </w:pPr>
            <w:r>
              <w:rPr>
                <w:sz w:val="18"/>
              </w:rPr>
              <w:t>第7周</w:t>
            </w:r>
          </w:p>
        </w:tc>
        <w:tc>
          <w:tcPr>
            <w:tcW w:w="5327" w:type="dxa"/>
            <w:tcMar>
              <w:top w:w="80" w:type="dxa"/>
              <w:left w:w="120" w:type="dxa"/>
              <w:bottom w:w="80" w:type="dxa"/>
              <w:right w:w="120" w:type="dxa"/>
            </w:tcMar>
            <w:vAlign w:val="center"/>
          </w:tcPr>
          <w:p w14:paraId="36DFE1D2" w14:textId="77777777" w:rsidR="00CA5CE6" w:rsidRDefault="00000000">
            <w:pPr>
              <w:spacing w:line="240" w:lineRule="auto"/>
              <w:jc w:val="left"/>
            </w:pPr>
            <w:r>
              <w:rPr>
                <w:sz w:val="18"/>
              </w:rPr>
              <w:t>完成高风险复核、错误分析、数据卡、重叠与泄漏审计。</w:t>
            </w:r>
          </w:p>
        </w:tc>
        <w:tc>
          <w:tcPr>
            <w:tcW w:w="2912" w:type="dxa"/>
            <w:tcMar>
              <w:top w:w="80" w:type="dxa"/>
              <w:left w:w="120" w:type="dxa"/>
              <w:bottom w:w="80" w:type="dxa"/>
              <w:right w:w="120" w:type="dxa"/>
            </w:tcMar>
            <w:vAlign w:val="center"/>
          </w:tcPr>
          <w:p w14:paraId="45E7168C" w14:textId="77777777" w:rsidR="00CA5CE6" w:rsidRDefault="00000000">
            <w:pPr>
              <w:spacing w:line="240" w:lineRule="auto"/>
              <w:jc w:val="left"/>
            </w:pPr>
            <w:r>
              <w:rPr>
                <w:sz w:val="18"/>
              </w:rPr>
              <w:t>错误分类；数据卡；审计报告。</w:t>
            </w:r>
          </w:p>
        </w:tc>
      </w:tr>
      <w:tr w:rsidR="00CA5CE6" w14:paraId="6C5B124B" w14:textId="77777777">
        <w:tc>
          <w:tcPr>
            <w:tcW w:w="1279" w:type="dxa"/>
            <w:tcMar>
              <w:top w:w="80" w:type="dxa"/>
              <w:left w:w="120" w:type="dxa"/>
              <w:bottom w:w="80" w:type="dxa"/>
              <w:right w:w="120" w:type="dxa"/>
            </w:tcMar>
            <w:vAlign w:val="center"/>
          </w:tcPr>
          <w:p w14:paraId="6244BDF5" w14:textId="77777777" w:rsidR="00CA5CE6" w:rsidRDefault="00000000">
            <w:pPr>
              <w:spacing w:line="240" w:lineRule="auto"/>
              <w:jc w:val="left"/>
            </w:pPr>
            <w:r>
              <w:rPr>
                <w:sz w:val="18"/>
              </w:rPr>
              <w:t>第8周</w:t>
            </w:r>
          </w:p>
        </w:tc>
        <w:tc>
          <w:tcPr>
            <w:tcW w:w="5327" w:type="dxa"/>
            <w:tcMar>
              <w:top w:w="80" w:type="dxa"/>
              <w:left w:w="120" w:type="dxa"/>
              <w:bottom w:w="80" w:type="dxa"/>
              <w:right w:w="120" w:type="dxa"/>
            </w:tcMar>
            <w:vAlign w:val="center"/>
          </w:tcPr>
          <w:p w14:paraId="02385353" w14:textId="77777777" w:rsidR="00CA5CE6" w:rsidRDefault="00000000">
            <w:pPr>
              <w:spacing w:line="240" w:lineRule="auto"/>
              <w:jc w:val="left"/>
            </w:pPr>
            <w:r>
              <w:rPr>
                <w:sz w:val="18"/>
              </w:rPr>
              <w:t>整理论文、代码、数据收集与处理SOP、复现说明和扩展计划。</w:t>
            </w:r>
          </w:p>
        </w:tc>
        <w:tc>
          <w:tcPr>
            <w:tcW w:w="2912" w:type="dxa"/>
            <w:tcMar>
              <w:top w:w="80" w:type="dxa"/>
              <w:left w:w="120" w:type="dxa"/>
              <w:bottom w:w="80" w:type="dxa"/>
              <w:right w:w="120" w:type="dxa"/>
            </w:tcMar>
            <w:vAlign w:val="center"/>
          </w:tcPr>
          <w:p w14:paraId="45E1392B" w14:textId="77777777" w:rsidR="00CA5CE6" w:rsidRDefault="00000000">
            <w:pPr>
              <w:spacing w:line="240" w:lineRule="auto"/>
              <w:jc w:val="left"/>
            </w:pPr>
            <w:r>
              <w:rPr>
                <w:sz w:val="18"/>
              </w:rPr>
              <w:t>实验报告V1；代码仓库；交付包。</w:t>
            </w:r>
          </w:p>
        </w:tc>
      </w:tr>
    </w:tbl>
    <w:p w14:paraId="7CD9B8C2" w14:textId="77777777" w:rsidR="00CA5CE6" w:rsidRDefault="00CA5CE6">
      <w:pPr>
        <w:spacing w:line="120" w:lineRule="auto"/>
      </w:pPr>
    </w:p>
    <w:p w14:paraId="4791F1DF" w14:textId="77777777" w:rsidR="00CA5CE6" w:rsidRDefault="00000000">
      <w:pPr>
        <w:pStyle w:val="Heading2"/>
      </w:pPr>
      <w:r>
        <w:rPr>
          <w:rFonts w:ascii="Times New Roman" w:eastAsia="SimSun" w:hAnsi="Times New Roman" w:cs="Times New Roman"/>
        </w:rPr>
        <w:t xml:space="preserve">5.2 </w:t>
      </w:r>
      <w:r>
        <w:rPr>
          <w:rFonts w:ascii="Times New Roman" w:eastAsia="SimSun" w:hAnsi="Times New Roman" w:cs="Times New Roman"/>
        </w:rPr>
        <w:t>最终交付</w:t>
      </w:r>
    </w:p>
    <w:p w14:paraId="44F8DA8B" w14:textId="77777777" w:rsidR="00CA5CE6" w:rsidRDefault="00000000">
      <w:pPr>
        <w:spacing w:after="80" w:line="324" w:lineRule="auto"/>
        <w:ind w:firstLine="480"/>
      </w:pPr>
      <w:r>
        <w:t>课题结束前依据《数据与代码管理规范》整理可复现实验包。受许可或数据使用协议限制的患者级数据不随项目再分发，仅提供获取、字段映射与构建说明；公开派生数据遵循原始许可。</w:t>
      </w:r>
    </w:p>
    <w:p w14:paraId="19E4DADE" w14:textId="77777777" w:rsidR="00CA5CE6" w:rsidRDefault="00000000">
      <w:pPr>
        <w:spacing w:after="80" w:line="324" w:lineRule="auto"/>
      </w:pPr>
      <w:r>
        <w:t>/data/：来源清单、原始数据字典、纳排日志、字段映射、Pilot/Core/Extended病例、候选方案池、证据与约束标签、数据划分、数据卡和许可说明。</w:t>
      </w:r>
    </w:p>
    <w:p w14:paraId="7BAD3E5A" w14:textId="77777777" w:rsidR="00CA5CE6" w:rsidRDefault="00000000">
      <w:pPr>
        <w:spacing w:after="80" w:line="324" w:lineRule="auto"/>
      </w:pPr>
      <w:r>
        <w:t>/codes/：下载/导入、数据审计、去重、实体标准化、时间轴对齐、标签构建、三个基线、统一评测、泄漏审计和结果复现代码。</w:t>
      </w:r>
    </w:p>
    <w:p w14:paraId="403DFC61" w14:textId="77777777" w:rsidR="00CA5CE6" w:rsidRDefault="00000000">
      <w:pPr>
        <w:spacing w:after="80" w:line="324" w:lineRule="auto"/>
      </w:pPr>
      <w:r>
        <w:t>/docs/：《研究方案V3.0》；《数据收集与处理SOP》；《标注指南》；《数据说明与样例》；《实验记录与结果表格》；《实验报告》；《结题复盘与后续思路》。</w:t>
      </w:r>
    </w:p>
    <w:p w14:paraId="2507EE7B" w14:textId="77777777" w:rsidR="00CA5CE6" w:rsidRDefault="00000000">
      <w:pPr>
        <w:pStyle w:val="Heading1"/>
        <w:pageBreakBefore/>
      </w:pPr>
      <w:r>
        <w:lastRenderedPageBreak/>
        <w:t>参考文献</w:t>
      </w:r>
    </w:p>
    <w:p w14:paraId="3C54A4F9" w14:textId="77777777" w:rsidR="00CA5CE6" w:rsidRDefault="00000000">
      <w:pPr>
        <w:spacing w:after="0" w:line="240" w:lineRule="auto" w:before="0"/>
        <w:ind w:left="397" w:hanging="397"/>
      </w:pPr>
      <w:r>
        <w:rPr>
          <w:sz w:val="17"/>
        </w:rPr>
        <w:t>[1] National Cancer Institute. Pancreatic Cancer Treatment (PDQ®)–Health Professional Version. https://www.cancer.gov/types/pancreatic/hp/pancreatic-treatment-pdq</w:t>
      </w:r>
    </w:p>
    <w:p w14:paraId="1649B874" w14:textId="77777777" w:rsidR="00CA5CE6" w:rsidRDefault="00000000">
      <w:pPr>
        <w:spacing w:after="0" w:line="240" w:lineRule="auto" w:before="0"/>
        <w:ind w:left="397" w:hanging="397"/>
      </w:pPr>
      <w:r>
        <w:rPr>
          <w:sz w:val="17"/>
        </w:rPr>
        <w:t>[2] AACR Project GENIE. BPC PANC 1.0-public: Pancreatic Cancer Clinical Data. https://www.aacr.org/professionals/research/aacr-project-genie/bpc/panc-1-0-public-project-genie-aacr/</w:t>
      </w:r>
    </w:p>
    <w:p w14:paraId="2536055F" w14:textId="77777777" w:rsidR="00CA5CE6" w:rsidRDefault="00000000">
      <w:pPr>
        <w:spacing w:after="0" w:line="240" w:lineRule="auto" w:before="0"/>
        <w:ind w:left="397" w:hanging="397"/>
      </w:pPr>
      <w:r>
        <w:rPr>
          <w:sz w:val="17"/>
        </w:rPr>
        <w:t>[3] Griffith M, et al. CIViC is a community knowledgebase for expert crowdsourcing the clinical interpretation of variants in cancer. Nat Genet. 2017;49:170–174. doi:10.1038/ng.3774.</w:t>
      </w:r>
    </w:p>
    <w:p w14:paraId="2478CF13" w14:textId="77777777" w:rsidR="00CA5CE6" w:rsidRDefault="00000000">
      <w:pPr>
        <w:spacing w:after="0" w:line="240" w:lineRule="auto" w:before="0"/>
        <w:ind w:left="397" w:hanging="397"/>
      </w:pPr>
      <w:r>
        <w:rPr>
          <w:sz w:val="17"/>
        </w:rPr>
        <w:t>[4] Wagner AH, et al. A harmonized meta-knowledgebase of clinical interpretations of somatic genomic variants in cancer. Nat Genet. 2020;52:448–457. doi:10.1038/s41588-020-0603-8.</w:t>
      </w:r>
    </w:p>
    <w:p w14:paraId="49ACE345" w14:textId="77777777" w:rsidR="00CA5CE6" w:rsidRDefault="00000000">
      <w:pPr>
        <w:spacing w:after="0" w:line="240" w:lineRule="auto" w:before="0"/>
        <w:ind w:left="397" w:hanging="397"/>
      </w:pPr>
      <w:r>
        <w:rPr>
          <w:sz w:val="17"/>
        </w:rPr>
        <w:t>[5] Chakravarty D, et al. OncoKB: A Precision Oncology Knowledge Base. JCO Precis Oncol. 2017;1:1–16. doi:10.1200/PO.17.00011.</w:t>
      </w:r>
    </w:p>
    <w:p w14:paraId="08979FF7" w14:textId="77777777" w:rsidR="00CA5CE6" w:rsidRDefault="00000000">
      <w:pPr>
        <w:spacing w:after="0" w:line="240" w:lineRule="auto" w:before="0"/>
        <w:ind w:left="397" w:hanging="397"/>
      </w:pPr>
      <w:r>
        <w:rPr>
          <w:sz w:val="17"/>
        </w:rPr>
        <w:t>[6] OncoKB. Licensing FAQ: academic API access, AI/ML training and benchmarking restrictions. https://faq.oncokb.org/licensing</w:t>
      </w:r>
    </w:p>
    <w:p w14:paraId="3BE08EAA" w14:textId="77777777" w:rsidR="00CA5CE6" w:rsidRDefault="00000000">
      <w:pPr>
        <w:spacing w:after="0" w:line="240" w:lineRule="auto" w:before="0"/>
        <w:ind w:left="397" w:hanging="397"/>
      </w:pPr>
      <w:r>
        <w:rPr>
          <w:sz w:val="17"/>
        </w:rPr>
        <w:t>[7] Reardon B, et al. Integrating molecular profiles into clinical frameworks through the Molecular Oncology Almanac to prospectively guide precision oncology. Nat Cancer. 2021;2:1102–1112. doi:10.1038/s43018-021-00243-3.</w:t>
      </w:r>
    </w:p>
    <w:p w14:paraId="30CDD19F" w14:textId="77777777" w:rsidR="00CA5CE6" w:rsidRDefault="00000000">
      <w:pPr>
        <w:spacing w:after="0" w:line="240" w:lineRule="auto" w:before="0"/>
        <w:ind w:left="397" w:hanging="397"/>
      </w:pPr>
      <w:r>
        <w:rPr>
          <w:sz w:val="17"/>
        </w:rPr>
        <w:t>[8] AACR Project GENIE Consortium. AACR Project GENIE: Powering Precision Medicine through an International Consortium. Cancer Discov. 2017;7:818–831. doi:10.1158/2159-8290.CD-17-0151.</w:t>
      </w:r>
    </w:p>
    <w:p w14:paraId="62EF8DA3" w14:textId="77777777" w:rsidR="00CA5CE6" w:rsidRDefault="00000000">
      <w:pPr>
        <w:spacing w:after="0" w:line="240" w:lineRule="auto" w:before="0"/>
        <w:ind w:left="397" w:hanging="397"/>
      </w:pPr>
      <w:r>
        <w:rPr>
          <w:sz w:val="17"/>
        </w:rPr>
        <w:t>[9] AACR Project GENIE. v19.0-public data release. https://www.aacr.org/professionals/research/aacr-project-genie/aacr-project-genie-data/</w:t>
      </w:r>
    </w:p>
    <w:p w14:paraId="1B198DFE" w14:textId="77777777" w:rsidR="00CA5CE6" w:rsidRDefault="00000000">
      <w:pPr>
        <w:spacing w:after="0" w:line="240" w:lineRule="auto" w:before="0"/>
        <w:ind w:left="397" w:hanging="397"/>
      </w:pPr>
      <w:r>
        <w:rPr>
          <w:sz w:val="17"/>
        </w:rPr>
        <w:t>[10] U.S. Food and Drug Administration. openFDA Drug Labeling Overview. https://open.fda.gov/apis/drug/label/</w:t>
      </w:r>
    </w:p>
    <w:p w14:paraId="3E6912B4" w14:textId="77777777" w:rsidR="00CA5CE6" w:rsidRDefault="00000000">
      <w:pPr>
        <w:spacing w:after="0" w:line="240" w:lineRule="auto" w:before="0"/>
        <w:ind w:left="397" w:hanging="397"/>
      </w:pPr>
      <w:r>
        <w:rPr>
          <w:sz w:val="17"/>
        </w:rPr>
        <w:t>[11] ICGC ARGO. PACA-CA: Pancreatic Cancer – Canada. https://www.icgc-argo.org/page/96/paca-ca</w:t>
      </w:r>
    </w:p>
    <w:p w14:paraId="5FFF5D87" w14:textId="77777777" w:rsidR="00CA5CE6" w:rsidRDefault="00000000">
      <w:pPr>
        <w:spacing w:after="0" w:line="240" w:lineRule="auto" w:before="0"/>
        <w:ind w:left="397" w:hanging="397"/>
      </w:pPr>
      <w:r>
        <w:rPr>
          <w:sz w:val="17"/>
        </w:rPr>
        <w:t>[12] National Cancer Institute. TCGA-PAAD, Genomic Data Commons. https://portal.gdc.cancer.gov/projects/TCGA-PAAD</w:t>
      </w:r>
    </w:p>
    <w:p w14:paraId="62B3F196" w14:textId="77777777" w:rsidR="00CA5CE6" w:rsidRDefault="00000000">
      <w:pPr>
        <w:spacing w:after="0" w:line="240" w:lineRule="auto" w:before="0"/>
        <w:ind w:left="397" w:hanging="397"/>
      </w:pPr>
      <w:r>
        <w:rPr>
          <w:sz w:val="17"/>
        </w:rPr>
        <w:t>[13] National Cancer Institute. CPTAC Pancreatic Ductal Adenocarcinoma Proteogenomic Study, Proteomic Data Commons. https://proteomic.datacommons.cancer.gov/pdc/study/PDC000270</w:t>
      </w:r>
    </w:p>
    <w:p w14:paraId="2C47F6C3" w14:textId="77777777" w:rsidR="00CA5CE6" w:rsidRDefault="00000000">
      <w:pPr>
        <w:spacing w:after="0" w:line="240" w:lineRule="auto" w:before="0"/>
        <w:ind w:left="397" w:hanging="397"/>
      </w:pPr>
      <w:r>
        <w:rPr>
          <w:sz w:val="17"/>
        </w:rPr>
        <w:t>[14] National Cancer Institute. NCTN/NCORP Data Archive. https://dctd.cancer.gov/research/networks/nctn/data-archive</w:t>
      </w:r>
    </w:p>
    <w:p w14:paraId="2C47F6C3" w14:textId="77777777" w:rsidR="00CA5CE6" w:rsidRDefault="00000000">
      <w:pPr>
        <w:spacing w:after="0" w:line="240" w:lineRule="auto" w:before="0"/>
        <w:ind w:left="397" w:hanging="397"/>
      </w:pPr>
      <w:r>
        <w:rPr>
          <w:sz w:val="17"/>
        </w:rPr>
        <w:t>[15] Mateo J, et al. A framework to rank genomic alterations as targets for cancer precision medicine: ESCAT. Ann Oncol. 2018;29:1895–1902. doi:10.1093/annonc/mdy263.</w:t>
      </w:r>
    </w:p>
    <w:p w14:paraId="2C47F6C3" w14:textId="77777777" w:rsidR="00CA5CE6" w:rsidRDefault="00000000">
      <w:pPr>
        <w:spacing w:after="0" w:line="240" w:lineRule="auto" w:before="0"/>
        <w:ind w:left="397" w:hanging="397"/>
      </w:pPr>
      <w:r>
        <w:rPr>
          <w:sz w:val="17"/>
        </w:rPr>
        <w:t>[16] Jun H, et al. A context-augmented large language model for accurate and explainable precision oncology. Cancer Cell. 2026. PubMed: 41544626.</w:t>
      </w:r>
    </w:p>
    <w:p w14:paraId="2C47F6C3" w14:textId="77777777" w:rsidR="00CA5CE6" w:rsidRDefault="00000000">
      <w:pPr>
        <w:spacing w:after="0" w:line="240" w:lineRule="auto" w:before="0"/>
        <w:ind w:left="397" w:hanging="397"/>
      </w:pPr>
      <w:r>
        <w:rPr>
          <w:sz w:val="17"/>
        </w:rPr>
        <w:t>[17] Ferber D, et al. Development and validation of an autonomous artificial intelligence agent for clinical decision-making in oncology. Nat Cancer. 2025. doi:10.1038/s43018-025-00991-6.</w:t>
      </w:r>
    </w:p>
    <w:p w14:paraId="2C47F6C3" w14:textId="77777777" w:rsidR="00CA5CE6" w:rsidRDefault="00000000">
      <w:pPr>
        <w:spacing w:after="0" w:line="240" w:lineRule="auto" w:before="0"/>
        <w:ind w:left="397" w:hanging="397"/>
      </w:pPr>
      <w:r>
        <w:rPr>
          <w:sz w:val="17"/>
        </w:rPr>
        <w:t>[18] Vasey B, et al. Reporting guideline for the early-stage clinical evaluation of decision support systems driven by artificial intelligence: DECIDE-AI. Nat Med. 2022;28:924–933. doi:10.1038/s41591-022-01772-9.</w:t>
      </w:r>
    </w:p>
    <w:sectPr w:rsidR="00CA5CE6" w:rsidSect="009911BB">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04EE1" w14:textId="77777777" w:rsidR="00FB0CC7" w:rsidRDefault="00FB0CC7" w:rsidP="00B475D0">
      <w:r>
        <w:separator/>
      </w:r>
    </w:p>
  </w:endnote>
  <w:endnote w:type="continuationSeparator" w:id="0">
    <w:p w14:paraId="7687D2A3" w14:textId="77777777" w:rsidR="00FB0CC7" w:rsidRDefault="00FB0CC7" w:rsidP="00B47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F7AD1" w14:textId="77777777" w:rsidR="00FB0CC7" w:rsidRDefault="00FB0CC7" w:rsidP="00B475D0">
      <w:r>
        <w:separator/>
      </w:r>
    </w:p>
  </w:footnote>
  <w:footnote w:type="continuationSeparator" w:id="0">
    <w:p w14:paraId="0385F20C" w14:textId="77777777" w:rsidR="00FB0CC7" w:rsidRDefault="00FB0CC7" w:rsidP="00B475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B2E53"/>
    <w:multiLevelType w:val="hybridMultilevel"/>
    <w:tmpl w:val="182E1C6C"/>
    <w:lvl w:ilvl="0" w:tplc="FE046D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05264D8"/>
    <w:multiLevelType w:val="multilevel"/>
    <w:tmpl w:val="E1A8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022D3F"/>
    <w:multiLevelType w:val="multilevel"/>
    <w:tmpl w:val="F51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AD403D"/>
    <w:multiLevelType w:val="hybridMultilevel"/>
    <w:tmpl w:val="6C4E674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66FA4D4F"/>
    <w:multiLevelType w:val="multilevel"/>
    <w:tmpl w:val="40323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353F98"/>
    <w:multiLevelType w:val="multilevel"/>
    <w:tmpl w:val="D0C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8322857">
    <w:abstractNumId w:val="4"/>
  </w:num>
  <w:num w:numId="2" w16cid:durableId="1657802329">
    <w:abstractNumId w:val="5"/>
  </w:num>
  <w:num w:numId="3" w16cid:durableId="428543831">
    <w:abstractNumId w:val="1"/>
  </w:num>
  <w:num w:numId="4" w16cid:durableId="1173491370">
    <w:abstractNumId w:val="2"/>
  </w:num>
  <w:num w:numId="5" w16cid:durableId="812916983">
    <w:abstractNumId w:val="0"/>
  </w:num>
  <w:num w:numId="6" w16cid:durableId="1722822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99"/>
    <w:rsid w:val="00027073"/>
    <w:rsid w:val="00054847"/>
    <w:rsid w:val="00065BD6"/>
    <w:rsid w:val="0009555E"/>
    <w:rsid w:val="00103FE1"/>
    <w:rsid w:val="0016049F"/>
    <w:rsid w:val="00194132"/>
    <w:rsid w:val="001B5597"/>
    <w:rsid w:val="001F04C5"/>
    <w:rsid w:val="002730E1"/>
    <w:rsid w:val="00276C31"/>
    <w:rsid w:val="002E378F"/>
    <w:rsid w:val="0038746A"/>
    <w:rsid w:val="003F6D12"/>
    <w:rsid w:val="0040375B"/>
    <w:rsid w:val="00411BF3"/>
    <w:rsid w:val="00455DFE"/>
    <w:rsid w:val="004640FB"/>
    <w:rsid w:val="00490F8F"/>
    <w:rsid w:val="004B255E"/>
    <w:rsid w:val="004D5FA8"/>
    <w:rsid w:val="004E4D36"/>
    <w:rsid w:val="004F3781"/>
    <w:rsid w:val="00507B31"/>
    <w:rsid w:val="00543091"/>
    <w:rsid w:val="00544F05"/>
    <w:rsid w:val="005D2A3F"/>
    <w:rsid w:val="005F4020"/>
    <w:rsid w:val="006D0F7A"/>
    <w:rsid w:val="006D7B11"/>
    <w:rsid w:val="00732837"/>
    <w:rsid w:val="0074078C"/>
    <w:rsid w:val="00740F43"/>
    <w:rsid w:val="007570FC"/>
    <w:rsid w:val="007851F7"/>
    <w:rsid w:val="007C6D72"/>
    <w:rsid w:val="007E70FF"/>
    <w:rsid w:val="008327FC"/>
    <w:rsid w:val="0087232E"/>
    <w:rsid w:val="00956F07"/>
    <w:rsid w:val="009911BB"/>
    <w:rsid w:val="009C30C7"/>
    <w:rsid w:val="009E3D23"/>
    <w:rsid w:val="00A50D21"/>
    <w:rsid w:val="00A81259"/>
    <w:rsid w:val="00B475D0"/>
    <w:rsid w:val="00BF7F3B"/>
    <w:rsid w:val="00C82B10"/>
    <w:rsid w:val="00C927F6"/>
    <w:rsid w:val="00CA5CE6"/>
    <w:rsid w:val="00CF0704"/>
    <w:rsid w:val="00D03B61"/>
    <w:rsid w:val="00D26D2C"/>
    <w:rsid w:val="00D84CEA"/>
    <w:rsid w:val="00DD08EC"/>
    <w:rsid w:val="00DD696F"/>
    <w:rsid w:val="00E04C5B"/>
    <w:rsid w:val="00E23348"/>
    <w:rsid w:val="00E37C99"/>
    <w:rsid w:val="00EB1F84"/>
    <w:rsid w:val="00F54B46"/>
    <w:rsid w:val="00F930DC"/>
    <w:rsid w:val="00F94307"/>
    <w:rsid w:val="00FB0CC7"/>
    <w:rsid w:val="00FF2BBD"/>
    <w:rsid w:val="00FF5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A977"/>
  <w15:chartTrackingRefBased/>
  <w15:docId w15:val="{367AE960-C0FC-4B47-9E22-637CB5B8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F05"/>
    <w:pPr>
      <w:widowControl w:val="0"/>
      <w:spacing w:line="360" w:lineRule="auto"/>
      <w:jc w:val="both"/>
    </w:pPr>
    <w:rPr>
      <w:rFonts w:ascii="Arial" w:eastAsia="SimSun" w:hAnsi="Arial" w:cs="Times New Roman"/>
    </w:rPr>
  </w:style>
  <w:style w:type="paragraph" w:styleId="Heading1">
    <w:name w:val="heading 1"/>
    <w:basedOn w:val="Normal"/>
    <w:next w:val="Normal"/>
    <w:link w:val="Heading1Char"/>
    <w:uiPriority w:val="9"/>
    <w:qFormat/>
    <w:rsid w:val="001F04C5"/>
    <w:pPr>
      <w:keepNext/>
      <w:keepLines/>
      <w:spacing w:before="240"/>
      <w:jc w:val="left"/>
      <w:outlineLvl w:val="0"/>
    </w:pPr>
    <w:rPr>
      <w:rFonts w:eastAsia="SimHei" w:cstheme="majorBidi"/>
      <w:b/>
      <w:color w:val="1F4E79"/>
      <w:sz w:val="30"/>
      <w:szCs w:val="48"/>
    </w:rPr>
  </w:style>
  <w:style w:type="paragraph" w:styleId="Heading2">
    <w:name w:val="heading 2"/>
    <w:basedOn w:val="Normal"/>
    <w:next w:val="Normal"/>
    <w:link w:val="Heading2Char"/>
    <w:uiPriority w:val="9"/>
    <w:unhideWhenUsed/>
    <w:qFormat/>
    <w:rsid w:val="001F04C5"/>
    <w:pPr>
      <w:keepNext/>
      <w:keepLines/>
      <w:spacing w:before="240"/>
      <w:jc w:val="left"/>
      <w:outlineLvl w:val="1"/>
    </w:pPr>
    <w:rPr>
      <w:rFonts w:eastAsia="SimHei" w:cstheme="majorBidi"/>
      <w:b/>
      <w:color w:val="1F4E79"/>
      <w:sz w:val="26"/>
      <w:szCs w:val="40"/>
    </w:rPr>
  </w:style>
  <w:style w:type="paragraph" w:styleId="Heading3">
    <w:name w:val="heading 3"/>
    <w:basedOn w:val="Normal"/>
    <w:next w:val="Normal"/>
    <w:link w:val="Heading3Char"/>
    <w:uiPriority w:val="9"/>
    <w:unhideWhenUsed/>
    <w:qFormat/>
    <w:rsid w:val="001F04C5"/>
    <w:pPr>
      <w:keepNext/>
      <w:keepLines/>
      <w:spacing w:before="120"/>
      <w:outlineLvl w:val="2"/>
    </w:pPr>
    <w:rPr>
      <w:rFonts w:eastAsia="SimHei" w:cstheme="majorBidi"/>
      <w:b/>
      <w:color w:val="1F4E79"/>
      <w:sz w:val="23"/>
      <w:szCs w:val="32"/>
    </w:rPr>
  </w:style>
  <w:style w:type="paragraph" w:styleId="Heading4">
    <w:name w:val="heading 4"/>
    <w:basedOn w:val="Normal"/>
    <w:next w:val="Normal"/>
    <w:link w:val="Heading4Char"/>
    <w:uiPriority w:val="9"/>
    <w:unhideWhenUsed/>
    <w:qFormat/>
    <w:rsid w:val="00E37C9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37C99"/>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E37C99"/>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37C99"/>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37C99"/>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37C99"/>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4C5"/>
    <w:rPr>
      <w:rFonts w:ascii="Times New Roman" w:eastAsia="SimSun" w:hAnsi="Times New Roman" w:cstheme="majorBidi"/>
      <w:b/>
      <w:color w:val="002060"/>
      <w:sz w:val="36"/>
      <w:szCs w:val="48"/>
    </w:rPr>
  </w:style>
  <w:style w:type="character" w:customStyle="1" w:styleId="Heading2Char">
    <w:name w:val="Heading 2 Char"/>
    <w:basedOn w:val="DefaultParagraphFont"/>
    <w:link w:val="Heading2"/>
    <w:uiPriority w:val="9"/>
    <w:rsid w:val="001F04C5"/>
    <w:rPr>
      <w:rFonts w:ascii="Times New Roman" w:eastAsia="SimSun" w:hAnsi="Times New Roman" w:cstheme="majorBidi"/>
      <w:b/>
      <w:color w:val="153D63" w:themeColor="text2" w:themeTint="E6"/>
      <w:sz w:val="30"/>
      <w:szCs w:val="40"/>
    </w:rPr>
  </w:style>
  <w:style w:type="character" w:customStyle="1" w:styleId="Heading3Char">
    <w:name w:val="Heading 3 Char"/>
    <w:basedOn w:val="DefaultParagraphFont"/>
    <w:link w:val="Heading3"/>
    <w:uiPriority w:val="9"/>
    <w:rsid w:val="001F04C5"/>
    <w:rPr>
      <w:rFonts w:ascii="Times New Roman" w:eastAsia="SimSun" w:hAnsi="Times New Roman" w:cstheme="majorBidi"/>
      <w:b/>
      <w:sz w:val="28"/>
      <w:szCs w:val="32"/>
    </w:rPr>
  </w:style>
  <w:style w:type="character" w:customStyle="1" w:styleId="Heading4Char">
    <w:name w:val="Heading 4 Char"/>
    <w:basedOn w:val="DefaultParagraphFont"/>
    <w:link w:val="Heading4"/>
    <w:uiPriority w:val="9"/>
    <w:rsid w:val="00E37C9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37C99"/>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E37C9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37C99"/>
    <w:rPr>
      <w:rFonts w:cstheme="majorBidi"/>
      <w:b/>
      <w:bCs/>
      <w:color w:val="595959" w:themeColor="text1" w:themeTint="A6"/>
    </w:rPr>
  </w:style>
  <w:style w:type="character" w:customStyle="1" w:styleId="Heading8Char">
    <w:name w:val="Heading 8 Char"/>
    <w:basedOn w:val="DefaultParagraphFont"/>
    <w:link w:val="Heading8"/>
    <w:uiPriority w:val="9"/>
    <w:semiHidden/>
    <w:rsid w:val="00E37C99"/>
    <w:rPr>
      <w:rFonts w:cstheme="majorBidi"/>
      <w:color w:val="595959" w:themeColor="text1" w:themeTint="A6"/>
    </w:rPr>
  </w:style>
  <w:style w:type="character" w:customStyle="1" w:styleId="Heading9Char">
    <w:name w:val="Heading 9 Char"/>
    <w:basedOn w:val="DefaultParagraphFont"/>
    <w:link w:val="Heading9"/>
    <w:uiPriority w:val="9"/>
    <w:semiHidden/>
    <w:rsid w:val="00E37C99"/>
    <w:rPr>
      <w:rFonts w:eastAsiaTheme="majorEastAsia" w:cstheme="majorBidi"/>
      <w:color w:val="595959" w:themeColor="text1" w:themeTint="A6"/>
    </w:rPr>
  </w:style>
  <w:style w:type="paragraph" w:styleId="Title">
    <w:name w:val="Title"/>
    <w:basedOn w:val="Normal"/>
    <w:next w:val="Normal"/>
    <w:link w:val="TitleChar"/>
    <w:uiPriority w:val="10"/>
    <w:qFormat/>
    <w:rsid w:val="00E37C9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C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C9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37C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7C99"/>
    <w:rPr>
      <w:i/>
      <w:iCs/>
      <w:color w:val="404040" w:themeColor="text1" w:themeTint="BF"/>
    </w:rPr>
  </w:style>
  <w:style w:type="paragraph" w:styleId="ListParagraph">
    <w:name w:val="List Paragraph"/>
    <w:basedOn w:val="Normal"/>
    <w:uiPriority w:val="34"/>
    <w:qFormat/>
    <w:rsid w:val="00E37C99"/>
    <w:pPr>
      <w:ind w:left="720"/>
      <w:contextualSpacing/>
    </w:pPr>
    <w:rPr>
      <w:rFonts w:ascii="Times New Roman" w:hAnsi="Times New Roman"/>
      <w:sz w:val="24"/>
    </w:rPr>
  </w:style>
  <w:style w:type="character" w:styleId="IntenseEmphasis">
    <w:name w:val="Intense Emphasis"/>
    <w:basedOn w:val="DefaultParagraphFont"/>
    <w:uiPriority w:val="21"/>
    <w:qFormat/>
    <w:rsid w:val="00E37C99"/>
    <w:rPr>
      <w:i/>
      <w:iCs/>
      <w:color w:val="0F4761" w:themeColor="accent1" w:themeShade="BF"/>
    </w:rPr>
  </w:style>
  <w:style w:type="paragraph" w:styleId="IntenseQuote">
    <w:name w:val="Intense Quote"/>
    <w:basedOn w:val="Normal"/>
    <w:next w:val="Normal"/>
    <w:link w:val="IntenseQuoteChar"/>
    <w:uiPriority w:val="30"/>
    <w:qFormat/>
    <w:rsid w:val="00E37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C99"/>
    <w:rPr>
      <w:i/>
      <w:iCs/>
      <w:color w:val="0F4761" w:themeColor="accent1" w:themeShade="BF"/>
    </w:rPr>
  </w:style>
  <w:style w:type="character" w:styleId="IntenseReference">
    <w:name w:val="Intense Reference"/>
    <w:basedOn w:val="DefaultParagraphFont"/>
    <w:uiPriority w:val="32"/>
    <w:qFormat/>
    <w:rsid w:val="00E37C99"/>
    <w:rPr>
      <w:b/>
      <w:bCs/>
      <w:smallCaps/>
      <w:color w:val="0F4761" w:themeColor="accent1" w:themeShade="BF"/>
      <w:spacing w:val="5"/>
    </w:rPr>
  </w:style>
  <w:style w:type="paragraph" w:styleId="Header">
    <w:name w:val="header"/>
    <w:basedOn w:val="Normal"/>
    <w:link w:val="HeaderChar"/>
    <w:uiPriority w:val="99"/>
    <w:unhideWhenUsed/>
    <w:rsid w:val="00B475D0"/>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475D0"/>
    <w:rPr>
      <w:sz w:val="18"/>
      <w:szCs w:val="18"/>
    </w:rPr>
  </w:style>
  <w:style w:type="paragraph" w:styleId="Footer">
    <w:name w:val="footer"/>
    <w:basedOn w:val="Normal"/>
    <w:link w:val="FooterChar"/>
    <w:uiPriority w:val="99"/>
    <w:unhideWhenUsed/>
    <w:rsid w:val="00B475D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475D0"/>
    <w:rPr>
      <w:sz w:val="18"/>
      <w:szCs w:val="18"/>
    </w:rPr>
  </w:style>
  <w:style w:type="character" w:styleId="Hyperlink">
    <w:name w:val="Hyperlink"/>
    <w:basedOn w:val="DefaultParagraphFont"/>
    <w:uiPriority w:val="99"/>
    <w:unhideWhenUsed/>
    <w:rsid w:val="005D2A3F"/>
    <w:rPr>
      <w:color w:val="467886" w:themeColor="hyperlink"/>
      <w:u w:val="single"/>
    </w:rPr>
  </w:style>
  <w:style w:type="character" w:styleId="UnresolvedMention">
    <w:name w:val="Unresolved Mention"/>
    <w:basedOn w:val="DefaultParagraphFont"/>
    <w:uiPriority w:val="99"/>
    <w:semiHidden/>
    <w:unhideWhenUsed/>
    <w:rsid w:val="005D2A3F"/>
    <w:rPr>
      <w:color w:val="605E5C"/>
      <w:shd w:val="clear" w:color="auto" w:fill="E1DFDD"/>
    </w:rPr>
  </w:style>
  <w:style w:type="table" w:styleId="TableGrid">
    <w:name w:val="Table Grid"/>
    <w:basedOn w:val="TableNormal"/>
    <w:uiPriority w:val="39"/>
    <w:rsid w:val="007C6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54B46"/>
    <w:pPr>
      <w:widowControl/>
      <w:spacing w:line="259" w:lineRule="auto"/>
      <w:outlineLvl w:val="9"/>
    </w:pPr>
    <w:rPr>
      <w:rFonts w:eastAsiaTheme="majorEastAsia"/>
      <w:b w:val="0"/>
      <w:color w:val="0F4761" w:themeColor="accent1" w:themeShade="BF"/>
      <w:kern w:val="0"/>
      <w:szCs w:val="32"/>
    </w:rPr>
  </w:style>
  <w:style w:type="paragraph" w:styleId="TOC1">
    <w:name w:val="toc 1"/>
    <w:basedOn w:val="Normal"/>
    <w:next w:val="Normal"/>
    <w:autoRedefine/>
    <w:uiPriority w:val="39"/>
    <w:unhideWhenUsed/>
    <w:rsid w:val="00F54B46"/>
  </w:style>
  <w:style w:type="paragraph" w:styleId="TOC2">
    <w:name w:val="toc 2"/>
    <w:basedOn w:val="Normal"/>
    <w:next w:val="Normal"/>
    <w:autoRedefine/>
    <w:uiPriority w:val="39"/>
    <w:unhideWhenUsed/>
    <w:rsid w:val="00F54B46"/>
    <w:pPr>
      <w:ind w:leftChars="200" w:left="420"/>
    </w:pPr>
  </w:style>
  <w:style w:type="paragraph" w:styleId="TOC3">
    <w:name w:val="toc 3"/>
    <w:basedOn w:val="Normal"/>
    <w:next w:val="Normal"/>
    <w:autoRedefine/>
    <w:uiPriority w:val="39"/>
    <w:unhideWhenUsed/>
    <w:rsid w:val="0038746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47740">
      <w:bodyDiv w:val="1"/>
      <w:marLeft w:val="0"/>
      <w:marRight w:val="0"/>
      <w:marTop w:val="0"/>
      <w:marBottom w:val="0"/>
      <w:divBdr>
        <w:top w:val="none" w:sz="0" w:space="0" w:color="auto"/>
        <w:left w:val="none" w:sz="0" w:space="0" w:color="auto"/>
        <w:bottom w:val="none" w:sz="0" w:space="0" w:color="auto"/>
        <w:right w:val="none" w:sz="0" w:space="0" w:color="auto"/>
      </w:divBdr>
    </w:div>
    <w:div w:id="534729851">
      <w:bodyDiv w:val="1"/>
      <w:marLeft w:val="0"/>
      <w:marRight w:val="0"/>
      <w:marTop w:val="0"/>
      <w:marBottom w:val="0"/>
      <w:divBdr>
        <w:top w:val="none" w:sz="0" w:space="0" w:color="auto"/>
        <w:left w:val="none" w:sz="0" w:space="0" w:color="auto"/>
        <w:bottom w:val="none" w:sz="0" w:space="0" w:color="auto"/>
        <w:right w:val="none" w:sz="0" w:space="0" w:color="auto"/>
      </w:divBdr>
    </w:div>
    <w:div w:id="1020086308">
      <w:bodyDiv w:val="1"/>
      <w:marLeft w:val="0"/>
      <w:marRight w:val="0"/>
      <w:marTop w:val="0"/>
      <w:marBottom w:val="0"/>
      <w:divBdr>
        <w:top w:val="none" w:sz="0" w:space="0" w:color="auto"/>
        <w:left w:val="none" w:sz="0" w:space="0" w:color="auto"/>
        <w:bottom w:val="none" w:sz="0" w:space="0" w:color="auto"/>
        <w:right w:val="none" w:sz="0" w:space="0" w:color="auto"/>
      </w:divBdr>
    </w:div>
    <w:div w:id="1134518759">
      <w:bodyDiv w:val="1"/>
      <w:marLeft w:val="0"/>
      <w:marRight w:val="0"/>
      <w:marTop w:val="0"/>
      <w:marBottom w:val="0"/>
      <w:divBdr>
        <w:top w:val="none" w:sz="0" w:space="0" w:color="auto"/>
        <w:left w:val="none" w:sz="0" w:space="0" w:color="auto"/>
        <w:bottom w:val="none" w:sz="0" w:space="0" w:color="auto"/>
        <w:right w:val="none" w:sz="0" w:space="0" w:color="auto"/>
      </w:divBdr>
    </w:div>
    <w:div w:id="1139344793">
      <w:bodyDiv w:val="1"/>
      <w:marLeft w:val="0"/>
      <w:marRight w:val="0"/>
      <w:marTop w:val="0"/>
      <w:marBottom w:val="0"/>
      <w:divBdr>
        <w:top w:val="none" w:sz="0" w:space="0" w:color="auto"/>
        <w:left w:val="none" w:sz="0" w:space="0" w:color="auto"/>
        <w:bottom w:val="none" w:sz="0" w:space="0" w:color="auto"/>
        <w:right w:val="none" w:sz="0" w:space="0" w:color="auto"/>
      </w:divBdr>
    </w:div>
    <w:div w:id="1428621125">
      <w:bodyDiv w:val="1"/>
      <w:marLeft w:val="0"/>
      <w:marRight w:val="0"/>
      <w:marTop w:val="0"/>
      <w:marBottom w:val="0"/>
      <w:divBdr>
        <w:top w:val="none" w:sz="0" w:space="0" w:color="auto"/>
        <w:left w:val="none" w:sz="0" w:space="0" w:color="auto"/>
        <w:bottom w:val="none" w:sz="0" w:space="0" w:color="auto"/>
        <w:right w:val="none" w:sz="0" w:space="0" w:color="auto"/>
      </w:divBdr>
    </w:div>
    <w:div w:id="1477181555">
      <w:bodyDiv w:val="1"/>
      <w:marLeft w:val="0"/>
      <w:marRight w:val="0"/>
      <w:marTop w:val="0"/>
      <w:marBottom w:val="0"/>
      <w:divBdr>
        <w:top w:val="none" w:sz="0" w:space="0" w:color="auto"/>
        <w:left w:val="none" w:sz="0" w:space="0" w:color="auto"/>
        <w:bottom w:val="none" w:sz="0" w:space="0" w:color="auto"/>
        <w:right w:val="none" w:sz="0" w:space="0" w:color="auto"/>
      </w:divBdr>
    </w:div>
    <w:div w:id="1553538389">
      <w:bodyDiv w:val="1"/>
      <w:marLeft w:val="0"/>
      <w:marRight w:val="0"/>
      <w:marTop w:val="0"/>
      <w:marBottom w:val="0"/>
      <w:divBdr>
        <w:top w:val="none" w:sz="0" w:space="0" w:color="auto"/>
        <w:left w:val="none" w:sz="0" w:space="0" w:color="auto"/>
        <w:bottom w:val="none" w:sz="0" w:space="0" w:color="auto"/>
        <w:right w:val="none" w:sz="0" w:space="0" w:color="auto"/>
      </w:divBdr>
    </w:div>
    <w:div w:id="1837912176">
      <w:bodyDiv w:val="1"/>
      <w:marLeft w:val="0"/>
      <w:marRight w:val="0"/>
      <w:marTop w:val="0"/>
      <w:marBottom w:val="0"/>
      <w:divBdr>
        <w:top w:val="none" w:sz="0" w:space="0" w:color="auto"/>
        <w:left w:val="none" w:sz="0" w:space="0" w:color="auto"/>
        <w:bottom w:val="none" w:sz="0" w:space="0" w:color="auto"/>
        <w:right w:val="none" w:sz="0" w:space="0" w:color="auto"/>
      </w:divBdr>
      <w:divsChild>
        <w:div w:id="155380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F4CC4-D096-4FB8-A9C7-768BE0B02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9</Pages>
  <Words>1317</Words>
  <Characters>7509</Characters>
  <Application>Microsoft Office Word</Application>
  <DocSecurity>0</DocSecurity>
  <Lines>62</Lines>
  <Paragraphs>17</Paragraphs>
  <ScaleCrop>false</ScaleCrop>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面向晚期非小细胞肺癌的患者级证据与临床约束候选治疗识别基准研究方案 V2.0</dc:title>
  <dc:subject>晚期NSCLC候选治疗识别Benchmark</dc:subject>
  <dc:creator>柳桢 苏</dc:creator>
  <cp:keywords>NSCLC, Benchmark, precision oncology, evidence, clinical constraints</cp:keywords>
  <dc:description/>
  <cp:lastModifiedBy>jiawei wang</cp:lastModifiedBy>
  <cp:revision>46</cp:revision>
  <dcterms:created xsi:type="dcterms:W3CDTF">2025-11-20T19:12:00Z</dcterms:created>
  <dcterms:modified xsi:type="dcterms:W3CDTF">2026-07-22T09:22:00Z</dcterms:modified>
</cp:coreProperties>
</file>