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【产品】P2P新闻速报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网贷资产的另一种趋势引入机构资金"/>
      <w:bookmarkEnd w:id="21"/>
      <w:r>
        <w:t xml:space="preserve">20180910 网贷资产的另一种趋势：引入机构资金</w:t>
      </w:r>
    </w:p>
    <w:p>
      <w:pPr>
        <w:pStyle w:val="FirstParagraph"/>
      </w:pPr>
      <w:hyperlink r:id="rId22">
        <w:r>
          <w:rPr>
            <w:rStyle w:val="Hyperlink"/>
          </w:rPr>
          <w:t xml:space="preserve">新流财经</w:t>
        </w:r>
      </w:hyperlink>
    </w:p>
    <w:p>
      <w:pPr>
        <w:pStyle w:val="BodyText"/>
      </w:pPr>
      <w:r>
        <w:rPr>
          <w:b/>
        </w:rPr>
        <w:t xml:space="preserve">主要观点：目前机构资金的占比升高，资金成本上升。但引入机构资金越来越具有长远战略价值</w:t>
      </w:r>
    </w:p>
    <w:p>
      <w:pPr>
        <w:pStyle w:val="BodyText"/>
      </w:pPr>
      <w:r>
        <w:t xml:space="preserve">对现阶段的P2P平台来说，稳定的资金已经是关乎生死存亡的大事。</w:t>
      </w:r>
    </w:p>
    <w:p>
      <w:pPr>
        <w:pStyle w:val="BodyText"/>
      </w:pPr>
      <w:r>
        <w:t xml:space="preserve">7､8月以来的一系列风波，让P2P意识到：除了散户投资者之外，丰富的机构资金来源，可以成为平台构建多元化资金渠道，保持业务稳健的有效策略。</w:t>
      </w:r>
    </w:p>
    <w:p>
      <w:pPr>
        <w:pStyle w:val="BodyText"/>
      </w:pPr>
      <w:r>
        <w:t xml:space="preserve">消费金融资产的资金来源本就广泛，银行、保险、信托、ABS都参与了这两年消费金融的爆发，其中最受青睐的当属银行资金。</w:t>
      </w:r>
    </w:p>
    <w:p>
      <w:pPr>
        <w:pStyle w:val="BodyText"/>
      </w:pPr>
      <w:r>
        <w:t xml:space="preserve">但P2P背景的资产端，对接银行等传统机构资金并没有那么容易，特别是在今年P2P行业动荡的情况下，简直举步维艰。但即便如此，也有一些P2P资产在对机构融资方面取得了有效进展，以此证明了其资产端的实力。</w:t>
      </w:r>
    </w:p>
    <w:p>
      <w:pPr>
        <w:pStyle w:val="Compact"/>
      </w:pPr>
      <w:r>
        <w:rPr>
          <w:b/>
        </w:rPr>
        <w:t xml:space="preserve">构建机构资金来源</w:t>
      </w:r>
    </w:p>
    <w:p>
      <w:pPr>
        <w:pStyle w:val="BodyText"/>
      </w:pPr>
      <w:r>
        <w:t xml:space="preserve">“</w:t>
      </w:r>
      <w:r>
        <w:t xml:space="preserve">银行资金门槛高，成本低，所以有无对接银行资金，是检验资产质量优质与否很好的判断标准</w:t>
      </w:r>
      <w:r>
        <w:t xml:space="preserve">”</w:t>
      </w:r>
      <w:r>
        <w:t xml:space="preserve">，某P2P系资产端的资金经理易哲告诉新流财经，他每天的工作就是联系大量的城商行、农商行，想方设法找到其中的关键人物，提交项目的计划书。</w:t>
      </w:r>
    </w:p>
    <w:p>
      <w:pPr>
        <w:pStyle w:val="BodyText"/>
      </w:pPr>
      <w:r>
        <w:t xml:space="preserve">“</w:t>
      </w:r>
      <w:r>
        <w:t xml:space="preserve">有的时候，感觉自己在做无用功，但一旦哪家银行这边有了一点点眉目，就会感觉非常振奋。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一般来说能够跟大型银行合作的P2P系资产，要么是行业领头羊，达到IPO水准，要么股东背景非常雄厚。一般的平台根本看不上</w:t>
      </w:r>
      <w:r>
        <w:t xml:space="preserve">”</w:t>
      </w:r>
      <w:r>
        <w:t xml:space="preserve">，一位消费金融公司CEO向新流表示。</w:t>
      </w:r>
    </w:p>
    <w:p>
      <w:pPr>
        <w:pStyle w:val="BodyText"/>
      </w:pPr>
      <w:r>
        <w:t xml:space="preserve">“</w:t>
      </w:r>
      <w:r>
        <w:t xml:space="preserve">跟城商行合作的话，主要看机构掌舵人思路活不活，看重的还是利润。</w:t>
      </w:r>
      <w:r>
        <w:t xml:space="preserve">”</w:t>
      </w:r>
      <w:r>
        <w:t xml:space="preserve">他举例，</w:t>
      </w:r>
      <w:r>
        <w:t xml:space="preserve">“</w:t>
      </w:r>
      <w:r>
        <w:t xml:space="preserve">比如把钱给到别的消费金融资产，资金成本一般到年化7-9%，给P2P的话就直接12%起。同时还收取更高的保证金，一般业务3-5个点，P2P系的起码10个点，甚至还有20个点的。</w:t>
      </w:r>
      <w:r>
        <w:t xml:space="preserve">”</w:t>
      </w:r>
    </w:p>
    <w:p>
      <w:pPr>
        <w:pStyle w:val="BodyText"/>
      </w:pPr>
      <w:r>
        <w:t xml:space="preserve">即使是难度系数较高，在过去的几年里，仍然也有一些P2P在这方面取得了突破。除了银行资金，不少P2P平台也在对接保险、信托等资金，甚至寻求发行ABS的机会。</w:t>
      </w:r>
    </w:p>
    <w:p>
      <w:pPr>
        <w:pStyle w:val="BodyText"/>
      </w:pPr>
      <w:r>
        <w:t xml:space="preserve">比如，2017年，51信用卡20.3%的资金由机构，包括银行、信托、消费金融公司等机构提供。而乐信集团的资金来源，除了旗下P2P平台桔子理财之外，目前来自银行、机构的资金也占比到一半左右。</w:t>
      </w:r>
    </w:p>
    <w:p>
      <w:pPr>
        <w:pStyle w:val="BodyText"/>
      </w:pPr>
      <w:r>
        <w:t xml:space="preserve">根据公开报道，新流财经整理了目前成功对接到传统金融机构资金的P2P平台，不完全名单如下：</w:t>
      </w:r>
    </w:p>
    <w:p>
      <w:pPr>
        <w:pStyle w:val="Compact"/>
      </w:pPr>
      <w:r>
        <w:drawing>
          <wp:inline>
            <wp:extent cx="5334000" cy="3412612"/>
            <wp:effectExtent b="0" l="0" r="0" t="0"/>
            <wp:docPr descr="图1: XXX" title="" id="1" name="Picture"/>
            <a:graphic>
              <a:graphicData uri="http://schemas.openxmlformats.org/drawingml/2006/picture">
                <pic:pic>
                  <pic:nvPicPr>
                    <pic:cNvPr descr="https://note.youdao.com/yws/public/resource/a61462fb5e641f372facb63a5a4404f7/xmlnote/9B243301222B46AD8397CB34E119B9B4/400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</w:p>
    <w:p>
      <w:pPr>
        <w:pStyle w:val="FirstParagraph"/>
      </w:pPr>
      <w:r>
        <w:t xml:space="preserve">业内人士透露，目前对接P2P资产比较多的银行多为互联网银行和城商行。比较突出的是新网银行、南粤银行、众邦银行、温州银行等，之前还有一些小型的城商行、农商行及区域性银行也对接过P2P资产，比如石嘴山银行等，但目前有一些已经暂停跟P2P的合作。</w:t>
      </w:r>
    </w:p>
    <w:p>
      <w:pPr>
        <w:pStyle w:val="Heading1"/>
      </w:pPr>
      <w:bookmarkStart w:id="26" w:name="2.13"/>
      <w:bookmarkEnd w:id="26"/>
      <w:r>
        <w:t xml:space="preserve">20180723 催收大幅增加，一季度不良率达2.13%，浦发信用卡怎么了？</w:t>
      </w:r>
    </w:p>
    <w:p>
      <w:pPr>
        <w:pStyle w:val="FirstParagraph"/>
      </w:pPr>
      <w:hyperlink r:id="rId27">
        <w:r>
          <w:rPr>
            <w:rStyle w:val="Hyperlink"/>
          </w:rPr>
          <w:t xml:space="preserve">新流财经</w:t>
        </w:r>
      </w:hyperlink>
    </w:p>
    <w:p>
      <w:pPr>
        <w:pStyle w:val="BodyText"/>
      </w:pPr>
      <w:r>
        <w:rPr>
          <w:b/>
        </w:rPr>
        <w:t xml:space="preserve">主要观点：浦发是第一个吃螃蟹的人：线上发卡，获得了巨大的业务扩展。但同时如何平衡是个问题。</w:t>
      </w:r>
    </w:p>
    <w:p>
      <w:pPr>
        <w:pStyle w:val="BodyText"/>
      </w:pPr>
      <w:r>
        <w:rPr>
          <w:b/>
        </w:rPr>
        <w:t xml:space="preserve">浦发坏账增高</w:t>
      </w:r>
      <w:r>
        <w:t xml:space="preserve">：</w:t>
      </w:r>
      <w:r>
        <w:br w:type="textWrapping"/>
      </w:r>
      <w:r>
        <w:t xml:space="preserve">浦发2018年第一季度不良贷款率，比去年年底下降了0.01%，但依然高达2.13%。而银行界都知道，爬上2%的坏账率，在圈内已非常之高。大部分股份银行的不良贷款率，都在1.3%-1.7%之间</w:t>
      </w:r>
    </w:p>
    <w:p>
      <w:pPr>
        <w:pStyle w:val="BodyText"/>
      </w:pPr>
      <w:r>
        <w:rPr>
          <w:b/>
        </w:rPr>
        <w:t xml:space="preserve">中国发卡量</w:t>
      </w:r>
      <w:r>
        <w:t xml:space="preserve">：</w:t>
      </w:r>
      <w:r>
        <w:br w:type="textWrapping"/>
      </w:r>
      <w:r>
        <w:t xml:space="preserve">央行数据显示，2008年第一季度，中国信用卡发卡量已超过1.47亿张。</w:t>
      </w:r>
    </w:p>
    <w:p>
      <w:pPr>
        <w:pStyle w:val="BodyText"/>
      </w:pPr>
      <w:r>
        <w:rPr>
          <w:b/>
        </w:rPr>
        <w:t xml:space="preserve">浦发的方式</w:t>
      </w:r>
      <w:r>
        <w:t xml:space="preserve">：</w:t>
      </w:r>
      <w:r>
        <w:br w:type="textWrapping"/>
      </w:r>
      <w:r>
        <w:t xml:space="preserve">浦发银行的杀手锏，是营销手段与线上获客双管齐下。</w:t>
      </w:r>
      <w:r>
        <w:br w:type="textWrapping"/>
      </w:r>
      <w:r>
        <w:t xml:space="preserve">潘卫东直言：</w:t>
      </w:r>
      <w:r>
        <w:t xml:space="preserve">“</w:t>
      </w:r>
      <w:r>
        <w:t xml:space="preserve">浦发银行数字化面临的最大挑战是，在数字化条件下加强风险控制。</w:t>
      </w:r>
      <w:r>
        <w:t xml:space="preserve">”</w:t>
      </w:r>
    </w:p>
    <w:p>
      <w:pPr>
        <w:pStyle w:val="Heading1"/>
      </w:pPr>
      <w:bookmarkStart w:id="28" w:name="附录"/>
      <w:bookmarkEnd w:id="28"/>
      <w:r>
        <w:t xml:space="preserve">附录</w:t>
      </w:r>
    </w:p>
    <w:p>
      <w:pPr>
        <w:pStyle w:val="FirstParagraph"/>
      </w:pPr>
      <w:r>
        <w:t xml:space="preserve">这里列举用到实现这个文档的语法。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#</w:t>
      </w:r>
      <w:r>
        <w:t xml:space="preserve">、</w:t>
      </w:r>
      <w:r>
        <w:rPr>
          <w:rStyle w:val="VerbatimChar"/>
        </w:rPr>
        <w:t xml:space="preserve">##</w:t>
      </w:r>
      <w:r>
        <w:t xml:space="preserve">、</w:t>
      </w:r>
      <w:r>
        <w:rPr>
          <w:rStyle w:val="VerbatimChar"/>
        </w:rPr>
        <w:t xml:space="preserve">###</w:t>
      </w:r>
      <w:r>
        <w:t xml:space="preserve">分别对应第一、第二、第三级标题，</w:t>
      </w:r>
    </w:p>
    <w:p>
      <w:pPr>
        <w:pStyle w:val="Compact"/>
        <w:numPr>
          <w:numId w:val="1002"/>
          <w:ilvl w:val="1"/>
        </w:numPr>
      </w:pPr>
      <w:r>
        <w:t xml:space="preserve">如实现</w:t>
      </w:r>
      <w:r>
        <w:rPr>
          <w:rStyle w:val="VerbatimChar"/>
        </w:rPr>
        <w:t xml:space="preserve"># 20180910 网贷资产的另一种趋势：引入机构资金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[]()</w:t>
      </w:r>
      <w:r>
        <w:t xml:space="preserve">用于插入链接，</w:t>
      </w:r>
    </w:p>
    <w:p>
      <w:pPr>
        <w:pStyle w:val="Compact"/>
        <w:numPr>
          <w:numId w:val="1003"/>
          <w:ilvl w:val="1"/>
        </w:numPr>
      </w:pPr>
      <w:r>
        <w:t xml:space="preserve">如实现</w:t>
      </w:r>
      <w:r>
        <w:rPr>
          <w:rStyle w:val="VerbatimChar"/>
        </w:rPr>
        <w:t xml:space="preserve">[新流财经](https://mp.weixin.qq.com/s/5SzFISQapWs4ssCEriwiig)</w:t>
      </w:r>
      <w:r>
        <w:t xml:space="preserve">，这样比较美观，而不应该把raw的链接贴上去。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**xxx**</w:t>
      </w:r>
      <w:r>
        <w:t xml:space="preserve">用于加粗</w:t>
      </w:r>
    </w:p>
    <w:p>
      <w:pPr>
        <w:pStyle w:val="Compact"/>
        <w:numPr>
          <w:numId w:val="1004"/>
          <w:ilvl w:val="1"/>
        </w:numPr>
      </w:pPr>
      <w:r>
        <w:t xml:space="preserve">如实现</w:t>
      </w:r>
      <w:r>
        <w:rPr>
          <w:rStyle w:val="VerbatimChar"/>
        </w:rPr>
        <w:t xml:space="preserve">**主要观点：目前机构资金的占比升高，资金成本上升。但引入机构资金越来越具有长远战略价值**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![]()</w:t>
      </w:r>
      <w:r>
        <w:t xml:space="preserve">用于插入图片，</w:t>
      </w:r>
    </w:p>
    <w:p>
      <w:pPr>
        <w:pStyle w:val="Compact"/>
        <w:numPr>
          <w:numId w:val="1005"/>
          <w:ilvl w:val="1"/>
        </w:numPr>
      </w:pPr>
      <w:r>
        <w:t xml:space="preserve">如实现</w:t>
      </w:r>
      <w:r>
        <w:rPr>
          <w:rStyle w:val="VerbatimChar"/>
        </w:rPr>
        <w:t xml:space="preserve">![640.jpeg](https://note.youdao.com/yws/public/resource/a61462fb5e641f372facb63a5a4404f7/xmlnote/9B243301222B46AD8397CB34E119B9B4/4001)</w:t>
      </w:r>
    </w:p>
    <w:p>
      <w:pPr>
        <w:pStyle w:val="Compact"/>
        <w:numPr>
          <w:numId w:val="1006"/>
          <w:ilvl w:val="2"/>
        </w:numPr>
      </w:pPr>
      <w:r>
        <w:t xml:space="preserve">括号内是图片名字，小括号内是raw链接</w:t>
      </w:r>
    </w:p>
    <w:p>
      <w:pPr>
        <w:pStyle w:val="Compact"/>
        <w:numPr>
          <w:numId w:val="1001"/>
          <w:ilvl w:val="0"/>
        </w:numPr>
      </w:pPr>
      <w:r>
        <w:t xml:space="preserve">在文档前方</w:t>
      </w:r>
      <w:r>
        <w:rPr>
          <w:rStyle w:val="VerbatimChar"/>
        </w:rPr>
        <w:t xml:space="preserve">yaml</w:t>
      </w:r>
      <w:r>
        <w:t xml:space="preserve">设置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toc: yes</w:t>
      </w:r>
      <w:r>
        <w:t xml:space="preserve"> </w:t>
      </w:r>
      <w:r>
        <w:t xml:space="preserve">插入目录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number_sections: yes</w:t>
      </w:r>
      <w:r>
        <w:t xml:space="preserve"> </w:t>
      </w:r>
      <w:r>
        <w:t xml:space="preserve">目录排序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highlight: tango</w:t>
      </w:r>
      <w:r>
        <w:t xml:space="preserve"> </w:t>
      </w:r>
      <w:r>
        <w:t xml:space="preserve">设置下高亮的模板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theme: cerulean</w:t>
      </w:r>
      <w:r>
        <w:t xml:space="preserve"> </w:t>
      </w:r>
      <w:r>
        <w:t xml:space="preserve">设置下主题的模板</w:t>
      </w:r>
    </w:p>
    <w:p>
      <w:pPr>
        <w:pStyle w:val="Compact"/>
        <w:numPr>
          <w:numId w:val="1001"/>
          <w:ilvl w:val="0"/>
        </w:numPr>
      </w:pPr>
      <w:r>
        <w:t xml:space="preserve">代码前端插入的</w:t>
      </w:r>
      <w:r>
        <w:rPr>
          <w:rStyle w:val="VerbatimChar"/>
        </w:rPr>
        <w:t xml:space="preserve">style</w:t>
      </w:r>
      <w:r>
        <w:t xml:space="preserve">，属于css方面的东西，不需要管，为了实现</w:t>
      </w:r>
      <w:r>
        <w:rPr>
          <w:b/>
        </w:rPr>
        <w:t xml:space="preserve">行间距为2</w:t>
      </w:r>
      <w:r>
        <w:t xml:space="preserve"> </w:t>
      </w:r>
      <w:r>
        <w:t xml:space="preserve">[@hyginn2015]</w:t>
      </w:r>
    </w:p>
    <w:p>
      <w:pPr>
        <w:pStyle w:val="SourceCode"/>
      </w:pPr>
      <w:r>
        <w:rPr>
          <w:rStyle w:val="VerbatimChar"/>
        </w:rPr>
        <w:t xml:space="preserve">&lt;style&gt;</w:t>
      </w:r>
      <w:r>
        <w:br w:type="textWrapping"/>
      </w:r>
      <w:r>
        <w:rPr>
          <w:rStyle w:val="VerbatimChar"/>
        </w:rPr>
        <w:t xml:space="preserve">p {line-height: 2em;}</w:t>
      </w:r>
      <w:r>
        <w:br w:type="textWrapping"/>
      </w:r>
      <w:r>
        <w:rPr>
          <w:rStyle w:val="VerbatimChar"/>
        </w:rPr>
        <w:t xml:space="preserve">&lt;/style&gt;</w:t>
      </w:r>
    </w:p>
    <w:p>
      <w:pPr>
        <w:pStyle w:val="Compact"/>
        <w:numPr>
          <w:numId w:val="1008"/>
          <w:ilvl w:val="0"/>
        </w:numPr>
      </w:pPr>
      <w:r>
        <w:t xml:space="preserve">实现元素(图片、文字)居中</w:t>
      </w:r>
      <w:r>
        <w:t xml:space="preserve"> </w:t>
      </w:r>
      <w:r>
        <w:t xml:space="preserve">[@小敏纸2015]</w:t>
      </w:r>
    </w:p>
    <w:p>
      <w:pPr>
        <w:pStyle w:val="SourceCode"/>
      </w:pPr>
      <w:r>
        <w:rPr>
          <w:rStyle w:val="VerbatimChar"/>
        </w:rPr>
        <w:t xml:space="preserve">&lt;center&gt;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&lt;/center&gt;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cf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3bbd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22" Target="https://mp.weixin.qq.com/s/5SzFISQapWs4ssCEriwiig" TargetMode="External" /><Relationship Type="http://schemas.openxmlformats.org/officeDocument/2006/relationships/hyperlink" Id="rId27" Target="https://mp.weixin.qq.com/s/PFAU7Nw6sWgDM2535OQdr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p.weixin.qq.com/s/5SzFISQapWs4ssCEriwiig" TargetMode="External" /><Relationship Type="http://schemas.openxmlformats.org/officeDocument/2006/relationships/hyperlink" Id="rId27" Target="https://mp.weixin.qq.com/s/PFAU7Nw6sWgDM2535OQdr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【产品】P2P新闻速报</dc:title>
  <dc:creator/>
  <dcterms:created xsi:type="dcterms:W3CDTF">2018-09-10T14:15:12Z</dcterms:created>
  <dcterms:modified xsi:type="dcterms:W3CDTF">2018-09-10T14:15:12Z</dcterms:modified>
</cp:coreProperties>
</file>