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Fig1 shows the the relationship between S1_IgG level and the key feature in the blood test samples of patients around the time of admission. Fig2 shows The relationship between S1_IgG level and the key feature in the blood test samples of patients around the timee of admission.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easy to find that the relationship of S1_IgG level and the key features between the time after  admission and the time of discharge (or death) is not obviously changed.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28665" cy="3698875"/>
            <wp:effectExtent l="0" t="0" r="8255" b="4445"/>
            <wp:docPr id="1" name="图片 1" descr="S1入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1入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 1: The relationship between S1_IgG level and the key feature in the blood test samples of patients around the time of admission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4095" cy="3573780"/>
            <wp:effectExtent l="0" t="0" r="1905" b="7620"/>
            <wp:docPr id="4" name="图片 4" descr="S1出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1出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Fig2: The relationship between S1_IgG level and the key feature in the blood test samples of patients around the time of admission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WNjM2JhODNmYjc1MDI5YTczODc5MDIzODY1NTcifQ=="/>
  </w:docVars>
  <w:rsids>
    <w:rsidRoot w:val="00000000"/>
    <w:rsid w:val="19C954BC"/>
    <w:rsid w:val="3DBE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2024-03-29T04:44:51Z</dcterms:created>
  <dc:creator>ASUS</dc:creator>
  <cp:lastModifiedBy>WPS_1664632269</cp:lastModifiedBy>
  <dcterms:modified xsi:type="dcterms:W3CDTF">2024-03-29T05:11:10Z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22434E4145AB4917AE227351CDE46D91_12</vt:lpwstr>
  </property>
</Properties>
</file>