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25hz55digy0" w:id="0"/>
      <w:bookmarkEnd w:id="0"/>
      <w:r w:rsidDel="00000000" w:rsidR="00000000" w:rsidRPr="00000000">
        <w:rPr>
          <w:rtl w:val="0"/>
        </w:rPr>
        <w:t xml:space="preserve">GEARS Citation Audit: Pipeline Bottlenecks and Rescue Procedures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Not every reduction represents a truly “lost” paper. The first transition mainly removes duplicate citation edges; later transitions reflect retrieval failures, machine-review failures, or evidence-based abstentions.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65ji8h8kz3d" w:id="1"/>
      <w:bookmarkEnd w:id="1"/>
      <w:r w:rsidDel="00000000" w:rsidR="00000000" w:rsidRPr="00000000">
        <w:rPr>
          <w:rtl w:val="0"/>
        </w:rPr>
        <w:t xml:space="preserve">Stage-by-stage rescue summary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00"/>
        <w:gridCol w:w="5100"/>
        <w:gridCol w:w="5200"/>
        <w:tblGridChange w:id="0">
          <w:tblGrid>
            <w:gridCol w:w="3000"/>
            <w:gridCol w:w="1100"/>
            <w:gridCol w:w="5100"/>
            <w:gridCol w:w="5200"/>
          </w:tblGrid>
        </w:tblGridChange>
      </w:tblGrid>
      <w:tr>
        <w:trPr>
          <w:cantSplit w:val="0"/>
          <w:tblHeader w:val="0"/>
        </w:trPr>
        <w:tc>
          <w:tcPr>
            <w:shd w:fill="d1e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Stage</w:t>
            </w:r>
          </w:p>
        </w:tc>
        <w:tc>
          <w:tcPr>
            <w:shd w:fill="d1e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Reduction</w:t>
            </w:r>
          </w:p>
        </w:tc>
        <w:tc>
          <w:tcPr>
            <w:shd w:fill="d1e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Rescue procedures used</w:t>
            </w:r>
          </w:p>
        </w:tc>
        <w:tc>
          <w:tcPr>
            <w:shd w:fill="d1e6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Why studies may still stop 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936 citation edges → 353 unique studies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Reconciled DOI, normalized title/authors/year, and linked preprints with published versions while preserving candidate URLs.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Mostly duplicate citation edges or paper versions. Genuine loss may result from missing DOI, incorrect metadata, or erroneous merging.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353 studies → 152 OA candidates</w:t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</w:t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Expanded searches across OpenAlex OA locations, Europe PMC/PMC XML, publisher PDFs, preprint servers, and institutional repositories.</w:t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indexed OA link, continuing paywall, missing public version, or mismatched DOI/title metadata.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152 OA candidates → 85 verified downloads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Skipped manual rights review under the documented override, tried alternative URLs and PDF/XML versions, and verified file integrity and paper identity.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Paywalls, HTTP errors, bot protection, expired links, corrupted files, HTML returned instead of PDF, wrong papers, supplements only, or unextractable scans.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85 machine-review entries → 55 machine-resolved</w:t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Retried failed agents, repaired JSON/schema outputs, re-extracted text, searched method aliases and citation contexts, and reran adjudication.</w:t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failures, invalid outputs, poor OCR, excessive document length, missing citation context, or unresolved agent disagreement.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55 machine-resolved → 40 substantively classified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Searched additional versions and supplements. Allowed classification from incomplete coverage when available text directly demonstrated GEARS use; clear citation-only cases could be MENTION_ONLY.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Missing versions or supplements, citation not located, incorrect provider edge, ambiguous method naming, or contradictory evidence.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spacing w:line="240" w:lineRule="auto"/>
        <w:rPr/>
      </w:pPr>
      <w:bookmarkStart w:colFirst="0" w:colLast="0" w:name="_o65ojsp0eeko" w:id="2"/>
      <w:bookmarkEnd w:id="2"/>
      <w:r w:rsidDel="00000000" w:rsidR="00000000" w:rsidRPr="00000000">
        <w:rPr>
          <w:rtl w:val="0"/>
        </w:rPr>
        <w:t xml:space="preserve">How scGPT and scVI differed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scGPT used broad multi-source retrieval, alternative-version rescue, structured-output repair, and partial-coverage classification earlier.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scVI initially used stricter retrieval and validation rules. We later applied the scGPT rescue strategy by merging first-pass and rescue documents, relaxing mention-only validation, rerunning failed agents, and classifying directly supported cases despite incomplete coverage.</w:t>
      </w:r>
    </w:p>
    <w:p w:rsidR="00000000" w:rsidDel="00000000" w:rsidP="00000000" w:rsidRDefault="00000000" w:rsidRPr="00000000" w14:paraId="00000020">
      <w:pPr>
        <w:pStyle w:val="Heading2"/>
        <w:keepNext w:val="1"/>
        <w:pageBreakBefore w:val="1"/>
        <w:spacing w:after="120" w:lineRule="auto"/>
        <w:rPr/>
      </w:pPr>
      <w:bookmarkStart w:colFirst="0" w:colLast="0" w:name="_rm2u3vv2ohds" w:id="3"/>
      <w:bookmarkEnd w:id="3"/>
      <w:r w:rsidDel="00000000" w:rsidR="00000000" w:rsidRPr="00000000">
        <w:rPr>
          <w:rtl w:val="0"/>
        </w:rPr>
        <w:t xml:space="preserve">Recommended GEARS rescue queues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0"/>
        <w:gridCol w:w="1200"/>
        <w:gridCol w:w="8800"/>
        <w:tblGridChange w:id="0">
          <w:tblGrid>
            <w:gridCol w:w="4400"/>
            <w:gridCol w:w="1200"/>
            <w:gridCol w:w="8800"/>
          </w:tblGrid>
        </w:tblGridChange>
      </w:tblGrid>
      <w:tr>
        <w:trPr>
          <w:cantSplit w:val="0"/>
          <w:tblHeader w:val="0"/>
        </w:trPr>
        <w:tc>
          <w:tcPr>
            <w:shd w:fill="d1e6f7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Rescue queue</w:t>
            </w:r>
          </w:p>
        </w:tc>
        <w:tc>
          <w:tcPr>
            <w:shd w:fill="d1e6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d1e6f7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NO_OA_CANDIDATE</w:t>
            </w:r>
          </w:p>
        </w:tc>
        <w:tc>
          <w:tcPr>
            <w:shd w:fill="auto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additional full-text sources and publication versions.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DOWNLOAD_OR_IDENTITY_FAILED</w:t>
            </w:r>
          </w:p>
        </w:tc>
        <w:tc>
          <w:tcPr>
            <w:shd w:fill="f5f5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shd w:fill="f5f5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Retry downloads and resolve document identity or file-integrity failures.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MACHINE_UNRESOLVED</w:t>
            </w:r>
          </w:p>
        </w:tc>
        <w:tc>
          <w:tcPr>
            <w:shd w:fill="auto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Retry agents, repair structured outputs, and readjudicate unresolved cases.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COVERAGE_INCOMPLETE / CITATION_NOT_LOCATED</w:t>
            </w:r>
          </w:p>
        </w:tc>
        <w:tc>
          <w:tcPr>
            <w:shd w:fill="f5f5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f5f5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 missing materials and repeat citation localization.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1"/>
        <w:spacing w:after="120" w:lineRule="auto"/>
        <w:rPr/>
      </w:pPr>
      <w:bookmarkStart w:colFirst="0" w:colLast="0" w:name="_b2yu7vt4riy6" w:id="4"/>
      <w:bookmarkEnd w:id="4"/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032">
      <w:pPr>
        <w:spacing w:after="0" w:before="40" w:lineRule="auto"/>
        <w:rPr/>
      </w:pPr>
      <w:r w:rsidDel="00000000" w:rsidR="00000000" w:rsidRPr="00000000">
        <w:rPr>
          <w:rtl w:val="0"/>
        </w:rPr>
        <w:t xml:space="preserve">The final 40 studies represent 11.3% of the 353 unique citing studies. This set may be biased toward open-access, machine-readable papers with explicit and easily located descriptions of GEARS use. Reports should therefore present the 40 substantive classifications together with the remaining rescue and abstention queues.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