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mxnij116lfe" w:id="0"/>
      <w:bookmarkEnd w:id="0"/>
      <w:r w:rsidDel="00000000" w:rsidR="00000000" w:rsidRPr="00000000">
        <w:rPr>
          <w:rtl w:val="0"/>
        </w:rPr>
        <w:t xml:space="preserve">scGen Human Primary-Use Consensus and Validation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9vu95mmg2ksl" w:id="1"/>
      <w:bookmarkEnd w:id="1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records the primary-use consensus for the 50-paper blinded scGen human-validation sample. It does not replace the reviewers' complete six-field records.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kna7eaz3lnjx" w:id="2"/>
      <w:bookmarkEnd w:id="2"/>
      <w:r w:rsidDel="00000000" w:rsidR="00000000" w:rsidRPr="00000000">
        <w:rPr>
          <w:rtl w:val="0"/>
        </w:rPr>
        <w:t xml:space="preserve">Consensus rules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Forty-four labels were identical after normalization of capitalization and wording. Four disagreements were resolved by user adjudication: SCGEN-HV-024 = Mention only; SCGEN-HV-029 = Benchmark; SCGEN-HV-043 = Mention only; SCGEN-HV-050 = Benchmark. Reviewer 2 left the primary-use field blank for SCGEN-HV-037 and SCGEN-HV-040, so the completed Reviewer 1 labels were carried forward and marked as such.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fean76amlica" w:id="3"/>
      <w:bookmarkEnd w:id="3"/>
      <w:r w:rsidDel="00000000" w:rsidR="00000000" w:rsidRPr="00000000">
        <w:rPr>
          <w:rtl w:val="0"/>
        </w:rPr>
        <w:t xml:space="preserve">Source records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Reviewer 1: reviewer_1_blind_form_simple (document ID 1Uxvd-IVbj3A-aVsxgiiLVFk_JgUz-thnRbQvb8tadPA)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Reviewer 2: reviewer_2_blind_form_simple (1) (document ID 1FuonfE2R-wGm0EAB-uctPywg1jKtTgGUlQBtaPpyDrM)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chldex9lwyvv" w:id="4"/>
      <w:bookmarkEnd w:id="4"/>
      <w:r w:rsidDel="00000000" w:rsidR="00000000" w:rsidRPr="00000000">
        <w:rPr>
          <w:rtl w:val="0"/>
        </w:rPr>
        <w:t xml:space="preserve">Consensus distribution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Mention only: 37; Benchmark: 9; Apply to biological data: 3; Other: 1; Extend or develop: 0. Total: 50.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t6p1l3c9oy3z" w:id="5"/>
      <w:bookmarkEnd w:id="5"/>
      <w:r w:rsidDel="00000000" w:rsidR="00000000" w:rsidRPr="00000000">
        <w:rPr>
          <w:rtl w:val="0"/>
        </w:rPr>
        <w:t xml:space="preserve">Validation status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Primary-use performance was evaluated on the 40 preselected CLASSIFICATION cases. The 10 PROCESS_AUDIT cases were excluded because they test citation-retrieval and coverage decisions rather than citation-use classification. Agent predictions were taken from the final primary_label field in 20260903_scgen_rescue_consolidated_v1 and compared with the human consensus labels. Exact agreement was 37/40 (92.5%).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hskeyv9ep8g8" w:id="6"/>
      <w:bookmarkEnd w:id="6"/>
      <w:r w:rsidDel="00000000" w:rsidR="00000000" w:rsidRPr="00000000">
        <w:rPr>
          <w:rtl w:val="0"/>
        </w:rPr>
        <w:t xml:space="preserve">Primary-use precision and recall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pj4fdh5e4b13" w:id="7"/>
      <w:bookmarkEnd w:id="7"/>
      <w:r w:rsidDel="00000000" w:rsidR="00000000" w:rsidRPr="00000000">
        <w:rPr>
          <w:rtl w:val="0"/>
        </w:rPr>
      </w:r>
    </w:p>
    <w:tbl>
      <w:tblPr>
        <w:tblStyle w:val="Table1"/>
        <w:tblW w:w="13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1800"/>
        <w:gridCol w:w="1800"/>
        <w:gridCol w:w="2400"/>
        <w:gridCol w:w="1800"/>
        <w:gridCol w:w="1800"/>
        <w:tblGridChange w:id="0">
          <w:tblGrid>
            <w:gridCol w:w="3600"/>
            <w:gridCol w:w="1800"/>
            <w:gridCol w:w="1800"/>
            <w:gridCol w:w="24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d9ebf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Category</w:t>
            </w:r>
          </w:p>
        </w:tc>
        <w:tc>
          <w:tcPr>
            <w:shd w:fill="d9ebf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Human positives</w:t>
            </w:r>
          </w:p>
        </w:tc>
        <w:tc>
          <w:tcPr>
            <w:shd w:fill="d9ebf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Agent positives</w:t>
            </w:r>
          </w:p>
        </w:tc>
        <w:tc>
          <w:tcPr>
            <w:shd w:fill="d9ebf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TP / FP / FN</w:t>
            </w:r>
          </w:p>
        </w:tc>
        <w:tc>
          <w:tcPr>
            <w:shd w:fill="d9ebf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Precision</w:t>
            </w:r>
          </w:p>
        </w:tc>
        <w:tc>
          <w:tcPr>
            <w:shd w:fill="d9ebf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Recall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Apply to biological data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 / 0 / 0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100.0%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100.0%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Extend or develop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2 / 0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0.0%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Not estimable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Benchmark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 / 0 / 2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100.0%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75.0%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28 / 1 / 0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96.6%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100.0%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Other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0 / 1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Not estimable</w:t>
            </w:r>
          </w:p>
        </w:tc>
        <w:tc>
          <w:tcPr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0.0%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Macro precision: 74.1%; macro recall: 68.8%. These are unweighted means of one-vs-rest category scores. A category-specific rate is not estimable when its denominator is zero; therefore the macro precision and macro recall each average the four estimable category rates. The three primary-use mismatches were SCGEN-HV-039 (agent Extend or develop; human Benchmark), SCGEN-HV-040 (agent Mention only; human Other), and SCGEN-HV-050 (agent Extend or develop; human Benchmark).</w:t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xdq0xqnigbae" w:id="8"/>
      <w:bookmarkEnd w:id="8"/>
      <w:r w:rsidDel="00000000" w:rsidR="00000000" w:rsidRPr="00000000">
        <w:rPr>
          <w:rtl w:val="0"/>
        </w:rPr>
        <w:t xml:space="preserve">Case-level consensus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6840"/>
        <w:gridCol w:w="2880"/>
        <w:gridCol w:w="3240"/>
        <w:tblGridChange w:id="0">
          <w:tblGrid>
            <w:gridCol w:w="1440"/>
            <w:gridCol w:w="6840"/>
            <w:gridCol w:w="2880"/>
            <w:gridCol w:w="3240"/>
          </w:tblGrid>
        </w:tblGridChange>
      </w:tblGrid>
      <w:tr>
        <w:trPr>
          <w:cantSplit w:val="1"/>
          <w:tblHeader w:val="1"/>
        </w:trPr>
        <w:tc>
          <w:tcPr>
            <w:shd w:fill="d9eb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Case ID</w:t>
            </w:r>
          </w:p>
        </w:tc>
        <w:tc>
          <w:tcPr>
            <w:shd w:fill="d9eb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Article</w:t>
            </w:r>
          </w:p>
        </w:tc>
        <w:tc>
          <w:tcPr>
            <w:shd w:fill="d9eb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Independent labels</w:t>
            </w:r>
          </w:p>
        </w:tc>
        <w:tc>
          <w:tcPr>
            <w:shd w:fill="d9eb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Consensus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SCGEN-HV-001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Opportunities for Artificial Intelligence in Advancing Precision Medicine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10.1007/s40142-019-00177-4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SCGEN-HV-002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Species-agnostic transfer learning for cross-species transcriptomics data integration without gene orthology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10.1093/bib/bbae004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SCGEN-HV-003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Modelling stem cell differentiation related processes—A practical overview for biologists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10.1002/1873-3468.70395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SCGEN-HV-004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scDREAMER for atlas-level integration of single-cell datasets using deep generative model paired with adversarial classifier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10.1038/s41467-023-43590-8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Benchmark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Benchmark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Benchmark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SCGEN-HV-005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Benchmarking LLM-based agents for single-cell omics analysis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10.1186/s13059-026-03998-z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Benchmark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Benchmark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Benchmark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SCGEN-HV-006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BuDDI: Bulk Deconvolution with Domain Invariance to predict cell-type-specific perturbations from bulk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10.1371/journal.pcbi.1012742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SCGEN-HV-007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Discovering governing equations of biological systems through representation learning and sparse model discovery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10.1093/nargab/lqaf048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SCGEN-HV-008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Disrupted developmental signaling induces novel transcriptional states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10.1073/pnas.2418351122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SCGEN-HV-009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PerTurboAgent: A Self-Planning Agent for Boosting Sequential Perturb-seq Experiments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10.1101/2025.05.25.656020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SCGEN-HV-010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Learning Perturbation-specific Cell Representations for Prediction of Transcriptional Response across Cellular Contexts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10.1101/2023.03.20.533433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Benchmark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Benchmark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Benchmark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SCGEN-HV-011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 Cross-Modal Autoencoder Framework Learns Holistic Representations of Cardiovascular State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10.1101/2022.05.26.493497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SCGEN-HV-012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scVAE: variational auto-encoders for single-cell gene expression data.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10.1093/bioinformatics/btaa293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SCGEN-HV-013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Biologically Interpretable VAE with Supervision for Transcriptomics Data Under Ordinal Perturbations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10.1101/2024.03.28.587231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SCGEN-HV-014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Fluctuation structure predicts genome-wide perturbation outcomes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10.1101/2025.06.27.661814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SCGEN-HV-015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 practical guide to sequencing in neuropsychiatric research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10.1038/s44277-025-00041-0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SCGEN-HV-016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Neural network-assisted humanisation of COVID-19 hamster transcriptomic data reveals matching severity states in human disease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10.1016/j.ebiom.2024.105312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Apply to biological data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Apply to biological data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Apply to biological data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SCGEN-HV-017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Cells of the adult human heart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10.1038/s41586-020-2797-4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Apply to biological data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Apply to biological data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Apply to biological data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SCGEN-HV-018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Causal identification of single-cell experimental perturbation effects with CINEMA-OT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10.1038/s41592-023-02040-5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Benchmark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Benchmark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Benchmark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SCGEN-HV-019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Shortcomings of silhouette in single-cell integration benchmarking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10.1038/s41587-025-02743-4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SCGEN-HV-020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Domain adaptation for supervised integration of scRNA-seq data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10.1038/s42003-023-04668-7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SCGEN-HV-021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Combinatorial prediction of therapeutic perturbations using causally inspired neural networks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10.1038/s41551-025-01481-x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Benchmark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Benchmark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Benchmark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SCGEN-HV-022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Application and prospects of single-cell and spatial omics technologies in woody plants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10.48130/fr-2023-0027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SCGEN-HV-023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Can Pharmaceutical World Models Become Scientific Instruments? A State-of-the-Art Review of Simulation, Reasoning, and Validation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10.51847/hn9ejvqjoc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SCGEN-HV-024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Assessing and mitigating batch effects in large-scale omics studies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10.1186/s13059-024-03401-9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Benchmark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User-adjudicated consensus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SCGEN-HV-025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VI-VS: calibrated identification of feature dependencies in single-cell multiomics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10.1186/s13059-024-03419-z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SCGEN-HV-026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The Power of Two: integrating deep diffusion models and variational autoencoders for single-cell transcriptomics analysis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10.1101/2023.04.13.536789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Benchmark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Benchmark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Benchmark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SCGEN-HV-027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Single-cell RNA-seq reveals spatially restricted multicellular fibrotic niches during lung fibrosis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10.1101/569855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SCGEN-HV-028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Causal Imputation via Synthetic Interventions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10.48550/arxiv.2011.03127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SCGEN-HV-029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Style transfer with variational autoencoders is a promising approach to RNA-Seq data harmonization and analysis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10.1093/bioinformatics/btaa624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Benchmark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Benchmark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User-adjudicated consensus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SCGEN-HV-030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Reconstructing unobserved cellular states from paired single-cell lineage tracing and transcriptomics data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10.1101/2021.05.28.446021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SCGEN-HV-031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Learning genetic perturbation effects with variational causal inference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10.1371/journal.pcbi.1013194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SCGEN-HV-032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Spatial single-cell mass spectrometry defines zonation of the hepatocyte proteome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10.1038/s41592-023-02007-6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SCGEN-HV-033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Learning interpretable cellular and gene signature embeddings from single-cell transcriptomic data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10.1038/s41467-021-25534-2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SCGEN-HV-034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Detecting subtle transcriptomic perturbations induced by lncRNAs knock-down in single-cell CRISPRi screening using a new sparse supervised autoencoder neural network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10.3389/fbinf.2024.1340339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SCGEN-HV-035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lute: estimating the cell composition of heterogeneous tissue with varying cell sizes using gene expression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10.1186/s12864-025-11508-x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SCGEN-HV-036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Learning cell communication from spatial graphs of cells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10.1101/2021.07.11.451750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SCGEN-HV-037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Variational autoencoders learn universal latent representations of metabolomics data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10.1101/2021.01.14.426721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Blank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 carry-forward; Reviewer 2 blank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SCGEN-HV-038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The manatee variational autoencoder model for predicting gene expression alterations caused by transcription factor perturbations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10.1038/s41598-024-62620-z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SCGEN-HV-039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 deep generative model for deciphering cellular dynamics and in silico drug discovery in complex diseases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10.1038/s41551-025-01423-7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Benchmark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Benchmark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Benchmark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SCGEN-HV-040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Differences between in vivo and ex vivo models drive divergent perturbation outcomes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10.1101/2025.09.02.673692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Other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Blank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Other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 carry-forward; Reviewer 2 blank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SCGEN-HV-041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 Roadmap for a Consensus Human Skin Cell Atlas and Single-Cell Data Standardization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10.1016/j.jid.2023.03.1679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SCGEN-HV-042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Embeddings from language models are good learners for single-cell data analysis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10.1016/j.patter.2025.101431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SCGEN-HV-043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Technical and legal aspects of federated learning in bioinformatics: applications, challenges and opportunities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10.3389/fdgth.2025.1644291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Extend or develop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User-adjudicated consensus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SCGEN-HV-044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Contrastive Mixture of Posteriors for Counterfactual Inference, Data Integration and Fairness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10.48550/arxiv.2106.08161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SCGEN-HV-045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scCompressSA: dual-channel self-attention based deep autoencoder model for single-cell clustering by compressing gene–gene interactions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10.1186/s12864-024-10286-2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SCGEN-HV-046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Biological network-inspired interpretable variational autoencoder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10.1101/2020.12.17.423310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SCGEN-HV-047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Clifti-GPT: privacy-preserving federated fine-tuning and transferable inference of foundation models on clinical single-cell data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10.1186/s13040-026-00582-w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Apply to biological data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Apply to biological data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Apply to biological data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SCGEN-HV-048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D-SPIN constructs gene regulatory network models from multiplexed scRNA-seq data revealing organizing principles of cellular perturbation response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10.1101/2023.04.19.537364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SCGEN-HV-049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Synthetic single cell RNA sequencing data from small pilot studies using deep generative models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10.1038/s41598-021-88875-4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Mention only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Mention only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Mention only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agreement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SCGEN-HV-050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Deep Learning Based Models for Preimplantation Mouse and Human Development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DOI: 10.1101/2024.02.16.580649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1: Apply to biological data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Reviewer 2: Benchmark</w:t>
            </w:r>
          </w:p>
        </w:tc>
        <w:tc>
          <w:tcPr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Benchmark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User-adjudicated consensus</w:t>
            </w:r>
          </w:p>
        </w:tc>
      </w:tr>
    </w:tbl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